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4F0DD1" w:rsidRDefault="004F0DD1">
      <w:r w:rsidRPr="004F0DD1">
        <w:rPr>
          <w:noProof/>
        </w:rPr>
        <w:drawing>
          <wp:inline distT="0" distB="0" distL="0" distR="0">
            <wp:extent cx="5943600" cy="8194675"/>
            <wp:effectExtent l="0" t="0" r="0" b="0"/>
            <wp:docPr id="1931755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8194675"/>
                    </a:xfrm>
                    <a:prstGeom prst="rect">
                      <a:avLst/>
                    </a:prstGeom>
                    <a:noFill/>
                    <a:ln>
                      <a:noFill/>
                    </a:ln>
                  </pic:spPr>
                </pic:pic>
              </a:graphicData>
            </a:graphic>
          </wp:inline>
        </w:drawing>
      </w:r>
    </w:p>
    <w:p w:rsidR="00822A8A" w:rsidRDefault="00822A8A">
      <w:pPr>
        <w:rPr>
          <w:noProof/>
        </w:rPr>
      </w:pPr>
    </w:p>
    <w:p w:rsidR="00822A8A" w:rsidRDefault="00822A8A">
      <w:pPr>
        <w:rPr>
          <w:noProof/>
        </w:rPr>
      </w:pPr>
    </w:p>
    <w:p w:rsidR="00822A8A" w:rsidRDefault="00822A8A">
      <w:pPr>
        <w:rPr>
          <w:noProof/>
        </w:rPr>
      </w:pPr>
    </w:p>
    <w:p w:rsidR="004F0DD1" w:rsidRDefault="004F0DD1">
      <w:r w:rsidRPr="004F0DD1">
        <w:rPr>
          <w:noProof/>
        </w:rPr>
        <w:lastRenderedPageBreak/>
        <w:drawing>
          <wp:inline distT="0" distB="0" distL="0" distR="0">
            <wp:extent cx="5621020" cy="8229600"/>
            <wp:effectExtent l="0" t="0" r="0" b="0"/>
            <wp:docPr id="13144121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21020" cy="8229600"/>
                    </a:xfrm>
                    <a:prstGeom prst="rect">
                      <a:avLst/>
                    </a:prstGeom>
                    <a:noFill/>
                    <a:ln>
                      <a:noFill/>
                    </a:ln>
                  </pic:spPr>
                </pic:pic>
              </a:graphicData>
            </a:graphic>
          </wp:inline>
        </w:drawing>
      </w:r>
    </w:p>
    <w:p w:rsidR="005E2688" w:rsidRDefault="005E2688">
      <w:r w:rsidRPr="005E2688">
        <w:rPr>
          <w:noProof/>
        </w:rPr>
        <w:lastRenderedPageBreak/>
        <w:drawing>
          <wp:inline distT="0" distB="0" distL="0" distR="0">
            <wp:extent cx="5815330" cy="8229600"/>
            <wp:effectExtent l="0" t="0" r="0" b="0"/>
            <wp:docPr id="14584217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15330" cy="8229600"/>
                    </a:xfrm>
                    <a:prstGeom prst="rect">
                      <a:avLst/>
                    </a:prstGeom>
                    <a:noFill/>
                    <a:ln>
                      <a:noFill/>
                    </a:ln>
                  </pic:spPr>
                </pic:pic>
              </a:graphicData>
            </a:graphic>
          </wp:inline>
        </w:drawing>
      </w:r>
    </w:p>
    <w:p w:rsidR="005E2688" w:rsidRDefault="005E2688">
      <w:r w:rsidRPr="005E2688">
        <w:rPr>
          <w:noProof/>
        </w:rPr>
        <w:lastRenderedPageBreak/>
        <w:drawing>
          <wp:inline distT="0" distB="0" distL="0" distR="0">
            <wp:extent cx="5480685" cy="8229600"/>
            <wp:effectExtent l="0" t="0" r="5715" b="0"/>
            <wp:docPr id="204223666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0685" cy="8229600"/>
                    </a:xfrm>
                    <a:prstGeom prst="rect">
                      <a:avLst/>
                    </a:prstGeom>
                    <a:noFill/>
                    <a:ln>
                      <a:noFill/>
                    </a:ln>
                  </pic:spPr>
                </pic:pic>
              </a:graphicData>
            </a:graphic>
          </wp:inline>
        </w:drawing>
      </w:r>
    </w:p>
    <w:p w:rsidR="005E2688" w:rsidRDefault="005E2688">
      <w:r w:rsidRPr="005E2688">
        <w:rPr>
          <w:noProof/>
        </w:rPr>
        <w:lastRenderedPageBreak/>
        <w:drawing>
          <wp:inline distT="0" distB="0" distL="0" distR="0">
            <wp:extent cx="5633720" cy="8229600"/>
            <wp:effectExtent l="0" t="0" r="5080" b="0"/>
            <wp:docPr id="121756594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33720" cy="8229600"/>
                    </a:xfrm>
                    <a:prstGeom prst="rect">
                      <a:avLst/>
                    </a:prstGeom>
                    <a:noFill/>
                    <a:ln>
                      <a:noFill/>
                    </a:ln>
                  </pic:spPr>
                </pic:pic>
              </a:graphicData>
            </a:graphic>
          </wp:inline>
        </w:drawing>
      </w:r>
    </w:p>
    <w:p w:rsidR="005E2688" w:rsidRDefault="005E2688">
      <w:pPr>
        <w:rPr>
          <w:b/>
          <w:bCs/>
          <w:sz w:val="23"/>
          <w:szCs w:val="23"/>
        </w:rPr>
      </w:pPr>
      <w:r w:rsidRPr="005E2688">
        <w:rPr>
          <w:b/>
          <w:bCs/>
          <w:noProof/>
          <w:sz w:val="23"/>
          <w:szCs w:val="23"/>
        </w:rPr>
        <w:lastRenderedPageBreak/>
        <w:drawing>
          <wp:inline distT="0" distB="0" distL="0" distR="0">
            <wp:extent cx="5943600" cy="1193165"/>
            <wp:effectExtent l="0" t="0" r="0" b="6985"/>
            <wp:docPr id="19925768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1193165"/>
                    </a:xfrm>
                    <a:prstGeom prst="rect">
                      <a:avLst/>
                    </a:prstGeom>
                    <a:noFill/>
                    <a:ln>
                      <a:noFill/>
                    </a:ln>
                  </pic:spPr>
                </pic:pic>
              </a:graphicData>
            </a:graphic>
          </wp:inline>
        </w:drawing>
      </w:r>
    </w:p>
    <w:p w:rsidR="005E2688" w:rsidRDefault="005E2688">
      <w:pPr>
        <w:rPr>
          <w:b/>
          <w:bCs/>
          <w:sz w:val="23"/>
          <w:szCs w:val="23"/>
        </w:rPr>
      </w:pPr>
      <w:r>
        <w:rPr>
          <w:b/>
          <w:bCs/>
          <w:sz w:val="23"/>
          <w:szCs w:val="23"/>
        </w:rPr>
        <w:t xml:space="preserve">EFFECTS OF </w:t>
      </w:r>
      <w:r>
        <w:rPr>
          <w:rFonts w:ascii="Times-New-Roman,BoldItalic" w:hAnsi="Times-New-Roman,BoldItalic" w:cs="Times-New-Roman,BoldItalic"/>
          <w:b/>
          <w:bCs/>
          <w:sz w:val="23"/>
          <w:szCs w:val="23"/>
        </w:rPr>
        <w:t xml:space="preserve">PTEROCARPUS MILDBRAEDII </w:t>
      </w:r>
      <w:r>
        <w:rPr>
          <w:b/>
          <w:bCs/>
          <w:sz w:val="23"/>
          <w:szCs w:val="23"/>
        </w:rPr>
        <w:t xml:space="preserve">EXTRACTS ON SOME BIOCHEMICAL PARAMETERS IN LEAD AND CADMIUM CHLORIDE-INDUCED TOXICITY IN RATS </w:t>
      </w:r>
    </w:p>
    <w:p w:rsidR="005E2688" w:rsidRDefault="005E2688">
      <w:pPr>
        <w:rPr>
          <w:rFonts w:ascii="Times-New-Roman" w:hAnsi="Times-New-Roman" w:cs="Times-New-Roman"/>
          <w:sz w:val="23"/>
          <w:szCs w:val="23"/>
        </w:rPr>
      </w:pPr>
      <w:r>
        <w:rPr>
          <w:b/>
          <w:bCs/>
          <w:sz w:val="23"/>
          <w:szCs w:val="23"/>
        </w:rPr>
        <w:t xml:space="preserve">Rabiat Unekwu Hamzah </w:t>
      </w:r>
      <w:r>
        <w:rPr>
          <w:rFonts w:ascii="Times-New-Roman" w:hAnsi="Times-New-Roman" w:cs="Times-New-Roman"/>
          <w:sz w:val="23"/>
          <w:szCs w:val="23"/>
        </w:rPr>
        <w:t xml:space="preserve">Department of Biochemistry, Federal University of Technology African Center of Excellence for Mycotoxin and Food safety, Federal University of Technology </w:t>
      </w:r>
    </w:p>
    <w:p w:rsidR="005E2688" w:rsidRDefault="005E2688">
      <w:pPr>
        <w:rPr>
          <w:rFonts w:ascii="Times-New-Roman" w:hAnsi="Times-New-Roman" w:cs="Times-New-Roman"/>
          <w:sz w:val="23"/>
          <w:szCs w:val="23"/>
        </w:rPr>
      </w:pPr>
      <w:r>
        <w:rPr>
          <w:b/>
          <w:bCs/>
          <w:sz w:val="23"/>
          <w:szCs w:val="23"/>
        </w:rPr>
        <w:t xml:space="preserve">Musa Bola Busari </w:t>
      </w:r>
      <w:r>
        <w:rPr>
          <w:rFonts w:ascii="Times-New-Roman" w:hAnsi="Times-New-Roman" w:cs="Times-New-Roman"/>
          <w:sz w:val="23"/>
          <w:szCs w:val="23"/>
        </w:rPr>
        <w:t xml:space="preserve">Department of Biochemistry, Federal University of Technology </w:t>
      </w:r>
    </w:p>
    <w:p w:rsidR="005E2688" w:rsidRDefault="005E2688">
      <w:pPr>
        <w:rPr>
          <w:rFonts w:ascii="Times-New-Roman" w:hAnsi="Times-New-Roman" w:cs="Times-New-Roman"/>
          <w:sz w:val="23"/>
          <w:szCs w:val="23"/>
        </w:rPr>
      </w:pPr>
      <w:proofErr w:type="spellStart"/>
      <w:r>
        <w:rPr>
          <w:b/>
          <w:bCs/>
          <w:sz w:val="23"/>
          <w:szCs w:val="23"/>
        </w:rPr>
        <w:t>Rahinat</w:t>
      </w:r>
      <w:proofErr w:type="spellEnd"/>
      <w:r>
        <w:rPr>
          <w:b/>
          <w:bCs/>
          <w:sz w:val="23"/>
          <w:szCs w:val="23"/>
        </w:rPr>
        <w:t xml:space="preserve"> Garba </w:t>
      </w:r>
      <w:r>
        <w:rPr>
          <w:rFonts w:ascii="Times-New-Roman" w:hAnsi="Times-New-Roman" w:cs="Times-New-Roman"/>
          <w:sz w:val="23"/>
          <w:szCs w:val="23"/>
        </w:rPr>
        <w:t>Department of Biochemistry, Federal University of Technology</w:t>
      </w:r>
    </w:p>
    <w:p w:rsidR="005E2688" w:rsidRDefault="005E2688">
      <w:pPr>
        <w:rPr>
          <w:rFonts w:ascii="Times-New-Roman" w:hAnsi="Times-New-Roman" w:cs="Times-New-Roman"/>
          <w:sz w:val="23"/>
          <w:szCs w:val="23"/>
        </w:rPr>
      </w:pPr>
      <w:r>
        <w:rPr>
          <w:rFonts w:ascii="Times-New-Roman" w:hAnsi="Times-New-Roman" w:cs="Times-New-Roman"/>
          <w:sz w:val="23"/>
          <w:szCs w:val="23"/>
        </w:rPr>
        <w:t xml:space="preserve"> </w:t>
      </w:r>
      <w:r>
        <w:rPr>
          <w:b/>
          <w:bCs/>
          <w:sz w:val="23"/>
          <w:szCs w:val="23"/>
        </w:rPr>
        <w:t xml:space="preserve">Hafsat Mustapha </w:t>
      </w:r>
      <w:r>
        <w:rPr>
          <w:rFonts w:ascii="Times-New-Roman" w:hAnsi="Times-New-Roman" w:cs="Times-New-Roman"/>
          <w:sz w:val="23"/>
          <w:szCs w:val="23"/>
        </w:rPr>
        <w:t>Department of Biochemistry, Federal University of Technology</w:t>
      </w:r>
    </w:p>
    <w:p w:rsidR="005E2688" w:rsidRDefault="005E2688">
      <w:pPr>
        <w:rPr>
          <w:rFonts w:ascii="Times-New-Roman" w:hAnsi="Times-New-Roman" w:cs="Times-New-Roman"/>
          <w:sz w:val="23"/>
          <w:szCs w:val="23"/>
        </w:rPr>
      </w:pPr>
      <w:r>
        <w:rPr>
          <w:rFonts w:ascii="Times-New-Roman" w:hAnsi="Times-New-Roman" w:cs="Times-New-Roman"/>
          <w:sz w:val="23"/>
          <w:szCs w:val="23"/>
        </w:rPr>
        <w:t xml:space="preserve"> </w:t>
      </w:r>
      <w:r>
        <w:rPr>
          <w:b/>
          <w:bCs/>
          <w:sz w:val="23"/>
          <w:szCs w:val="23"/>
        </w:rPr>
        <w:t xml:space="preserve">Shem Yisa </w:t>
      </w:r>
      <w:r>
        <w:rPr>
          <w:rFonts w:ascii="Times-New-Roman" w:hAnsi="Times-New-Roman" w:cs="Times-New-Roman"/>
          <w:sz w:val="23"/>
          <w:szCs w:val="23"/>
        </w:rPr>
        <w:t xml:space="preserve">Department of Biochemistry, Federal University of Technology </w:t>
      </w:r>
    </w:p>
    <w:p w:rsidR="00A548FC" w:rsidRDefault="005E2688">
      <w:pPr>
        <w:rPr>
          <w:b/>
          <w:bCs/>
          <w:sz w:val="23"/>
          <w:szCs w:val="23"/>
        </w:rPr>
      </w:pPr>
      <w:r>
        <w:rPr>
          <w:b/>
          <w:bCs/>
          <w:sz w:val="23"/>
          <w:szCs w:val="23"/>
        </w:rPr>
        <w:t xml:space="preserve">ABSTRACT </w:t>
      </w:r>
    </w:p>
    <w:p w:rsidR="00A548FC" w:rsidRDefault="005E2688">
      <w:pPr>
        <w:rPr>
          <w:rFonts w:ascii="Times-New-Roman" w:hAnsi="Times-New-Roman" w:cs="Times-New-Roman"/>
          <w:sz w:val="23"/>
          <w:szCs w:val="23"/>
        </w:rPr>
      </w:pPr>
      <w:r>
        <w:rPr>
          <w:rFonts w:ascii="Times-New-Roman" w:hAnsi="Times-New-Roman" w:cs="Times-New-Roman"/>
          <w:sz w:val="23"/>
          <w:szCs w:val="23"/>
        </w:rPr>
        <w:t xml:space="preserve">The study evaluated the effects of crude extract and fractions of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 xml:space="preserve">leaf extract (PMLE) on kidney function biomarkers, haematological and antioxidant indices in lead and cadmium chloride induced toxicity in rats. crude extract (CE) of the leaf was obtained with methanol through cold maceration after 72 hours which was further subjected to solvent partitioning via vacuum liquid chromatographic (VLC) techniques using, acetone, ethyl acetate and 70% methanol Thirty-two </w:t>
      </w:r>
      <w:proofErr w:type="spellStart"/>
      <w:r>
        <w:rPr>
          <w:rFonts w:ascii="Times-New-Roman" w:hAnsi="Times-New-Roman" w:cs="Times-New-Roman"/>
          <w:sz w:val="23"/>
          <w:szCs w:val="23"/>
        </w:rPr>
        <w:t>wistar</w:t>
      </w:r>
      <w:proofErr w:type="spellEnd"/>
      <w:r>
        <w:rPr>
          <w:rFonts w:ascii="Times-New-Roman" w:hAnsi="Times-New-Roman" w:cs="Times-New-Roman"/>
          <w:sz w:val="23"/>
          <w:szCs w:val="23"/>
        </w:rPr>
        <w:t xml:space="preserve"> rats were divided into eight groups of four rats each comprising of the, normal, negative control, treatments and standard group. Exactly 10 mg/kg body weight (</w:t>
      </w:r>
      <w:proofErr w:type="spellStart"/>
      <w:r>
        <w:rPr>
          <w:rFonts w:ascii="Times-New-Roman" w:hAnsi="Times-New-Roman" w:cs="Times-New-Roman"/>
          <w:sz w:val="23"/>
          <w:szCs w:val="23"/>
        </w:rPr>
        <w:t>bw</w:t>
      </w:r>
      <w:proofErr w:type="spellEnd"/>
      <w:r>
        <w:rPr>
          <w:rFonts w:ascii="Times-New-Roman" w:hAnsi="Times-New-Roman" w:cs="Times-New-Roman"/>
          <w:sz w:val="23"/>
          <w:szCs w:val="23"/>
        </w:rPr>
        <w:t xml:space="preserve">) and 50 mg/kg </w:t>
      </w:r>
      <w:proofErr w:type="spellStart"/>
      <w:r>
        <w:rPr>
          <w:rFonts w:ascii="Times-New-Roman" w:hAnsi="Times-New-Roman" w:cs="Times-New-Roman"/>
          <w:sz w:val="23"/>
          <w:szCs w:val="23"/>
        </w:rPr>
        <w:t>bw</w:t>
      </w:r>
      <w:proofErr w:type="spellEnd"/>
      <w:r>
        <w:rPr>
          <w:rFonts w:ascii="Times-New-Roman" w:hAnsi="Times-New-Roman" w:cs="Times-New-Roman"/>
          <w:sz w:val="23"/>
          <w:szCs w:val="23"/>
        </w:rPr>
        <w:t xml:space="preserve"> of cadmium and lead chloride was used to induced toxicity in rats. Administration of lead and cadmium chloride solution significantly (p&gt;0.05) decrease super oxide dismutase, catalase activity, and glutathione concentration with an increase in the level of malondialdehyde in the negative group when compared with normal control. Likewise, administration of Pb/Cd Cl</w:t>
      </w:r>
      <w:r>
        <w:rPr>
          <w:rFonts w:ascii="Times-New-Roman" w:hAnsi="Times-New-Roman" w:cs="Times-New-Roman"/>
          <w:sz w:val="16"/>
          <w:szCs w:val="16"/>
        </w:rPr>
        <w:t xml:space="preserve">2 </w:t>
      </w:r>
      <w:r>
        <w:rPr>
          <w:rFonts w:ascii="Times-New-Roman" w:hAnsi="Times-New-Roman" w:cs="Times-New-Roman"/>
          <w:sz w:val="23"/>
          <w:szCs w:val="23"/>
        </w:rPr>
        <w:t xml:space="preserve">significantly (p &gt; 0.05) increase the level of creatinine (Cr), urea, uric acid and sodium (Na) with concomitant decrease in potassium (K). Also, haematological parameters such </w:t>
      </w:r>
      <w:proofErr w:type="spellStart"/>
      <w:r>
        <w:rPr>
          <w:rFonts w:ascii="Times-New-Roman" w:hAnsi="Times-New-Roman" w:cs="Times-New-Roman"/>
          <w:sz w:val="23"/>
          <w:szCs w:val="23"/>
        </w:rPr>
        <w:t>haemoglobin</w:t>
      </w:r>
      <w:proofErr w:type="spellEnd"/>
      <w:r>
        <w:rPr>
          <w:rFonts w:ascii="Times-New-Roman" w:hAnsi="Times-New-Roman" w:cs="Times-New-Roman"/>
          <w:sz w:val="23"/>
          <w:szCs w:val="23"/>
        </w:rPr>
        <w:t xml:space="preserve"> concentration, packed-cell volume, red blood cells, total white blood cells, platelets, lymphocytes, mean cell </w:t>
      </w:r>
      <w:proofErr w:type="spellStart"/>
      <w:r>
        <w:rPr>
          <w:rFonts w:ascii="Times-New-Roman" w:hAnsi="Times-New-Roman" w:cs="Times-New-Roman"/>
          <w:sz w:val="23"/>
          <w:szCs w:val="23"/>
        </w:rPr>
        <w:t>haemoglobin</w:t>
      </w:r>
      <w:proofErr w:type="spellEnd"/>
      <w:r>
        <w:rPr>
          <w:rFonts w:ascii="Times-New-Roman" w:hAnsi="Times-New-Roman" w:cs="Times-New-Roman"/>
          <w:sz w:val="23"/>
          <w:szCs w:val="23"/>
        </w:rPr>
        <w:t xml:space="preserve">, and mean cell hemoglobin concentration decreased significantly in the blood of negative control animals when compared with normal control. Treatment with crude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 xml:space="preserve">leaf extract and its fractions revert the antioxidants, kidney function and haematological alteration induced by lead and cadmium chloride toxicity in </w:t>
      </w:r>
      <w:proofErr w:type="spellStart"/>
      <w:r>
        <w:rPr>
          <w:rFonts w:ascii="Times-New-Roman" w:hAnsi="Times-New-Roman" w:cs="Times-New-Roman"/>
          <w:sz w:val="23"/>
          <w:szCs w:val="23"/>
        </w:rPr>
        <w:t>wistar</w:t>
      </w:r>
      <w:proofErr w:type="spellEnd"/>
      <w:r>
        <w:rPr>
          <w:rFonts w:ascii="Times-New-Roman" w:hAnsi="Times-New-Roman" w:cs="Times-New-Roman"/>
          <w:sz w:val="23"/>
          <w:szCs w:val="23"/>
        </w:rPr>
        <w:t xml:space="preserve"> rats with best activity in 400 mg/kg </w:t>
      </w:r>
      <w:proofErr w:type="spellStart"/>
      <w:r>
        <w:rPr>
          <w:rFonts w:ascii="Times-New-Roman" w:hAnsi="Times-New-Roman" w:cs="Times-New-Roman"/>
          <w:sz w:val="23"/>
          <w:szCs w:val="23"/>
        </w:rPr>
        <w:t>bw</w:t>
      </w:r>
      <w:proofErr w:type="spellEnd"/>
      <w:r>
        <w:rPr>
          <w:rFonts w:ascii="Times-New-Roman" w:hAnsi="Times-New-Roman" w:cs="Times-New-Roman"/>
          <w:sz w:val="23"/>
          <w:szCs w:val="23"/>
        </w:rPr>
        <w:t xml:space="preserve"> of acetone fraction and crude extracts. The crude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 xml:space="preserve">extracts have restorative effects on lead and cadmium chloride induced toxicity, thus, it can be use in the explored further for the management of lead and cadmium induced toxicity. </w:t>
      </w:r>
    </w:p>
    <w:p w:rsidR="00822A8A" w:rsidRDefault="005E2688">
      <w:r>
        <w:rPr>
          <w:b/>
          <w:bCs/>
          <w:sz w:val="23"/>
          <w:szCs w:val="23"/>
        </w:rPr>
        <w:t>Keywords</w:t>
      </w:r>
      <w:r>
        <w:rPr>
          <w:rFonts w:ascii="Times-New-Roman" w:hAnsi="Times-New-Roman" w:cs="Times-New-Roman"/>
          <w:sz w:val="23"/>
          <w:szCs w:val="23"/>
        </w:rPr>
        <w:t xml:space="preserve">: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Antioxidant, Haematological, Kidney, Lead, Cadmium</w:t>
      </w:r>
    </w:p>
    <w:p w:rsidR="00822A8A" w:rsidRDefault="00822A8A" w:rsidP="00822A8A">
      <w:pPr>
        <w:pStyle w:val="Default"/>
        <w:numPr>
          <w:ilvl w:val="0"/>
          <w:numId w:val="1"/>
        </w:numPr>
        <w:rPr>
          <w:rFonts w:ascii="Times-New-Roman" w:hAnsi="Times-New-Roman" w:cs="Times-New-Roman"/>
          <w:sz w:val="23"/>
          <w:szCs w:val="23"/>
        </w:rPr>
      </w:pPr>
      <w:r>
        <w:rPr>
          <w:b/>
          <w:bCs/>
          <w:sz w:val="23"/>
          <w:szCs w:val="23"/>
        </w:rPr>
        <w:lastRenderedPageBreak/>
        <w:t xml:space="preserve">INTRODUCTION </w:t>
      </w:r>
      <w:r>
        <w:rPr>
          <w:rFonts w:ascii="Times-New-Roman" w:hAnsi="Times-New-Roman" w:cs="Times-New-Roman"/>
          <w:sz w:val="23"/>
          <w:szCs w:val="23"/>
        </w:rPr>
        <w:t>Cadmium (Cd) and lead (Pb) are ubiquitous and non-biodegradable pollutants of a great concern to human and animal health. Both metals are naturally distributed, but industrial development has dramatically increased their concentrations in the environment (</w:t>
      </w:r>
      <w:proofErr w:type="spellStart"/>
      <w:r>
        <w:rPr>
          <w:rFonts w:ascii="Times-New-Roman" w:hAnsi="Times-New-Roman" w:cs="Times-New-Roman"/>
          <w:sz w:val="23"/>
          <w:szCs w:val="23"/>
        </w:rPr>
        <w:t>Jarup</w:t>
      </w:r>
      <w:proofErr w:type="spellEnd"/>
      <w:r>
        <w:rPr>
          <w:rFonts w:ascii="Times-New-Roman" w:hAnsi="Times-New-Roman" w:cs="Times-New-Roman"/>
          <w:sz w:val="23"/>
          <w:szCs w:val="23"/>
        </w:rPr>
        <w:t xml:space="preserve"> and Akesson, 2009; </w:t>
      </w:r>
      <w:proofErr w:type="spellStart"/>
      <w:r>
        <w:rPr>
          <w:rFonts w:ascii="Times-New-Roman" w:hAnsi="Times-New-Roman" w:cs="Times-New-Roman"/>
          <w:sz w:val="23"/>
          <w:szCs w:val="23"/>
        </w:rPr>
        <w:t>Satarug</w:t>
      </w:r>
      <w:proofErr w:type="spellEnd"/>
      <w:r>
        <w:rPr>
          <w:rFonts w:ascii="Times-New-Roman" w:hAnsi="Times-New-Roman" w:cs="Times-New-Roman"/>
          <w:sz w:val="23"/>
          <w:szCs w:val="23"/>
        </w:rPr>
        <w:t xml:space="preserve"> </w:t>
      </w:r>
      <w:r>
        <w:rPr>
          <w:rFonts w:ascii="Times-New-Roman,Italic" w:hAnsi="Times-New-Roman,Italic" w:cs="Times-New-Roman,Italic"/>
          <w:sz w:val="23"/>
          <w:szCs w:val="23"/>
        </w:rPr>
        <w:t>et al</w:t>
      </w:r>
      <w:r>
        <w:rPr>
          <w:rFonts w:ascii="Times-New-Roman" w:hAnsi="Times-New-Roman" w:cs="Times-New-Roman"/>
          <w:sz w:val="23"/>
          <w:szCs w:val="23"/>
        </w:rPr>
        <w:t>., 2010). Lead and cadmium co-exist in the environment most times and are by products of many industrial activities. Industries associated with smelting and mining, manufacturing of batteries, pigments, and ceramic are well-known emitters of Cd and Pb. Increased emissions of both metals in the environment and their non-biodegradability have increased the risk of human exposure. The main routes of Cd and Pb exposure are ingestion and inhalation due to their presence in food, air, and tobacco leaves (</w:t>
      </w:r>
      <w:proofErr w:type="spellStart"/>
      <w:r>
        <w:rPr>
          <w:rFonts w:ascii="Times-New-Roman" w:hAnsi="Times-New-Roman" w:cs="Times-New-Roman"/>
          <w:sz w:val="23"/>
          <w:szCs w:val="23"/>
        </w:rPr>
        <w:t>Satarug</w:t>
      </w:r>
      <w:proofErr w:type="spellEnd"/>
      <w:r>
        <w:rPr>
          <w:rFonts w:ascii="Times-New-Roman" w:hAnsi="Times-New-Roman" w:cs="Times-New-Roman"/>
          <w:sz w:val="23"/>
          <w:szCs w:val="23"/>
        </w:rPr>
        <w:t xml:space="preserve"> </w:t>
      </w:r>
      <w:r>
        <w:rPr>
          <w:rFonts w:ascii="Times-New-Roman,Italic" w:hAnsi="Times-New-Roman,Italic" w:cs="Times-New-Roman,Italic"/>
          <w:sz w:val="23"/>
          <w:szCs w:val="23"/>
        </w:rPr>
        <w:t>et al</w:t>
      </w:r>
      <w:r>
        <w:rPr>
          <w:rFonts w:ascii="Times-New-Roman" w:hAnsi="Times-New-Roman" w:cs="Times-New-Roman"/>
          <w:sz w:val="23"/>
          <w:szCs w:val="23"/>
        </w:rPr>
        <w:t xml:space="preserve">., 2010; </w:t>
      </w:r>
      <w:proofErr w:type="spellStart"/>
      <w:r>
        <w:rPr>
          <w:rFonts w:ascii="Times-New-Roman" w:hAnsi="Times-New-Roman" w:cs="Times-New-Roman"/>
          <w:sz w:val="23"/>
          <w:szCs w:val="23"/>
        </w:rPr>
        <w:t>Tchounwou</w:t>
      </w:r>
      <w:proofErr w:type="spellEnd"/>
      <w:r>
        <w:rPr>
          <w:rFonts w:ascii="Times-New-Roman" w:hAnsi="Times-New-Roman" w:cs="Times-New-Roman"/>
          <w:sz w:val="23"/>
          <w:szCs w:val="23"/>
        </w:rPr>
        <w:t xml:space="preserve"> </w:t>
      </w:r>
      <w:r>
        <w:rPr>
          <w:rFonts w:ascii="Times-New-Roman,Italic" w:hAnsi="Times-New-Roman,Italic" w:cs="Times-New-Roman,Italic"/>
          <w:sz w:val="23"/>
          <w:szCs w:val="23"/>
        </w:rPr>
        <w:t xml:space="preserve">et al., </w:t>
      </w:r>
      <w:r>
        <w:rPr>
          <w:rFonts w:ascii="Times-New-Roman" w:hAnsi="Times-New-Roman" w:cs="Times-New-Roman"/>
          <w:sz w:val="23"/>
          <w:szCs w:val="23"/>
        </w:rPr>
        <w:t xml:space="preserve">2012). These metals enter and accumulate in different organs (kidney, liver, testicles, pancreas, thyroid, salivary glands, bone, brain and reproductive system) of the body in human and animal causing severe damage ranging from cellular degeneration, inflammation to cancers (Onoja </w:t>
      </w:r>
      <w:r>
        <w:rPr>
          <w:rFonts w:ascii="Times-New-Roman,Italic" w:hAnsi="Times-New-Roman,Italic" w:cs="Times-New-Roman,Italic"/>
          <w:sz w:val="23"/>
          <w:szCs w:val="23"/>
        </w:rPr>
        <w:t xml:space="preserve">et al. </w:t>
      </w:r>
      <w:r>
        <w:rPr>
          <w:rFonts w:ascii="Times-New-Roman" w:hAnsi="Times-New-Roman" w:cs="Times-New-Roman"/>
          <w:sz w:val="23"/>
          <w:szCs w:val="23"/>
        </w:rPr>
        <w:t xml:space="preserve">2016). They can also lead to various health problems, including haematological disorders such as anemia, leukopenia, and thrombocytopenia (Thachil </w:t>
      </w:r>
      <w:r>
        <w:rPr>
          <w:rFonts w:ascii="Times-New-Roman,Italic" w:hAnsi="Times-New-Roman,Italic" w:cs="Times-New-Roman,Italic"/>
          <w:sz w:val="23"/>
          <w:szCs w:val="23"/>
        </w:rPr>
        <w:t>et al</w:t>
      </w:r>
      <w:r>
        <w:rPr>
          <w:rFonts w:ascii="Times-New-Roman" w:hAnsi="Times-New-Roman" w:cs="Times-New-Roman"/>
          <w:sz w:val="23"/>
          <w:szCs w:val="23"/>
        </w:rPr>
        <w:t xml:space="preserve">., 2014). One potential solution to counteract the adverse effects of heavy metal exposure on the body is using medicinal plants. Plants have long been used in traditional medicine to treat various diseases and disorders, and scientific research has increasingly shown the potential health benefits of these natural remedies.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 xml:space="preserve">is a plant species in the </w:t>
      </w:r>
      <w:r>
        <w:rPr>
          <w:rFonts w:ascii="Times-New-Roman,Italic" w:hAnsi="Times-New-Roman,Italic" w:cs="Times-New-Roman,Italic"/>
          <w:sz w:val="23"/>
          <w:szCs w:val="23"/>
        </w:rPr>
        <w:t xml:space="preserve">Fabaceae </w:t>
      </w:r>
      <w:r>
        <w:rPr>
          <w:rFonts w:ascii="Times-New-Roman" w:hAnsi="Times-New-Roman" w:cs="Times-New-Roman"/>
          <w:sz w:val="23"/>
          <w:szCs w:val="23"/>
        </w:rPr>
        <w:t xml:space="preserve">family found in various parts of Africa. It is known for its wide range of medicinal properties and has been traditionally used to treat various ailments such as malaria, diarrhea, and skin infections (Ogunlana </w:t>
      </w:r>
      <w:r>
        <w:rPr>
          <w:rFonts w:ascii="Times-New-Roman,Italic" w:hAnsi="Times-New-Roman,Italic" w:cs="Times-New-Roman,Italic"/>
          <w:sz w:val="23"/>
          <w:szCs w:val="23"/>
        </w:rPr>
        <w:t>et al</w:t>
      </w:r>
      <w:r>
        <w:rPr>
          <w:rFonts w:ascii="Times-New-Roman" w:hAnsi="Times-New-Roman" w:cs="Times-New-Roman"/>
          <w:sz w:val="23"/>
          <w:szCs w:val="23"/>
        </w:rPr>
        <w:t xml:space="preserve">., 2019).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 xml:space="preserve">is a medicinal plant found in West and Central Africa. It has been traditionally used to manage various ailments, including blood-related disorders (Akindele </w:t>
      </w:r>
      <w:r>
        <w:rPr>
          <w:rFonts w:ascii="Times-New-Roman,Italic" w:hAnsi="Times-New-Roman,Italic" w:cs="Times-New-Roman,Italic"/>
          <w:sz w:val="23"/>
          <w:szCs w:val="23"/>
        </w:rPr>
        <w:t>et al</w:t>
      </w:r>
      <w:r>
        <w:rPr>
          <w:rFonts w:ascii="Times-New-Roman" w:hAnsi="Times-New-Roman" w:cs="Times-New-Roman"/>
          <w:sz w:val="23"/>
          <w:szCs w:val="23"/>
        </w:rPr>
        <w:t xml:space="preserve">., 2007). Studies have shown that the leaf extract of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possesses various pharmacological activities, including anti-inflammatory, antioxidant, and antimicrobial properties (</w:t>
      </w:r>
      <w:proofErr w:type="spellStart"/>
      <w:r>
        <w:rPr>
          <w:rFonts w:ascii="Times-New-Roman" w:hAnsi="Times-New-Roman" w:cs="Times-New-Roman"/>
          <w:sz w:val="23"/>
          <w:szCs w:val="23"/>
        </w:rPr>
        <w:t>Ojewole</w:t>
      </w:r>
      <w:proofErr w:type="spellEnd"/>
      <w:r>
        <w:rPr>
          <w:rFonts w:ascii="Times-New-Roman" w:hAnsi="Times-New-Roman" w:cs="Times-New-Roman"/>
          <w:sz w:val="23"/>
          <w:szCs w:val="23"/>
        </w:rPr>
        <w:t xml:space="preserve">, 2005; Hamzah </w:t>
      </w:r>
      <w:r>
        <w:rPr>
          <w:rFonts w:ascii="Times-New-Roman,Italic" w:hAnsi="Times-New-Roman,Italic" w:cs="Times-New-Roman,Italic"/>
          <w:sz w:val="23"/>
          <w:szCs w:val="23"/>
        </w:rPr>
        <w:t>et al.</w:t>
      </w:r>
      <w:r>
        <w:rPr>
          <w:rFonts w:ascii="Times-New-Roman" w:hAnsi="Times-New-Roman" w:cs="Times-New-Roman"/>
          <w:sz w:val="23"/>
          <w:szCs w:val="23"/>
        </w:rPr>
        <w:t xml:space="preserve">, 2018). However, more research has yet to be conducted to investigate the effects of the leaf extract and its fractions on haematological parameters in animals exposed to heavy metals. The aim of the study is to determine the effects of crude extract and fractions of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leaf extract (PMLE) on kidney function biomarkers, haematological and antioxidant indices in lead and cadmium chloride induced toxicity in rats</w:t>
      </w:r>
    </w:p>
    <w:p w:rsidR="00822A8A" w:rsidRDefault="00822A8A" w:rsidP="00822A8A">
      <w:pPr>
        <w:pStyle w:val="Default"/>
        <w:numPr>
          <w:ilvl w:val="0"/>
          <w:numId w:val="1"/>
        </w:numPr>
        <w:rPr>
          <w:b/>
          <w:bCs/>
          <w:sz w:val="23"/>
          <w:szCs w:val="23"/>
        </w:rPr>
      </w:pPr>
      <w:r>
        <w:rPr>
          <w:rFonts w:ascii="Times-New-Roman" w:hAnsi="Times-New-Roman" w:cs="Times-New-Roman"/>
          <w:sz w:val="23"/>
          <w:szCs w:val="23"/>
        </w:rPr>
        <w:t xml:space="preserve">. </w:t>
      </w:r>
      <w:r>
        <w:rPr>
          <w:b/>
          <w:bCs/>
          <w:sz w:val="23"/>
          <w:szCs w:val="23"/>
        </w:rPr>
        <w:t>2.0 MATERIALS AND METHODS</w:t>
      </w:r>
    </w:p>
    <w:p w:rsidR="00822A8A" w:rsidRDefault="00822A8A" w:rsidP="00822A8A">
      <w:pPr>
        <w:pStyle w:val="Default"/>
        <w:rPr>
          <w:rFonts w:ascii="Times-New-Roman" w:hAnsi="Times-New-Roman" w:cs="Times-New-Roman"/>
          <w:sz w:val="23"/>
          <w:szCs w:val="23"/>
        </w:rPr>
      </w:pPr>
      <w:r>
        <w:rPr>
          <w:b/>
          <w:bCs/>
          <w:sz w:val="23"/>
          <w:szCs w:val="23"/>
        </w:rPr>
        <w:t xml:space="preserve"> 2.1 Materials Plant collection </w:t>
      </w:r>
      <w:r>
        <w:rPr>
          <w:rFonts w:ascii="Times-New-Roman" w:hAnsi="Times-New-Roman" w:cs="Times-New-Roman"/>
          <w:sz w:val="23"/>
          <w:szCs w:val="23"/>
        </w:rPr>
        <w:t xml:space="preserve">Fresh leaves of </w:t>
      </w:r>
      <w:r>
        <w:rPr>
          <w:rFonts w:ascii="Times-New-Roman,Italic" w:hAnsi="Times-New-Roman,Italic" w:cs="Times-New-Roman,Italic"/>
          <w:sz w:val="23"/>
          <w:szCs w:val="23"/>
        </w:rPr>
        <w:t xml:space="preserve">Pterocarpus mildbraedii </w:t>
      </w:r>
      <w:r>
        <w:rPr>
          <w:rFonts w:ascii="Times-New-Roman" w:hAnsi="Times-New-Roman" w:cs="Times-New-Roman"/>
          <w:sz w:val="23"/>
          <w:szCs w:val="23"/>
        </w:rPr>
        <w:t xml:space="preserve">were collected within Bosso local government area, the plant materials were identified at the Department of Plant Biology, Federal University of Technology, Minna and voucher number was allotted. </w:t>
      </w:r>
    </w:p>
    <w:p w:rsidR="00822A8A" w:rsidRDefault="00822A8A" w:rsidP="00822A8A">
      <w:pPr>
        <w:pStyle w:val="Default"/>
        <w:rPr>
          <w:rFonts w:ascii="Calibri" w:hAnsi="Calibri" w:cs="Calibri"/>
          <w:color w:val="auto"/>
          <w:sz w:val="22"/>
          <w:szCs w:val="22"/>
        </w:rPr>
      </w:pPr>
      <w:r>
        <w:rPr>
          <w:b/>
          <w:bCs/>
          <w:sz w:val="23"/>
          <w:szCs w:val="23"/>
        </w:rPr>
        <w:t xml:space="preserve">Reagents and chemicals </w:t>
      </w:r>
      <w:r>
        <w:rPr>
          <w:rFonts w:ascii="Times-New-Roman" w:hAnsi="Times-New-Roman" w:cs="Times-New-Roman"/>
          <w:sz w:val="23"/>
          <w:szCs w:val="23"/>
        </w:rPr>
        <w:t xml:space="preserve">All chemicals used were of analytical grade from Sigma Aldrich USA. </w:t>
      </w:r>
      <w:r>
        <w:rPr>
          <w:b/>
          <w:bCs/>
          <w:sz w:val="23"/>
          <w:szCs w:val="23"/>
        </w:rPr>
        <w:t xml:space="preserve">Experimental animals </w:t>
      </w:r>
      <w:r>
        <w:rPr>
          <w:rFonts w:ascii="Times-New-Roman" w:hAnsi="Times-New-Roman" w:cs="Times-New-Roman"/>
          <w:sz w:val="23"/>
          <w:szCs w:val="23"/>
        </w:rPr>
        <w:t xml:space="preserve">Male Wistar rats (120.00 ± 5.20) g were obtained from the animal facility of Federal University of Technology, Minna (FUT.MINNA), Niger State, Nigeria. The animals were housed in polypropylene cages under a controlled environment with 12 hours light/dark cycles, temperature of 28 ± 3 ℃ and relative humidity of 45-50 %. </w:t>
      </w:r>
    </w:p>
    <w:p w:rsidR="00822A8A" w:rsidRDefault="00822A8A" w:rsidP="00822A8A">
      <w:pPr>
        <w:pStyle w:val="Default"/>
        <w:rPr>
          <w:rFonts w:ascii="Times-New-Roman" w:hAnsi="Times-New-Roman" w:cs="Times-New-Roman"/>
          <w:color w:val="auto"/>
          <w:sz w:val="23"/>
          <w:szCs w:val="23"/>
        </w:rPr>
      </w:pPr>
      <w:r>
        <w:rPr>
          <w:rFonts w:ascii="Times-New-Roman" w:hAnsi="Times-New-Roman" w:cs="Times-New-Roman"/>
          <w:color w:val="auto"/>
          <w:sz w:val="23"/>
          <w:szCs w:val="23"/>
        </w:rPr>
        <w:t xml:space="preserve">The animals were fed on pelleted diet (Vital Feeds, Jos Nigeria) with supply of water </w:t>
      </w:r>
      <w:r>
        <w:rPr>
          <w:rFonts w:ascii="Times-New-Roman,Italic" w:hAnsi="Times-New-Roman,Italic" w:cs="Times-New-Roman,Italic"/>
          <w:color w:val="auto"/>
          <w:sz w:val="23"/>
          <w:szCs w:val="23"/>
        </w:rPr>
        <w:t>ad libitum</w:t>
      </w:r>
      <w:r>
        <w:rPr>
          <w:rFonts w:ascii="Times-New-Roman" w:hAnsi="Times-New-Roman" w:cs="Times-New-Roman"/>
          <w:color w:val="auto"/>
          <w:sz w:val="23"/>
          <w:szCs w:val="23"/>
        </w:rPr>
        <w:t>. The experiment was conducted according to protocol review (1997) of Canadian Council on Animal Care and use guidelines.</w:t>
      </w:r>
    </w:p>
    <w:p w:rsidR="00822A8A" w:rsidRDefault="00822A8A" w:rsidP="00822A8A">
      <w:pPr>
        <w:pStyle w:val="Default"/>
        <w:rPr>
          <w:rFonts w:ascii="Times-New-Roman" w:hAnsi="Times-New-Roman" w:cs="Times-New-Roman"/>
          <w:color w:val="auto"/>
          <w:sz w:val="23"/>
          <w:szCs w:val="23"/>
        </w:rPr>
      </w:pPr>
      <w:r>
        <w:rPr>
          <w:rFonts w:ascii="Times-New-Roman" w:hAnsi="Times-New-Roman" w:cs="Times-New-Roman"/>
          <w:color w:val="auto"/>
          <w:sz w:val="23"/>
          <w:szCs w:val="23"/>
        </w:rPr>
        <w:t xml:space="preserve"> </w:t>
      </w:r>
      <w:r>
        <w:rPr>
          <w:b/>
          <w:bCs/>
          <w:color w:val="auto"/>
          <w:sz w:val="23"/>
          <w:szCs w:val="23"/>
        </w:rPr>
        <w:t xml:space="preserve">2.2 Methods Plant preparation </w:t>
      </w:r>
      <w:proofErr w:type="gramStart"/>
      <w:r>
        <w:rPr>
          <w:rFonts w:ascii="Times-New-Roman" w:hAnsi="Times-New-Roman" w:cs="Times-New-Roman"/>
          <w:color w:val="auto"/>
          <w:sz w:val="23"/>
          <w:szCs w:val="23"/>
        </w:rPr>
        <w:t>The</w:t>
      </w:r>
      <w:proofErr w:type="gramEnd"/>
      <w:r>
        <w:rPr>
          <w:rFonts w:ascii="Times-New-Roman" w:hAnsi="Times-New-Roman" w:cs="Times-New-Roman"/>
          <w:color w:val="auto"/>
          <w:sz w:val="23"/>
          <w:szCs w:val="23"/>
        </w:rPr>
        <w:t xml:space="preserve"> collected fresh leaves were rinsed with distilled water and air-dried at room temperature for a period of two (2) weeks. After the leaves had dried, they were pulverized with blender (</w:t>
      </w:r>
      <w:proofErr w:type="spellStart"/>
      <w:r>
        <w:rPr>
          <w:rFonts w:ascii="Times-New-Roman" w:hAnsi="Times-New-Roman" w:cs="Times-New-Roman"/>
          <w:color w:val="auto"/>
          <w:sz w:val="23"/>
          <w:szCs w:val="23"/>
        </w:rPr>
        <w:t>Binatone</w:t>
      </w:r>
      <w:proofErr w:type="spellEnd"/>
      <w:r>
        <w:rPr>
          <w:rFonts w:ascii="Times-New-Roman" w:hAnsi="Times-New-Roman" w:cs="Times-New-Roman"/>
          <w:color w:val="auto"/>
          <w:sz w:val="23"/>
          <w:szCs w:val="23"/>
        </w:rPr>
        <w:t xml:space="preserve"> BLG 450, United Kingdom). The powder sample was kept in air-tight container until use.</w:t>
      </w:r>
    </w:p>
    <w:p w:rsidR="00822A8A" w:rsidRDefault="00822A8A" w:rsidP="00822A8A">
      <w:pPr>
        <w:pStyle w:val="Default"/>
        <w:rPr>
          <w:rFonts w:ascii="Times-New-Roman" w:hAnsi="Times-New-Roman" w:cs="Times-New-Roman"/>
          <w:color w:val="auto"/>
          <w:sz w:val="23"/>
          <w:szCs w:val="23"/>
        </w:rPr>
      </w:pPr>
      <w:r>
        <w:rPr>
          <w:rFonts w:ascii="Times-New-Roman" w:hAnsi="Times-New-Roman" w:cs="Times-New-Roman"/>
          <w:color w:val="auto"/>
          <w:sz w:val="23"/>
          <w:szCs w:val="23"/>
        </w:rPr>
        <w:t xml:space="preserve"> </w:t>
      </w:r>
      <w:r>
        <w:rPr>
          <w:b/>
          <w:bCs/>
          <w:color w:val="auto"/>
          <w:sz w:val="23"/>
          <w:szCs w:val="23"/>
        </w:rPr>
        <w:t xml:space="preserve">Preparation of plant extracts for administration </w:t>
      </w:r>
      <w:r>
        <w:rPr>
          <w:rFonts w:ascii="Times-New-Roman" w:hAnsi="Times-New-Roman" w:cs="Times-New-Roman"/>
          <w:color w:val="auto"/>
          <w:sz w:val="23"/>
          <w:szCs w:val="23"/>
        </w:rPr>
        <w:t xml:space="preserve">Two hundred grams (200 g) of the powdered sample was extracted with 1000 mL of methanol by cold maceration for 72 hours. Thereafter, the extract was filtered using </w:t>
      </w:r>
      <w:proofErr w:type="spellStart"/>
      <w:r>
        <w:rPr>
          <w:rFonts w:ascii="Times-New-Roman" w:hAnsi="Times-New-Roman" w:cs="Times-New-Roman"/>
          <w:color w:val="auto"/>
          <w:sz w:val="23"/>
          <w:szCs w:val="23"/>
        </w:rPr>
        <w:t>Whatmann</w:t>
      </w:r>
      <w:proofErr w:type="spellEnd"/>
      <w:r>
        <w:rPr>
          <w:rFonts w:ascii="Times-New-Roman" w:hAnsi="Times-New-Roman" w:cs="Times-New-Roman"/>
          <w:color w:val="auto"/>
          <w:sz w:val="23"/>
          <w:szCs w:val="23"/>
        </w:rPr>
        <w:t xml:space="preserve"> No. 1 filter paper and the extract was concentrated by air </w:t>
      </w:r>
      <w:r>
        <w:rPr>
          <w:rFonts w:ascii="Times-New-Roman" w:hAnsi="Times-New-Roman" w:cs="Times-New-Roman"/>
          <w:color w:val="auto"/>
          <w:sz w:val="23"/>
          <w:szCs w:val="23"/>
        </w:rPr>
        <w:lastRenderedPageBreak/>
        <w:t>drying. The crude extract was mixed with small quantity of silica gel of 230-240 mesh with little quantity of methanol. The mixture was allowed to dry and spread on a sizeable filter paper placed on silica gel in a vacuum liquid chromatography column connected to a vacuum rotor. Appropriate volume of ethyl acetate, methanol and acetone were used for extraction sequentially. Each solvent was evaporated under reduced pressure in a rotary vacuum evaporator and the filtrate was lyophilized to obtain each fraction. The extracts were stored at the refrigerated condition at -4°C.</w:t>
      </w:r>
    </w:p>
    <w:p w:rsidR="00822A8A" w:rsidRDefault="00822A8A" w:rsidP="00822A8A">
      <w:pPr>
        <w:pStyle w:val="Default"/>
        <w:rPr>
          <w:b/>
          <w:bCs/>
          <w:color w:val="auto"/>
          <w:sz w:val="23"/>
          <w:szCs w:val="23"/>
        </w:rPr>
      </w:pPr>
      <w:r>
        <w:rPr>
          <w:rFonts w:ascii="Times-New-Roman" w:hAnsi="Times-New-Roman" w:cs="Times-New-Roman"/>
          <w:color w:val="auto"/>
          <w:sz w:val="23"/>
          <w:szCs w:val="23"/>
        </w:rPr>
        <w:t xml:space="preserve"> </w:t>
      </w:r>
      <w:r>
        <w:rPr>
          <w:b/>
          <w:bCs/>
          <w:color w:val="auto"/>
          <w:sz w:val="23"/>
          <w:szCs w:val="23"/>
        </w:rPr>
        <w:t>Grouping of Animals</w:t>
      </w:r>
    </w:p>
    <w:p w:rsidR="00822A8A" w:rsidRDefault="00822A8A" w:rsidP="00822A8A">
      <w:pPr>
        <w:pStyle w:val="Default"/>
        <w:rPr>
          <w:rFonts w:ascii="Times-New-Roman" w:hAnsi="Times-New-Roman" w:cs="Times-New-Roman"/>
          <w:color w:val="auto"/>
          <w:sz w:val="23"/>
          <w:szCs w:val="23"/>
        </w:rPr>
      </w:pPr>
      <w:r>
        <w:rPr>
          <w:b/>
          <w:bCs/>
          <w:color w:val="auto"/>
          <w:sz w:val="23"/>
          <w:szCs w:val="23"/>
        </w:rPr>
        <w:t xml:space="preserve"> </w:t>
      </w:r>
      <w:r>
        <w:rPr>
          <w:rFonts w:ascii="Times-New-Roman" w:hAnsi="Times-New-Roman" w:cs="Times-New-Roman"/>
          <w:color w:val="auto"/>
          <w:sz w:val="23"/>
          <w:szCs w:val="23"/>
        </w:rPr>
        <w:t xml:space="preserve">A total of 45 rats were divided into 9 groups of five rats each. The extract was administered after 1 hour daily after oral administration of solution of cadmium/lead chloride for 2 weeks as follows; </w:t>
      </w:r>
      <w:r>
        <w:rPr>
          <w:b/>
          <w:bCs/>
          <w:color w:val="auto"/>
          <w:sz w:val="23"/>
          <w:szCs w:val="23"/>
        </w:rPr>
        <w:t xml:space="preserve">Group 1 (Normal control): </w:t>
      </w:r>
      <w:r>
        <w:rPr>
          <w:rFonts w:ascii="Times-New-Roman" w:hAnsi="Times-New-Roman" w:cs="Times-New-Roman"/>
          <w:color w:val="auto"/>
          <w:sz w:val="23"/>
          <w:szCs w:val="23"/>
        </w:rPr>
        <w:t xml:space="preserve">0.5 mL/kg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normal saline </w:t>
      </w:r>
    </w:p>
    <w:p w:rsidR="00822A8A" w:rsidRDefault="00822A8A" w:rsidP="00822A8A">
      <w:pPr>
        <w:pStyle w:val="Default"/>
        <w:rPr>
          <w:rFonts w:ascii="Times-New-Roman" w:hAnsi="Times-New-Roman" w:cs="Times-New-Roman"/>
          <w:color w:val="auto"/>
          <w:sz w:val="23"/>
          <w:szCs w:val="23"/>
        </w:rPr>
      </w:pPr>
      <w:r>
        <w:rPr>
          <w:b/>
          <w:bCs/>
          <w:color w:val="auto"/>
          <w:sz w:val="23"/>
          <w:szCs w:val="23"/>
        </w:rPr>
        <w:t xml:space="preserve">Group 2 (Positive control): </w:t>
      </w:r>
      <w:r>
        <w:rPr>
          <w:rFonts w:ascii="Times-New-Roman" w:hAnsi="Times-New-Roman" w:cs="Times-New-Roman"/>
          <w:color w:val="auto"/>
          <w:sz w:val="23"/>
          <w:szCs w:val="23"/>
        </w:rPr>
        <w:t xml:space="preserve">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calcium disodium EDTA (10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w:t>
      </w:r>
    </w:p>
    <w:p w:rsidR="00822A8A" w:rsidRDefault="00822A8A" w:rsidP="00822A8A">
      <w:pPr>
        <w:pStyle w:val="Default"/>
        <w:rPr>
          <w:rFonts w:ascii="Times-New-Roman" w:hAnsi="Times-New-Roman" w:cs="Times-New-Roman"/>
          <w:color w:val="auto"/>
          <w:sz w:val="23"/>
          <w:szCs w:val="23"/>
        </w:rPr>
      </w:pPr>
      <w:r>
        <w:rPr>
          <w:b/>
          <w:bCs/>
          <w:color w:val="auto"/>
          <w:sz w:val="23"/>
          <w:szCs w:val="23"/>
        </w:rPr>
        <w:t xml:space="preserve">Group 3 (Negative control): </w:t>
      </w:r>
      <w:r>
        <w:rPr>
          <w:rFonts w:ascii="Times-New-Roman" w:hAnsi="Times-New-Roman" w:cs="Times-New-Roman"/>
          <w:color w:val="auto"/>
          <w:sz w:val="23"/>
          <w:szCs w:val="23"/>
        </w:rPr>
        <w:t xml:space="preserve">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+ 0.5 mL/kg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normal saline </w:t>
      </w:r>
    </w:p>
    <w:p w:rsidR="00822A8A" w:rsidRDefault="00822A8A" w:rsidP="00822A8A">
      <w:pPr>
        <w:pStyle w:val="Default"/>
        <w:rPr>
          <w:rFonts w:ascii="Times-New-Roman" w:hAnsi="Times-New-Roman" w:cs="Times-New-Roman"/>
          <w:color w:val="auto"/>
          <w:sz w:val="23"/>
          <w:szCs w:val="23"/>
        </w:rPr>
      </w:pPr>
      <w:r>
        <w:rPr>
          <w:b/>
          <w:bCs/>
          <w:color w:val="auto"/>
          <w:sz w:val="23"/>
          <w:szCs w:val="23"/>
        </w:rPr>
        <w:t xml:space="preserve">Group 4: </w:t>
      </w:r>
      <w:r>
        <w:rPr>
          <w:rFonts w:ascii="Times-New-Roman" w:hAnsi="Times-New-Roman" w:cs="Times-New-Roman"/>
          <w:color w:val="auto"/>
          <w:sz w:val="23"/>
          <w:szCs w:val="23"/>
        </w:rPr>
        <w:t xml:space="preserve">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+ 200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crude extract </w:t>
      </w:r>
      <w:r>
        <w:rPr>
          <w:b/>
          <w:bCs/>
          <w:color w:val="auto"/>
          <w:sz w:val="23"/>
          <w:szCs w:val="23"/>
        </w:rPr>
        <w:t>Group 5</w:t>
      </w:r>
      <w:r>
        <w:rPr>
          <w:rFonts w:ascii="Times-New-Roman" w:hAnsi="Times-New-Roman" w:cs="Times-New-Roman"/>
          <w:color w:val="auto"/>
          <w:sz w:val="23"/>
          <w:szCs w:val="23"/>
        </w:rPr>
        <w:t xml:space="preserve">: 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+ 400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crude extract </w:t>
      </w:r>
      <w:r>
        <w:rPr>
          <w:b/>
          <w:bCs/>
          <w:color w:val="auto"/>
          <w:sz w:val="23"/>
          <w:szCs w:val="23"/>
        </w:rPr>
        <w:t xml:space="preserve">Group 6: </w:t>
      </w:r>
      <w:r>
        <w:rPr>
          <w:rFonts w:ascii="Times-New-Roman" w:hAnsi="Times-New-Roman" w:cs="Times-New-Roman"/>
          <w:color w:val="auto"/>
          <w:sz w:val="23"/>
          <w:szCs w:val="23"/>
        </w:rPr>
        <w:t xml:space="preserve">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+ 200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acetone fraction </w:t>
      </w:r>
      <w:r>
        <w:rPr>
          <w:b/>
          <w:bCs/>
          <w:color w:val="auto"/>
          <w:sz w:val="23"/>
          <w:szCs w:val="23"/>
        </w:rPr>
        <w:t xml:space="preserve">Group 7: </w:t>
      </w:r>
      <w:r>
        <w:rPr>
          <w:rFonts w:ascii="Times-New-Roman" w:hAnsi="Times-New-Roman" w:cs="Times-New-Roman"/>
          <w:color w:val="auto"/>
          <w:sz w:val="23"/>
          <w:szCs w:val="23"/>
        </w:rPr>
        <w:t xml:space="preserve">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+ 400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acetone fraction </w:t>
      </w:r>
    </w:p>
    <w:p w:rsidR="00822A8A" w:rsidRDefault="00822A8A" w:rsidP="00822A8A">
      <w:pPr>
        <w:pStyle w:val="Default"/>
        <w:rPr>
          <w:rFonts w:ascii="Times-New-Roman" w:hAnsi="Times-New-Roman" w:cs="Times-New-Roman"/>
          <w:color w:val="auto"/>
          <w:sz w:val="23"/>
          <w:szCs w:val="23"/>
        </w:rPr>
      </w:pPr>
      <w:r>
        <w:rPr>
          <w:b/>
          <w:bCs/>
          <w:color w:val="auto"/>
          <w:sz w:val="23"/>
          <w:szCs w:val="23"/>
        </w:rPr>
        <w:t xml:space="preserve">Group 8: </w:t>
      </w:r>
      <w:r>
        <w:rPr>
          <w:rFonts w:ascii="Times-New-Roman" w:hAnsi="Times-New-Roman" w:cs="Times-New-Roman"/>
          <w:color w:val="auto"/>
          <w:sz w:val="23"/>
          <w:szCs w:val="23"/>
        </w:rPr>
        <w:t xml:space="preserve">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+ 200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ethyl acetate fraction </w:t>
      </w:r>
    </w:p>
    <w:p w:rsidR="00822A8A" w:rsidRDefault="00822A8A" w:rsidP="00822A8A">
      <w:pPr>
        <w:pStyle w:val="Default"/>
        <w:rPr>
          <w:rFonts w:ascii="Calibri" w:hAnsi="Calibri" w:cs="Calibri"/>
          <w:color w:val="auto"/>
          <w:sz w:val="22"/>
          <w:szCs w:val="22"/>
        </w:rPr>
      </w:pPr>
      <w:r>
        <w:rPr>
          <w:b/>
          <w:bCs/>
          <w:color w:val="auto"/>
          <w:sz w:val="23"/>
          <w:szCs w:val="23"/>
        </w:rPr>
        <w:t xml:space="preserve">Group 9: </w:t>
      </w:r>
      <w:r>
        <w:rPr>
          <w:rFonts w:ascii="Times-New-Roman" w:hAnsi="Times-New-Roman" w:cs="Times-New-Roman"/>
          <w:color w:val="auto"/>
          <w:sz w:val="23"/>
          <w:szCs w:val="23"/>
        </w:rPr>
        <w:t xml:space="preserve">Lead/cadmium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+ 400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ethyl acetate. The administration of both lead acetate/cadmium chloride solution and the extracts was through oral route. The animals were administered Lead acetate/cadmium chloride (10 and 5 mg/kg </w:t>
      </w:r>
      <w:proofErr w:type="spellStart"/>
      <w:r>
        <w:rPr>
          <w:rFonts w:ascii="Times-New-Roman" w:hAnsi="Times-New-Roman" w:cs="Times-New-Roman"/>
          <w:color w:val="auto"/>
          <w:sz w:val="23"/>
          <w:szCs w:val="23"/>
        </w:rPr>
        <w:t>bw</w:t>
      </w:r>
      <w:proofErr w:type="spellEnd"/>
      <w:r>
        <w:rPr>
          <w:rFonts w:ascii="Times-New-Roman" w:hAnsi="Times-New-Roman" w:cs="Times-New-Roman"/>
          <w:color w:val="auto"/>
          <w:sz w:val="23"/>
          <w:szCs w:val="23"/>
        </w:rPr>
        <w:t xml:space="preserve">. respectively) and treated for 14 days. The body weight of the animals was recorded on weekly basis. </w:t>
      </w:r>
    </w:p>
    <w:p w:rsidR="00822A8A" w:rsidRDefault="00822A8A" w:rsidP="00822A8A">
      <w:pPr>
        <w:pStyle w:val="Default"/>
        <w:rPr>
          <w:rFonts w:ascii="Times-New-Roman" w:hAnsi="Times-New-Roman" w:cs="Times-New-Roman"/>
          <w:color w:val="auto"/>
          <w:sz w:val="23"/>
          <w:szCs w:val="23"/>
        </w:rPr>
      </w:pPr>
      <w:r>
        <w:rPr>
          <w:rFonts w:ascii="Times-New-Roman" w:hAnsi="Times-New-Roman" w:cs="Times-New-Roman"/>
          <w:color w:val="auto"/>
          <w:sz w:val="23"/>
          <w:szCs w:val="23"/>
        </w:rPr>
        <w:t>On the 15</w:t>
      </w:r>
      <w:r>
        <w:rPr>
          <w:rFonts w:ascii="Times-New-Roman" w:hAnsi="Times-New-Roman" w:cs="Times-New-Roman"/>
          <w:color w:val="auto"/>
          <w:sz w:val="16"/>
          <w:szCs w:val="16"/>
        </w:rPr>
        <w:t xml:space="preserve">th </w:t>
      </w:r>
      <w:r>
        <w:rPr>
          <w:rFonts w:ascii="Times-New-Roman" w:hAnsi="Times-New-Roman" w:cs="Times-New-Roman"/>
          <w:color w:val="auto"/>
          <w:sz w:val="23"/>
          <w:szCs w:val="23"/>
        </w:rPr>
        <w:t xml:space="preserve">day of the experiment, animals were anaesthetized with chloroform and euthanized. The blood samples were collected via cervical dislocation in plain tubes, while and the testes and sperm were collected in sterile sample bottles. </w:t>
      </w:r>
    </w:p>
    <w:p w:rsidR="00822A8A" w:rsidRDefault="00822A8A" w:rsidP="00822A8A">
      <w:pPr>
        <w:pStyle w:val="Default"/>
        <w:rPr>
          <w:rFonts w:ascii="Times-New-Roman" w:hAnsi="Times-New-Roman" w:cs="Times-New-Roman"/>
          <w:color w:val="auto"/>
          <w:sz w:val="23"/>
          <w:szCs w:val="23"/>
        </w:rPr>
      </w:pPr>
      <w:r>
        <w:rPr>
          <w:b/>
          <w:bCs/>
          <w:color w:val="auto"/>
          <w:sz w:val="23"/>
          <w:szCs w:val="23"/>
        </w:rPr>
        <w:t xml:space="preserve">Collection of Blood Samples </w:t>
      </w:r>
      <w:r>
        <w:rPr>
          <w:rFonts w:ascii="Times-New-Roman" w:hAnsi="Times-New-Roman" w:cs="Times-New-Roman"/>
          <w:color w:val="auto"/>
          <w:sz w:val="23"/>
          <w:szCs w:val="23"/>
        </w:rPr>
        <w:t>At the end of the experimental period, the rats were fasted overnight and anesthetized with diethyl ether. Blood samples were collected from the retro-orbital sinus of each rat using a capillary tube. The blood samples were transferred into two tubes; one containing ethylenediaminetetraacetic acid (EDTA) for haematological analysis, and the other without anticoagulant for serum biochemical analysis. The tubes were labeled with the respective animal identification number and kept on ice until analysis.</w:t>
      </w:r>
    </w:p>
    <w:p w:rsidR="00822A8A" w:rsidRDefault="00822A8A" w:rsidP="00822A8A">
      <w:pPr>
        <w:pStyle w:val="Default"/>
        <w:rPr>
          <w:color w:val="auto"/>
          <w:sz w:val="23"/>
          <w:szCs w:val="23"/>
        </w:rPr>
      </w:pPr>
      <w:r>
        <w:rPr>
          <w:rFonts w:ascii="Times-New-Roman" w:hAnsi="Times-New-Roman" w:cs="Times-New-Roman"/>
          <w:color w:val="auto"/>
          <w:sz w:val="23"/>
          <w:szCs w:val="23"/>
        </w:rPr>
        <w:t xml:space="preserve"> </w:t>
      </w:r>
      <w:r>
        <w:rPr>
          <w:b/>
          <w:bCs/>
          <w:color w:val="auto"/>
          <w:sz w:val="23"/>
          <w:szCs w:val="23"/>
        </w:rPr>
        <w:t xml:space="preserve">Determination of Kidney Damage Parameters </w:t>
      </w:r>
    </w:p>
    <w:p w:rsidR="00822A8A" w:rsidRDefault="00822A8A" w:rsidP="00822A8A">
      <w:pPr>
        <w:pStyle w:val="Default"/>
        <w:rPr>
          <w:rFonts w:ascii="Times-New-Roman" w:hAnsi="Times-New-Roman" w:cs="Times-New-Roman"/>
          <w:color w:val="auto"/>
          <w:sz w:val="23"/>
          <w:szCs w:val="23"/>
        </w:rPr>
      </w:pPr>
      <w:r>
        <w:rPr>
          <w:rFonts w:ascii="Times-New-Roman" w:hAnsi="Times-New-Roman" w:cs="Times-New-Roman"/>
          <w:color w:val="auto"/>
          <w:sz w:val="23"/>
          <w:szCs w:val="23"/>
        </w:rPr>
        <w:t>Creatinine, Urea and Uric Acid were estimated using standard laboratory kits (</w:t>
      </w:r>
      <w:proofErr w:type="spellStart"/>
      <w:r>
        <w:rPr>
          <w:rFonts w:ascii="Times-New-Roman" w:hAnsi="Times-New-Roman" w:cs="Times-New-Roman"/>
          <w:color w:val="auto"/>
          <w:sz w:val="23"/>
          <w:szCs w:val="23"/>
        </w:rPr>
        <w:t>Randox</w:t>
      </w:r>
      <w:proofErr w:type="spellEnd"/>
      <w:r>
        <w:rPr>
          <w:rFonts w:ascii="Times-New-Roman" w:hAnsi="Times-New-Roman" w:cs="Times-New-Roman"/>
          <w:color w:val="auto"/>
          <w:sz w:val="23"/>
          <w:szCs w:val="23"/>
        </w:rPr>
        <w:t xml:space="preserve"> Laboratories Limited, Crumlin, County Antrim, BT294QY, United Kingdom), following manufacturer’s instructions. </w:t>
      </w:r>
    </w:p>
    <w:p w:rsidR="00822A8A" w:rsidRDefault="00822A8A" w:rsidP="00822A8A">
      <w:pPr>
        <w:pStyle w:val="Default"/>
        <w:rPr>
          <w:rFonts w:ascii="Times-New-Roman" w:hAnsi="Times-New-Roman" w:cs="Times-New-Roman"/>
          <w:color w:val="auto"/>
          <w:sz w:val="23"/>
          <w:szCs w:val="23"/>
        </w:rPr>
      </w:pPr>
      <w:r>
        <w:rPr>
          <w:rFonts w:cstheme="minorBidi"/>
          <w:b/>
          <w:bCs/>
          <w:color w:val="auto"/>
          <w:sz w:val="23"/>
          <w:szCs w:val="23"/>
        </w:rPr>
        <w:t xml:space="preserve">Haematological Analysis </w:t>
      </w:r>
      <w:r>
        <w:rPr>
          <w:rFonts w:ascii="Times-New-Roman" w:hAnsi="Times-New-Roman" w:cs="Times-New-Roman"/>
          <w:color w:val="auto"/>
          <w:sz w:val="23"/>
          <w:szCs w:val="23"/>
        </w:rPr>
        <w:t>An auto-haematological analyzer (</w:t>
      </w:r>
      <w:proofErr w:type="spellStart"/>
      <w:r>
        <w:rPr>
          <w:rFonts w:ascii="Times-New-Roman" w:hAnsi="Times-New-Roman" w:cs="Times-New-Roman"/>
          <w:color w:val="auto"/>
          <w:sz w:val="23"/>
          <w:szCs w:val="23"/>
        </w:rPr>
        <w:t>Absacus</w:t>
      </w:r>
      <w:proofErr w:type="spellEnd"/>
      <w:r>
        <w:rPr>
          <w:rFonts w:ascii="Times-New-Roman" w:hAnsi="Times-New-Roman" w:cs="Times-New-Roman"/>
          <w:color w:val="auto"/>
          <w:sz w:val="23"/>
          <w:szCs w:val="23"/>
        </w:rPr>
        <w:t xml:space="preserve"> Junior) was used to determine the following haematological parameters: packed cell volume (PCV), total white blood cell count (TWBC), lymphocytes (L), red blood cell count (RBC), </w:t>
      </w:r>
      <w:proofErr w:type="spellStart"/>
      <w:r>
        <w:rPr>
          <w:rFonts w:ascii="Times-New-Roman" w:hAnsi="Times-New-Roman" w:cs="Times-New-Roman"/>
          <w:color w:val="auto"/>
          <w:sz w:val="23"/>
          <w:szCs w:val="23"/>
        </w:rPr>
        <w:t>haemoglobin</w:t>
      </w:r>
      <w:proofErr w:type="spellEnd"/>
      <w:r>
        <w:rPr>
          <w:rFonts w:ascii="Times-New-Roman" w:hAnsi="Times-New-Roman" w:cs="Times-New-Roman"/>
          <w:color w:val="auto"/>
          <w:sz w:val="23"/>
          <w:szCs w:val="23"/>
        </w:rPr>
        <w:t xml:space="preserve"> concentration (Hb), platelet count (PLT). mean corpuscular volume (MCV), mean corpuscular </w:t>
      </w:r>
      <w:proofErr w:type="spellStart"/>
      <w:r>
        <w:rPr>
          <w:rFonts w:ascii="Times-New-Roman" w:hAnsi="Times-New-Roman" w:cs="Times-New-Roman"/>
          <w:color w:val="auto"/>
          <w:sz w:val="23"/>
          <w:szCs w:val="23"/>
        </w:rPr>
        <w:t>haemoglobin</w:t>
      </w:r>
      <w:proofErr w:type="spellEnd"/>
      <w:r>
        <w:rPr>
          <w:rFonts w:ascii="Times-New-Roman" w:hAnsi="Times-New-Roman" w:cs="Times-New-Roman"/>
          <w:color w:val="auto"/>
          <w:sz w:val="23"/>
          <w:szCs w:val="23"/>
        </w:rPr>
        <w:t xml:space="preserve"> (MCH) and mean corpuscular </w:t>
      </w:r>
      <w:proofErr w:type="spellStart"/>
      <w:r>
        <w:rPr>
          <w:rFonts w:ascii="Times-New-Roman" w:hAnsi="Times-New-Roman" w:cs="Times-New-Roman"/>
          <w:color w:val="auto"/>
          <w:sz w:val="23"/>
          <w:szCs w:val="23"/>
        </w:rPr>
        <w:t>haemoglobin</w:t>
      </w:r>
      <w:proofErr w:type="spellEnd"/>
      <w:r>
        <w:rPr>
          <w:rFonts w:ascii="Times-New-Roman" w:hAnsi="Times-New-Roman" w:cs="Times-New-Roman"/>
          <w:color w:val="auto"/>
          <w:sz w:val="23"/>
          <w:szCs w:val="23"/>
        </w:rPr>
        <w:t xml:space="preserve"> concentration (MCHC)</w:t>
      </w:r>
    </w:p>
    <w:p w:rsidR="00F94DDB" w:rsidRDefault="00822A8A" w:rsidP="00822A8A">
      <w:pPr>
        <w:pStyle w:val="Default"/>
        <w:rPr>
          <w:rFonts w:ascii="Times-New-Roman" w:hAnsi="Times-New-Roman" w:cs="Times-New-Roman"/>
          <w:color w:val="auto"/>
          <w:sz w:val="23"/>
          <w:szCs w:val="23"/>
        </w:rPr>
      </w:pPr>
      <w:r>
        <w:rPr>
          <w:rFonts w:ascii="Times-New-Roman" w:hAnsi="Times-New-Roman" w:cs="Times-New-Roman"/>
          <w:color w:val="auto"/>
          <w:sz w:val="23"/>
          <w:szCs w:val="23"/>
        </w:rPr>
        <w:t xml:space="preserve"> </w:t>
      </w:r>
      <w:r>
        <w:rPr>
          <w:b/>
          <w:bCs/>
          <w:color w:val="auto"/>
          <w:sz w:val="23"/>
          <w:szCs w:val="23"/>
        </w:rPr>
        <w:t xml:space="preserve">Antioxidant Activities Determination </w:t>
      </w:r>
      <w:r>
        <w:rPr>
          <w:rFonts w:ascii="Times-New-Roman" w:hAnsi="Times-New-Roman" w:cs="Times-New-Roman"/>
          <w:color w:val="auto"/>
          <w:sz w:val="23"/>
          <w:szCs w:val="23"/>
        </w:rPr>
        <w:t xml:space="preserve">Superoxide dismutase (SOD) activity in the tissues homogenates was determined using the method of Kangari </w:t>
      </w:r>
      <w:r>
        <w:rPr>
          <w:rFonts w:ascii="Times-New-Roman,Italic" w:hAnsi="Times-New-Roman,Italic" w:cs="Times-New-Roman,Italic"/>
          <w:color w:val="auto"/>
          <w:sz w:val="23"/>
          <w:szCs w:val="23"/>
        </w:rPr>
        <w:t>et al</w:t>
      </w:r>
      <w:r>
        <w:rPr>
          <w:rFonts w:ascii="Times-New-Roman" w:hAnsi="Times-New-Roman" w:cs="Times-New-Roman"/>
          <w:color w:val="auto"/>
          <w:sz w:val="23"/>
          <w:szCs w:val="23"/>
        </w:rPr>
        <w:t xml:space="preserve">., (2018), catalase activity was measured following the protocol of </w:t>
      </w:r>
      <w:proofErr w:type="spellStart"/>
      <w:r>
        <w:rPr>
          <w:rFonts w:ascii="Times-New-Roman" w:hAnsi="Times-New-Roman" w:cs="Times-New-Roman"/>
          <w:color w:val="auto"/>
          <w:sz w:val="23"/>
          <w:szCs w:val="23"/>
        </w:rPr>
        <w:t>Stroev</w:t>
      </w:r>
      <w:proofErr w:type="spellEnd"/>
      <w:r>
        <w:rPr>
          <w:rFonts w:ascii="Times-New-Roman" w:hAnsi="Times-New-Roman" w:cs="Times-New-Roman"/>
          <w:color w:val="auto"/>
          <w:sz w:val="23"/>
          <w:szCs w:val="23"/>
        </w:rPr>
        <w:t xml:space="preserve"> and Makarova, (1989), glutathione estimation was done by the method described by Ahmed </w:t>
      </w:r>
      <w:r>
        <w:rPr>
          <w:rFonts w:ascii="Times-New-Roman,Italic" w:hAnsi="Times-New-Roman,Italic" w:cs="Times-New-Roman,Italic"/>
          <w:color w:val="auto"/>
          <w:sz w:val="23"/>
          <w:szCs w:val="23"/>
        </w:rPr>
        <w:t>et. al</w:t>
      </w:r>
      <w:r>
        <w:rPr>
          <w:rFonts w:ascii="Times-New-Roman" w:hAnsi="Times-New-Roman" w:cs="Times-New-Roman"/>
          <w:color w:val="auto"/>
          <w:sz w:val="23"/>
          <w:szCs w:val="23"/>
        </w:rPr>
        <w:t xml:space="preserve">., (1991) with slight modifications and Lipid peroxidation assay through the estimation of Malondialdehyde level (MDA)was carried out using the method of Varshney, and Kale, (1990). </w:t>
      </w:r>
    </w:p>
    <w:p w:rsidR="00822A8A" w:rsidRDefault="00822A8A" w:rsidP="00F94DDB">
      <w:pPr>
        <w:pStyle w:val="Default"/>
        <w:rPr>
          <w:rFonts w:ascii="Calibri" w:hAnsi="Calibri" w:cs="Calibri"/>
          <w:color w:val="auto"/>
          <w:sz w:val="22"/>
          <w:szCs w:val="22"/>
        </w:rPr>
      </w:pPr>
      <w:r>
        <w:rPr>
          <w:b/>
          <w:bCs/>
          <w:color w:val="auto"/>
          <w:sz w:val="23"/>
          <w:szCs w:val="23"/>
        </w:rPr>
        <w:lastRenderedPageBreak/>
        <w:t xml:space="preserve">Statistical Analysis </w:t>
      </w:r>
      <w:r>
        <w:rPr>
          <w:rFonts w:ascii="Times-New-Roman" w:hAnsi="Times-New-Roman" w:cs="Times-New-Roman"/>
          <w:color w:val="auto"/>
          <w:sz w:val="23"/>
          <w:szCs w:val="23"/>
        </w:rPr>
        <w:t xml:space="preserve">Values are presented as mean ± standard error of mean (SEM) of three </w:t>
      </w:r>
    </w:p>
    <w:p w:rsidR="00F94DDB" w:rsidRDefault="00F94DDB" w:rsidP="00822A8A">
      <w:pPr>
        <w:pStyle w:val="Default"/>
        <w:rPr>
          <w:rFonts w:cstheme="minorBidi"/>
          <w:b/>
          <w:bCs/>
          <w:color w:val="auto"/>
          <w:sz w:val="23"/>
          <w:szCs w:val="23"/>
        </w:rPr>
      </w:pPr>
    </w:p>
    <w:p w:rsidR="00F94DDB" w:rsidRDefault="00822A8A" w:rsidP="00F94DDB">
      <w:pPr>
        <w:pStyle w:val="Default"/>
        <w:rPr>
          <w:rFonts w:cstheme="minorBidi"/>
          <w:b/>
          <w:bCs/>
          <w:color w:val="auto"/>
          <w:sz w:val="23"/>
          <w:szCs w:val="23"/>
        </w:rPr>
      </w:pPr>
      <w:r>
        <w:rPr>
          <w:rFonts w:cstheme="minorBidi"/>
          <w:b/>
          <w:bCs/>
          <w:color w:val="auto"/>
          <w:sz w:val="23"/>
          <w:szCs w:val="23"/>
        </w:rPr>
        <w:t>3.0 RESULTS</w:t>
      </w:r>
    </w:p>
    <w:p w:rsidR="00F94DDB" w:rsidRDefault="00F94DDB" w:rsidP="00F94DDB">
      <w:pPr>
        <w:pStyle w:val="Default"/>
        <w:rPr>
          <w:rFonts w:ascii="Times-New-Roman" w:hAnsi="Times-New-Roman" w:cs="Times-New-Roman"/>
          <w:color w:val="auto"/>
          <w:sz w:val="23"/>
          <w:szCs w:val="23"/>
        </w:rPr>
      </w:pPr>
      <w:r w:rsidRPr="00F94DDB">
        <w:rPr>
          <w:rFonts w:ascii="Times-New-Roman" w:hAnsi="Times-New-Roman" w:cs="Times-New-Roman"/>
          <w:noProof/>
          <w:color w:val="auto"/>
          <w:sz w:val="23"/>
          <w:szCs w:val="23"/>
        </w:rPr>
        <w:lastRenderedPageBreak/>
        <w:drawing>
          <wp:inline distT="0" distB="0" distL="0" distR="0">
            <wp:extent cx="5784215" cy="8229600"/>
            <wp:effectExtent l="0" t="0" r="6985" b="0"/>
            <wp:docPr id="21293801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4215" cy="8229600"/>
                    </a:xfrm>
                    <a:prstGeom prst="rect">
                      <a:avLst/>
                    </a:prstGeom>
                    <a:noFill/>
                    <a:ln>
                      <a:noFill/>
                    </a:ln>
                  </pic:spPr>
                </pic:pic>
              </a:graphicData>
            </a:graphic>
          </wp:inline>
        </w:drawing>
      </w:r>
    </w:p>
    <w:p w:rsidR="00F94DDB" w:rsidRDefault="00F94DDB" w:rsidP="00F94DDB">
      <w:pPr>
        <w:pStyle w:val="Default"/>
        <w:rPr>
          <w:rFonts w:ascii="Times-New-Roman" w:hAnsi="Times-New-Roman" w:cs="Times-New-Roman"/>
          <w:color w:val="auto"/>
          <w:sz w:val="23"/>
          <w:szCs w:val="23"/>
        </w:rPr>
      </w:pPr>
      <w:r w:rsidRPr="00F94DDB">
        <w:rPr>
          <w:rFonts w:ascii="Times-New-Roman" w:hAnsi="Times-New-Roman" w:cs="Times-New-Roman"/>
          <w:noProof/>
          <w:color w:val="auto"/>
          <w:sz w:val="23"/>
          <w:szCs w:val="23"/>
        </w:rPr>
        <w:lastRenderedPageBreak/>
        <w:drawing>
          <wp:inline distT="0" distB="0" distL="0" distR="0">
            <wp:extent cx="5770245" cy="8229600"/>
            <wp:effectExtent l="0" t="0" r="1905" b="0"/>
            <wp:docPr id="51700894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0245" cy="8229600"/>
                    </a:xfrm>
                    <a:prstGeom prst="rect">
                      <a:avLst/>
                    </a:prstGeom>
                    <a:noFill/>
                    <a:ln>
                      <a:noFill/>
                    </a:ln>
                  </pic:spPr>
                </pic:pic>
              </a:graphicData>
            </a:graphic>
          </wp:inline>
        </w:drawing>
      </w:r>
    </w:p>
    <w:p w:rsidR="00F94DDB" w:rsidRDefault="00F94DDB" w:rsidP="00F94DDB">
      <w:pPr>
        <w:pStyle w:val="Default"/>
        <w:rPr>
          <w:rFonts w:ascii="Times-New-Roman" w:hAnsi="Times-New-Roman" w:cs="Times-New-Roman"/>
          <w:color w:val="auto"/>
          <w:sz w:val="23"/>
          <w:szCs w:val="23"/>
        </w:rPr>
      </w:pPr>
      <w:r w:rsidRPr="00F94DDB">
        <w:rPr>
          <w:rFonts w:ascii="Times-New-Roman" w:hAnsi="Times-New-Roman" w:cs="Times-New-Roman"/>
          <w:noProof/>
          <w:color w:val="auto"/>
          <w:sz w:val="23"/>
          <w:szCs w:val="23"/>
        </w:rPr>
        <w:lastRenderedPageBreak/>
        <w:drawing>
          <wp:inline distT="0" distB="0" distL="0" distR="0">
            <wp:extent cx="5943600" cy="7339330"/>
            <wp:effectExtent l="0" t="0" r="0" b="9525"/>
            <wp:docPr id="211266217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339330"/>
                    </a:xfrm>
                    <a:prstGeom prst="rect">
                      <a:avLst/>
                    </a:prstGeom>
                    <a:noFill/>
                    <a:ln>
                      <a:noFill/>
                    </a:ln>
                  </pic:spPr>
                </pic:pic>
              </a:graphicData>
            </a:graphic>
          </wp:inline>
        </w:drawing>
      </w:r>
    </w:p>
    <w:p w:rsidR="00F94DDB" w:rsidRDefault="00F94DDB" w:rsidP="00F94DDB">
      <w:pPr>
        <w:pStyle w:val="Default"/>
        <w:rPr>
          <w:rFonts w:ascii="Times-New-Roman" w:hAnsi="Times-New-Roman" w:cs="Times-New-Roman"/>
          <w:color w:val="auto"/>
          <w:sz w:val="23"/>
          <w:szCs w:val="23"/>
        </w:rPr>
      </w:pPr>
    </w:p>
    <w:p w:rsidR="00F94DDB" w:rsidRDefault="00F94DDB" w:rsidP="00F94DDB">
      <w:pPr>
        <w:pStyle w:val="Default"/>
        <w:rPr>
          <w:rFonts w:ascii="Times-New-Roman" w:hAnsi="Times-New-Roman" w:cs="Times-New-Roman"/>
          <w:color w:val="auto"/>
          <w:sz w:val="23"/>
          <w:szCs w:val="23"/>
        </w:rPr>
      </w:pPr>
      <w:r w:rsidRPr="00F94DDB">
        <w:rPr>
          <w:rFonts w:ascii="Times-New-Roman" w:hAnsi="Times-New-Roman" w:cs="Times-New-Roman"/>
          <w:noProof/>
          <w:color w:val="auto"/>
          <w:sz w:val="23"/>
          <w:szCs w:val="23"/>
        </w:rPr>
        <w:lastRenderedPageBreak/>
        <w:drawing>
          <wp:inline distT="0" distB="0" distL="0" distR="0">
            <wp:extent cx="5943600" cy="7957820"/>
            <wp:effectExtent l="0" t="0" r="0" b="5080"/>
            <wp:docPr id="635382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7957820"/>
                    </a:xfrm>
                    <a:prstGeom prst="rect">
                      <a:avLst/>
                    </a:prstGeom>
                    <a:noFill/>
                    <a:ln>
                      <a:noFill/>
                    </a:ln>
                  </pic:spPr>
                </pic:pic>
              </a:graphicData>
            </a:graphic>
          </wp:inline>
        </w:drawing>
      </w:r>
    </w:p>
    <w:p w:rsidR="00F94DDB" w:rsidRDefault="00F94DDB" w:rsidP="00F94DDB">
      <w:pPr>
        <w:pStyle w:val="Default"/>
        <w:rPr>
          <w:rFonts w:ascii="Times-New-Roman" w:hAnsi="Times-New-Roman" w:cs="Times-New-Roman"/>
          <w:color w:val="auto"/>
          <w:sz w:val="23"/>
          <w:szCs w:val="23"/>
        </w:rPr>
      </w:pPr>
    </w:p>
    <w:p w:rsidR="00F94DDB" w:rsidRDefault="00F94DDB" w:rsidP="00F94DDB">
      <w:pPr>
        <w:pStyle w:val="Default"/>
        <w:rPr>
          <w:rFonts w:ascii="Times-New-Roman" w:hAnsi="Times-New-Roman" w:cs="Times-New-Roman"/>
          <w:color w:val="auto"/>
          <w:sz w:val="23"/>
          <w:szCs w:val="23"/>
        </w:rPr>
      </w:pPr>
      <w:r w:rsidRPr="00F94DDB">
        <w:rPr>
          <w:rFonts w:ascii="Times-New-Roman" w:hAnsi="Times-New-Roman" w:cs="Times-New-Roman"/>
          <w:noProof/>
          <w:color w:val="auto"/>
          <w:sz w:val="23"/>
          <w:szCs w:val="23"/>
        </w:rPr>
        <w:lastRenderedPageBreak/>
        <w:drawing>
          <wp:inline distT="0" distB="0" distL="0" distR="0">
            <wp:extent cx="5943600" cy="7033260"/>
            <wp:effectExtent l="0" t="0" r="0" b="0"/>
            <wp:docPr id="5028769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033260"/>
                    </a:xfrm>
                    <a:prstGeom prst="rect">
                      <a:avLst/>
                    </a:prstGeom>
                    <a:noFill/>
                    <a:ln>
                      <a:noFill/>
                    </a:ln>
                  </pic:spPr>
                </pic:pic>
              </a:graphicData>
            </a:graphic>
          </wp:inline>
        </w:drawing>
      </w:r>
    </w:p>
    <w:p w:rsidR="00822A8A" w:rsidRDefault="00822A8A" w:rsidP="00822A8A">
      <w:pPr>
        <w:pStyle w:val="Default"/>
        <w:rPr>
          <w:b/>
          <w:bCs/>
          <w:color w:val="auto"/>
          <w:sz w:val="23"/>
          <w:szCs w:val="23"/>
        </w:rPr>
      </w:pPr>
    </w:p>
    <w:p w:rsidR="00F94DDB" w:rsidRDefault="00F94DDB" w:rsidP="00F94DDB">
      <w:pPr>
        <w:pStyle w:val="Default"/>
        <w:rPr>
          <w:sz w:val="23"/>
          <w:szCs w:val="23"/>
        </w:rPr>
      </w:pPr>
      <w:r>
        <w:rPr>
          <w:b/>
          <w:bCs/>
          <w:sz w:val="23"/>
          <w:szCs w:val="23"/>
        </w:rPr>
        <w:t xml:space="preserve">4.0 DISCUSSION </w:t>
      </w:r>
    </w:p>
    <w:p w:rsidR="00F94DDB" w:rsidRDefault="00F94DDB" w:rsidP="00F94DDB">
      <w:pPr>
        <w:pStyle w:val="Default"/>
        <w:rPr>
          <w:rFonts w:ascii="Times-New-Roman" w:hAnsi="Times-New-Roman" w:cs="Times-New-Roman"/>
          <w:color w:val="auto"/>
          <w:sz w:val="23"/>
          <w:szCs w:val="23"/>
        </w:rPr>
      </w:pPr>
      <w:r>
        <w:rPr>
          <w:rFonts w:ascii="Times-New-Roman" w:hAnsi="Times-New-Roman" w:cs="Times-New-Roman"/>
          <w:color w:val="auto"/>
          <w:sz w:val="23"/>
          <w:szCs w:val="23"/>
        </w:rPr>
        <w:t xml:space="preserve">Assessment of kidney biomarkers is very vital in determining it health status and the various </w:t>
      </w:r>
    </w:p>
    <w:p w:rsidR="00F94DDB" w:rsidRDefault="00F94DDB" w:rsidP="00F94DDB">
      <w:pPr>
        <w:pStyle w:val="Default"/>
        <w:rPr>
          <w:rFonts w:ascii="Times-New-Roman" w:hAnsi="Times-New-Roman" w:cs="Times-New-Roman"/>
          <w:color w:val="auto"/>
          <w:sz w:val="23"/>
          <w:szCs w:val="23"/>
        </w:rPr>
      </w:pPr>
      <w:r>
        <w:rPr>
          <w:rFonts w:ascii="Times-New-Roman" w:hAnsi="Times-New-Roman" w:cs="Times-New-Roman"/>
          <w:color w:val="auto"/>
          <w:sz w:val="23"/>
          <w:szCs w:val="23"/>
        </w:rPr>
        <w:t xml:space="preserve">metabolic </w:t>
      </w:r>
      <w:proofErr w:type="spellStart"/>
      <w:r>
        <w:rPr>
          <w:rFonts w:ascii="Times-New-Roman" w:hAnsi="Times-New-Roman" w:cs="Times-New-Roman"/>
          <w:color w:val="auto"/>
          <w:sz w:val="23"/>
          <w:szCs w:val="23"/>
        </w:rPr>
        <w:t>functionsIncrease</w:t>
      </w:r>
      <w:proofErr w:type="spellEnd"/>
      <w:r>
        <w:rPr>
          <w:rFonts w:ascii="Times-New-Roman" w:hAnsi="Times-New-Roman" w:cs="Times-New-Roman"/>
          <w:color w:val="auto"/>
          <w:sz w:val="23"/>
          <w:szCs w:val="23"/>
        </w:rPr>
        <w:t xml:space="preserve"> in the concentration of urea, uric acid and creatinine levels in this study indicate that after the co-administration of toxic metals (Pb and Cd), the excretory function of the kidney might have been impaired. Similar results of changes in the levels of urea and creatinine were observed in other studies (Yuan </w:t>
      </w:r>
      <w:r>
        <w:rPr>
          <w:rFonts w:ascii="Times-New-Roman,Italic" w:hAnsi="Times-New-Roman,Italic" w:cs="Times-New-Roman,Italic"/>
          <w:color w:val="auto"/>
          <w:sz w:val="23"/>
          <w:szCs w:val="23"/>
        </w:rPr>
        <w:t xml:space="preserve">et al., </w:t>
      </w:r>
      <w:r>
        <w:rPr>
          <w:rFonts w:ascii="Times-New-Roman" w:hAnsi="Times-New-Roman" w:cs="Times-New-Roman"/>
          <w:color w:val="auto"/>
          <w:sz w:val="23"/>
          <w:szCs w:val="23"/>
        </w:rPr>
        <w:t xml:space="preserve">2014; El-Boshy </w:t>
      </w:r>
      <w:r>
        <w:rPr>
          <w:rFonts w:ascii="Times-New-Roman,Italic" w:hAnsi="Times-New-Roman,Italic" w:cs="Times-New-Roman,Italic"/>
          <w:color w:val="auto"/>
          <w:sz w:val="23"/>
          <w:szCs w:val="23"/>
        </w:rPr>
        <w:t xml:space="preserve">et al., </w:t>
      </w:r>
      <w:r>
        <w:rPr>
          <w:rFonts w:ascii="Times-New-Roman" w:hAnsi="Times-New-Roman" w:cs="Times-New-Roman"/>
          <w:color w:val="auto"/>
          <w:sz w:val="23"/>
          <w:szCs w:val="23"/>
        </w:rPr>
        <w:t>2018).</w:t>
      </w:r>
    </w:p>
    <w:p w:rsidR="00F94DDB" w:rsidRPr="00F94DDB" w:rsidRDefault="00F94DDB" w:rsidP="00F94DDB">
      <w:pPr>
        <w:autoSpaceDE w:val="0"/>
        <w:autoSpaceDN w:val="0"/>
        <w:adjustRightInd w:val="0"/>
        <w:spacing w:after="0" w:line="240" w:lineRule="auto"/>
        <w:rPr>
          <w:rFonts w:ascii="Times-New-Roman" w:hAnsi="Times-New-Roman" w:cs="Times-New-Roman"/>
          <w:color w:val="000000"/>
          <w:kern w:val="0"/>
          <w:sz w:val="23"/>
          <w:szCs w:val="23"/>
        </w:rPr>
      </w:pPr>
      <w:r w:rsidRPr="00F94DDB">
        <w:rPr>
          <w:rFonts w:ascii="Times-New-Roman" w:hAnsi="Times-New-Roman" w:cs="Times-New-Roman"/>
          <w:color w:val="000000"/>
          <w:kern w:val="0"/>
          <w:sz w:val="23"/>
          <w:szCs w:val="23"/>
        </w:rPr>
        <w:lastRenderedPageBreak/>
        <w:t xml:space="preserve">The decrease in the values of urea and creatinine in the groups administered Pterocarpus </w:t>
      </w:r>
    </w:p>
    <w:p w:rsidR="00F94DDB" w:rsidRPr="00F94DDB" w:rsidRDefault="00F94DDB" w:rsidP="00F94DDB">
      <w:pPr>
        <w:autoSpaceDE w:val="0"/>
        <w:autoSpaceDN w:val="0"/>
        <w:adjustRightInd w:val="0"/>
        <w:spacing w:after="0" w:line="240" w:lineRule="auto"/>
        <w:rPr>
          <w:rFonts w:ascii="Times-New-Roman" w:hAnsi="Times-New-Roman" w:cs="Times-New-Roman"/>
          <w:kern w:val="0"/>
          <w:sz w:val="23"/>
          <w:szCs w:val="23"/>
        </w:rPr>
      </w:pPr>
      <w:r w:rsidRPr="00F94DDB">
        <w:rPr>
          <w:rFonts w:ascii="Times-New-Roman,Italic" w:hAnsi="Times-New-Roman,Italic" w:cs="Times-New-Roman,Italic"/>
          <w:kern w:val="0"/>
          <w:sz w:val="23"/>
          <w:szCs w:val="23"/>
        </w:rPr>
        <w:t xml:space="preserve">mildbraedii </w:t>
      </w:r>
      <w:r w:rsidRPr="00F94DDB">
        <w:rPr>
          <w:rFonts w:ascii="Times-New-Roman" w:hAnsi="Times-New-Roman" w:cs="Times-New-Roman"/>
          <w:kern w:val="0"/>
          <w:sz w:val="23"/>
          <w:szCs w:val="23"/>
        </w:rPr>
        <w:t xml:space="preserve">leaf </w:t>
      </w:r>
      <w:proofErr w:type="gramStart"/>
      <w:r w:rsidRPr="00F94DDB">
        <w:rPr>
          <w:rFonts w:ascii="Times-New-Roman" w:hAnsi="Times-New-Roman" w:cs="Times-New-Roman"/>
          <w:kern w:val="0"/>
          <w:sz w:val="23"/>
          <w:szCs w:val="23"/>
        </w:rPr>
        <w:t xml:space="preserve">extracts </w:t>
      </w:r>
      <w:r>
        <w:rPr>
          <w:rFonts w:ascii="Times-New-Roman" w:hAnsi="Times-New-Roman" w:cs="Times-New-Roman"/>
          <w:kern w:val="0"/>
          <w:sz w:val="23"/>
          <w:szCs w:val="23"/>
        </w:rPr>
        <w:t xml:space="preserve"> </w:t>
      </w:r>
      <w:r w:rsidRPr="00F94DDB">
        <w:rPr>
          <w:rFonts w:ascii="Times-New-Roman" w:hAnsi="Times-New-Roman"/>
          <w:kern w:val="0"/>
          <w:sz w:val="23"/>
          <w:szCs w:val="23"/>
        </w:rPr>
        <w:t>is</w:t>
      </w:r>
      <w:proofErr w:type="gramEnd"/>
      <w:r w:rsidRPr="00F94DDB">
        <w:rPr>
          <w:rFonts w:ascii="Times-New-Roman" w:hAnsi="Times-New-Roman"/>
          <w:kern w:val="0"/>
          <w:sz w:val="23"/>
          <w:szCs w:val="23"/>
        </w:rPr>
        <w:t xml:space="preserve"> an indication of recovery from toxic effects on the kidney. </w:t>
      </w:r>
    </w:p>
    <w:p w:rsidR="00F94DDB" w:rsidRDefault="00F94DDB" w:rsidP="00F94DDB">
      <w:pPr>
        <w:pStyle w:val="Default"/>
        <w:rPr>
          <w:rFonts w:ascii="Times-New-Roman" w:hAnsi="Times-New-Roman" w:cs="Times-New-Roman"/>
          <w:sz w:val="23"/>
          <w:szCs w:val="23"/>
        </w:rPr>
      </w:pPr>
      <w:r w:rsidRPr="00F94DDB">
        <w:rPr>
          <w:rFonts w:ascii="Times-New-Roman" w:hAnsi="Times-New-Roman" w:cstheme="minorBidi"/>
          <w:color w:val="auto"/>
          <w:sz w:val="23"/>
          <w:szCs w:val="23"/>
        </w:rPr>
        <w:t xml:space="preserve">This reversion by the </w:t>
      </w:r>
      <w:r w:rsidRPr="00F94DDB">
        <w:rPr>
          <w:rFonts w:ascii="Times-New-Roman,Italic" w:hAnsi="Times-New-Roman,Italic" w:cs="Times-New-Roman,Italic"/>
          <w:color w:val="auto"/>
          <w:sz w:val="23"/>
          <w:szCs w:val="23"/>
        </w:rPr>
        <w:t xml:space="preserve">Pterocarpus mildbraedii </w:t>
      </w:r>
      <w:r w:rsidRPr="00F94DDB">
        <w:rPr>
          <w:rFonts w:ascii="Times-New-Roman" w:hAnsi="Times-New-Roman" w:cs="Times-New-Roman"/>
          <w:color w:val="auto"/>
          <w:sz w:val="23"/>
          <w:szCs w:val="23"/>
        </w:rPr>
        <w:t xml:space="preserve">leave extracts may due to the presence of some phytochemicals responsible for improving the renal function as it was seen in the electrolyte levels improvement .It is an established fact that blood cells are synthesized from bone marrow of animals: the decreased level in the several cellular blood components on exposure to lead and cadmium chloride as observed in this study is an indication that the bone marrow has been compromised in a way that the balance between synthesis and destruction of cells is distorted, </w:t>
      </w:r>
      <w:proofErr w:type="spellStart"/>
      <w:r w:rsidRPr="00F94DDB">
        <w:rPr>
          <w:rFonts w:ascii="Times-New-Roman" w:hAnsi="Times-New-Roman" w:cs="Times-New-Roman"/>
          <w:color w:val="auto"/>
          <w:sz w:val="23"/>
          <w:szCs w:val="23"/>
        </w:rPr>
        <w:t>favouring</w:t>
      </w:r>
      <w:proofErr w:type="spellEnd"/>
      <w:r w:rsidRPr="00F94DDB">
        <w:rPr>
          <w:rFonts w:ascii="Times-New-Roman" w:hAnsi="Times-New-Roman" w:cs="Times-New-Roman"/>
          <w:color w:val="auto"/>
          <w:sz w:val="23"/>
          <w:szCs w:val="23"/>
        </w:rPr>
        <w:t xml:space="preserve"> destruction/catabolism, hence, the decrease can be attributed to lead and cadmium-induced toxicity (Ojo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2014, Saliu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2012). The toxic effects of lead and cadmium chloride were found to be annulled by the crude extract and fractions of </w:t>
      </w:r>
      <w:r w:rsidRPr="00F94DDB">
        <w:rPr>
          <w:rFonts w:ascii="Times-New-Roman,Italic" w:hAnsi="Times-New-Roman,Italic" w:cs="Times-New-Roman,Italic"/>
          <w:color w:val="auto"/>
          <w:sz w:val="23"/>
          <w:szCs w:val="23"/>
        </w:rPr>
        <w:t>P. mildbraedii</w:t>
      </w:r>
      <w:r w:rsidRPr="00F94DDB">
        <w:rPr>
          <w:rFonts w:ascii="Times-New-Roman" w:hAnsi="Times-New-Roman" w:cs="Times-New-Roman"/>
          <w:color w:val="auto"/>
          <w:sz w:val="23"/>
          <w:szCs w:val="23"/>
        </w:rPr>
        <w:t xml:space="preserve">. Lowered RBC count, decreased MCH and MCV are some of the haematological alterations associated with cadmium exposure (Falke and </w:t>
      </w:r>
      <w:proofErr w:type="spellStart"/>
      <w:r w:rsidRPr="00F94DDB">
        <w:rPr>
          <w:rFonts w:ascii="Times-New-Roman" w:hAnsi="Times-New-Roman" w:cs="Times-New-Roman"/>
          <w:color w:val="auto"/>
          <w:sz w:val="23"/>
          <w:szCs w:val="23"/>
        </w:rPr>
        <w:t>Zwennis</w:t>
      </w:r>
      <w:proofErr w:type="spellEnd"/>
      <w:r w:rsidRPr="00F94DDB">
        <w:rPr>
          <w:rFonts w:ascii="Times-New-Roman" w:hAnsi="Times-New-Roman" w:cs="Times-New-Roman"/>
          <w:color w:val="auto"/>
          <w:sz w:val="23"/>
          <w:szCs w:val="23"/>
        </w:rPr>
        <w:t xml:space="preserve"> 1990). This is supported by findings from this study. Lead and cadmium chloride induced toxicity is credited to damage in the synthesis of erythropoietin, a hormone which promote the formation of red blood cells. However, the reduction of RBC, PCV and </w:t>
      </w:r>
      <w:proofErr w:type="spellStart"/>
      <w:r w:rsidRPr="00F94DDB">
        <w:rPr>
          <w:rFonts w:ascii="Times-New-Roman" w:hAnsi="Times-New-Roman" w:cs="Times-New-Roman"/>
          <w:color w:val="auto"/>
          <w:sz w:val="23"/>
          <w:szCs w:val="23"/>
        </w:rPr>
        <w:t>haemoglobin</w:t>
      </w:r>
      <w:proofErr w:type="spellEnd"/>
      <w:r w:rsidRPr="00F94DDB">
        <w:rPr>
          <w:rFonts w:ascii="Times-New-Roman" w:hAnsi="Times-New-Roman" w:cs="Times-New-Roman"/>
          <w:color w:val="auto"/>
          <w:sz w:val="23"/>
          <w:szCs w:val="23"/>
        </w:rPr>
        <w:t xml:space="preserve"> levels in this study is similar to the report by Saliu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(2012). The reduction in RBC count, PCV and </w:t>
      </w:r>
      <w:proofErr w:type="spellStart"/>
      <w:r w:rsidRPr="00F94DDB">
        <w:rPr>
          <w:rFonts w:ascii="Times-New-Roman" w:hAnsi="Times-New-Roman" w:cs="Times-New-Roman"/>
          <w:color w:val="auto"/>
          <w:sz w:val="23"/>
          <w:szCs w:val="23"/>
        </w:rPr>
        <w:t>haemoglobin</w:t>
      </w:r>
      <w:proofErr w:type="spellEnd"/>
      <w:r w:rsidRPr="00F94DDB">
        <w:rPr>
          <w:rFonts w:ascii="Times-New-Roman" w:hAnsi="Times-New-Roman" w:cs="Times-New-Roman"/>
          <w:color w:val="auto"/>
          <w:sz w:val="23"/>
          <w:szCs w:val="23"/>
        </w:rPr>
        <w:t xml:space="preserve"> maybe associated with </w:t>
      </w:r>
      <w:proofErr w:type="spellStart"/>
      <w:r w:rsidRPr="00F94DDB">
        <w:rPr>
          <w:rFonts w:ascii="Times-New-Roman" w:hAnsi="Times-New-Roman" w:cs="Times-New-Roman"/>
          <w:color w:val="auto"/>
          <w:sz w:val="23"/>
          <w:szCs w:val="23"/>
        </w:rPr>
        <w:t>haemopoeisis</w:t>
      </w:r>
      <w:proofErr w:type="spellEnd"/>
      <w:r w:rsidRPr="00F94DDB">
        <w:rPr>
          <w:rFonts w:ascii="Times-New-Roman" w:hAnsi="Times-New-Roman" w:cs="Times-New-Roman"/>
          <w:color w:val="auto"/>
          <w:sz w:val="23"/>
          <w:szCs w:val="23"/>
        </w:rPr>
        <w:t>, destruction and shrinkage of RBC (</w:t>
      </w:r>
      <w:proofErr w:type="spellStart"/>
      <w:r w:rsidRPr="00F94DDB">
        <w:rPr>
          <w:rFonts w:ascii="Times-New-Roman" w:hAnsi="Times-New-Roman" w:cs="Times-New-Roman"/>
          <w:color w:val="auto"/>
          <w:sz w:val="23"/>
          <w:szCs w:val="23"/>
        </w:rPr>
        <w:t>Ladokun</w:t>
      </w:r>
      <w:proofErr w:type="spellEnd"/>
      <w:r w:rsidRPr="00F94DDB">
        <w:rPr>
          <w:rFonts w:ascii="Times-New-Roman" w:hAnsi="Times-New-Roman" w:cs="Times-New-Roman"/>
          <w:color w:val="auto"/>
          <w:sz w:val="23"/>
          <w:szCs w:val="23"/>
        </w:rPr>
        <w:t xml:space="preserve">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2015). Furthermore, MCV and MCH determine the size of RBCs, concentrations as well as weight of </w:t>
      </w:r>
      <w:proofErr w:type="spellStart"/>
      <w:r w:rsidRPr="00F94DDB">
        <w:rPr>
          <w:rFonts w:ascii="Times-New-Roman" w:hAnsi="Times-New-Roman" w:cs="Times-New-Roman"/>
          <w:color w:val="auto"/>
          <w:sz w:val="23"/>
          <w:szCs w:val="23"/>
        </w:rPr>
        <w:t>haemoglobin</w:t>
      </w:r>
      <w:proofErr w:type="spellEnd"/>
      <w:r w:rsidRPr="00F94DDB">
        <w:rPr>
          <w:rFonts w:ascii="Times-New-Roman" w:hAnsi="Times-New-Roman" w:cs="Times-New-Roman"/>
          <w:color w:val="auto"/>
          <w:sz w:val="23"/>
          <w:szCs w:val="23"/>
        </w:rPr>
        <w:t xml:space="preserve"> in the RBCs (</w:t>
      </w:r>
      <w:proofErr w:type="spellStart"/>
      <w:r w:rsidRPr="00F94DDB">
        <w:rPr>
          <w:rFonts w:ascii="Times-New-Roman" w:hAnsi="Times-New-Roman" w:cs="Times-New-Roman"/>
          <w:color w:val="auto"/>
          <w:sz w:val="23"/>
          <w:szCs w:val="23"/>
        </w:rPr>
        <w:t>Ladokun</w:t>
      </w:r>
      <w:proofErr w:type="spellEnd"/>
      <w:r w:rsidRPr="00F94DDB">
        <w:rPr>
          <w:rFonts w:ascii="Times-New-Roman" w:hAnsi="Times-New-Roman" w:cs="Times-New-Roman"/>
          <w:color w:val="auto"/>
          <w:sz w:val="23"/>
          <w:szCs w:val="23"/>
        </w:rPr>
        <w:t xml:space="preserve">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2015). The decrease in the red blood cell </w:t>
      </w:r>
      <w:proofErr w:type="gramStart"/>
      <w:r w:rsidRPr="00F94DDB">
        <w:rPr>
          <w:rFonts w:ascii="Times-New-Roman" w:hAnsi="Times-New-Roman" w:cs="Times-New-Roman"/>
          <w:color w:val="auto"/>
          <w:sz w:val="23"/>
          <w:szCs w:val="23"/>
        </w:rPr>
        <w:t>count</w:t>
      </w:r>
      <w:proofErr w:type="gramEnd"/>
      <w:r w:rsidRPr="00F94DDB">
        <w:rPr>
          <w:rFonts w:ascii="Times-New-Roman" w:hAnsi="Times-New-Roman" w:cs="Times-New-Roman"/>
          <w:color w:val="auto"/>
          <w:sz w:val="23"/>
          <w:szCs w:val="23"/>
        </w:rPr>
        <w:t xml:space="preserve"> as observed in this study may also be a reflection of the decrease in the MCH as obtained in the present study. In view of the decreases in MCH, invariably there will be reductions in the levels of </w:t>
      </w:r>
      <w:proofErr w:type="spellStart"/>
      <w:r w:rsidRPr="00F94DDB">
        <w:rPr>
          <w:rFonts w:ascii="Times-New-Roman" w:hAnsi="Times-New-Roman" w:cs="Times-New-Roman"/>
          <w:color w:val="auto"/>
          <w:sz w:val="23"/>
          <w:szCs w:val="23"/>
        </w:rPr>
        <w:t>haemoglobin</w:t>
      </w:r>
      <w:proofErr w:type="spellEnd"/>
      <w:r w:rsidRPr="00F94DDB">
        <w:rPr>
          <w:rFonts w:ascii="Times-New-Roman" w:hAnsi="Times-New-Roman" w:cs="Times-New-Roman"/>
          <w:color w:val="auto"/>
          <w:sz w:val="23"/>
          <w:szCs w:val="23"/>
        </w:rPr>
        <w:t xml:space="preserve">, RBC and PCV as observed in this study. Decrease in the white blood cell (WBC) of lead and cadmium chloride untreated group as observed in this study could be linked to weaken immunity, hence, posing inability to fight foreign substances. The present study also shows significant reduction in the platelet level on exposure of animals to lead and cadmium. This justifies the poisonous effects of lead and cadmium chloride on blood parameters. Decrease in the platelet may lead to some severe haematological disorders like leukemia (Vinodini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2019). It was observed in the extract administered group that the RBC, PCV, WBC, MCH, have increased significantly than the control group, so also </w:t>
      </w:r>
      <w:proofErr w:type="spellStart"/>
      <w:r w:rsidRPr="00F94DDB">
        <w:rPr>
          <w:rFonts w:ascii="Times-New-Roman" w:hAnsi="Times-New-Roman" w:cs="Times-New-Roman"/>
          <w:color w:val="auto"/>
          <w:sz w:val="23"/>
          <w:szCs w:val="23"/>
        </w:rPr>
        <w:t>haemoglobin</w:t>
      </w:r>
      <w:proofErr w:type="spellEnd"/>
      <w:r w:rsidRPr="00F94DDB">
        <w:rPr>
          <w:rFonts w:ascii="Times-New-Roman" w:hAnsi="Times-New-Roman" w:cs="Times-New-Roman"/>
          <w:color w:val="auto"/>
          <w:sz w:val="23"/>
          <w:szCs w:val="23"/>
        </w:rPr>
        <w:t xml:space="preserve">, and platelet. These results are in agreement with the report of Kasim </w:t>
      </w:r>
      <w:r w:rsidRPr="00F94DDB">
        <w:rPr>
          <w:rFonts w:ascii="Times-New-Roman,Italic" w:hAnsi="Times-New-Roman,Italic" w:cs="Times-New-Roman,Italic"/>
          <w:color w:val="auto"/>
          <w:sz w:val="23"/>
          <w:szCs w:val="23"/>
        </w:rPr>
        <w:t xml:space="preserve">et al </w:t>
      </w:r>
      <w:r w:rsidRPr="00F94DDB">
        <w:rPr>
          <w:rFonts w:ascii="Times-New-Roman" w:hAnsi="Times-New-Roman" w:cs="Times-New-Roman"/>
          <w:color w:val="auto"/>
          <w:sz w:val="23"/>
          <w:szCs w:val="23"/>
        </w:rPr>
        <w:t xml:space="preserve">(2015). The observed increase in MCH correlates with red blood cell hydration while the observed increase in WBC by the extract suggests that it might be </w:t>
      </w:r>
      <w:proofErr w:type="spellStart"/>
      <w:r w:rsidRPr="00F94DDB">
        <w:rPr>
          <w:rFonts w:ascii="Times-New-Roman" w:hAnsi="Times-New-Roman" w:cs="Times-New-Roman"/>
          <w:color w:val="auto"/>
          <w:sz w:val="23"/>
          <w:szCs w:val="23"/>
        </w:rPr>
        <w:t>immunoprotective</w:t>
      </w:r>
      <w:proofErr w:type="spellEnd"/>
      <w:r w:rsidRPr="00F94DDB">
        <w:rPr>
          <w:rFonts w:ascii="Times-New-Roman" w:hAnsi="Times-New-Roman" w:cs="Times-New-Roman"/>
          <w:color w:val="auto"/>
          <w:sz w:val="23"/>
          <w:szCs w:val="23"/>
        </w:rPr>
        <w:t xml:space="preserve"> (Kasim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2015). Administration of extract was able to increase the levels of the haematological parameters; </w:t>
      </w:r>
      <w:proofErr w:type="spellStart"/>
      <w:r w:rsidRPr="00F94DDB">
        <w:rPr>
          <w:rFonts w:ascii="Times-New-Roman" w:hAnsi="Times-New-Roman" w:cs="Times-New-Roman"/>
          <w:color w:val="auto"/>
          <w:sz w:val="23"/>
          <w:szCs w:val="23"/>
        </w:rPr>
        <w:t>haemoglobin</w:t>
      </w:r>
      <w:proofErr w:type="spellEnd"/>
      <w:r w:rsidRPr="00F94DDB">
        <w:rPr>
          <w:rFonts w:ascii="Times-New-Roman" w:hAnsi="Times-New-Roman" w:cs="Times-New-Roman"/>
          <w:color w:val="auto"/>
          <w:sz w:val="23"/>
          <w:szCs w:val="23"/>
        </w:rPr>
        <w:t xml:space="preserve">, red blood cell count (RBC), packed-cell volume (PCV), white blood cell (WBC), mean corpuscular hemoglobin (MCH), and platelet (PLT) when compared to negative control group. However, treatment with crude extract and fractions of </w:t>
      </w:r>
      <w:r w:rsidRPr="00F94DDB">
        <w:rPr>
          <w:rFonts w:ascii="Times-New-Roman,Italic" w:hAnsi="Times-New-Roman,Italic" w:cs="Times-New-Roman,Italic"/>
          <w:color w:val="auto"/>
          <w:sz w:val="23"/>
          <w:szCs w:val="23"/>
        </w:rPr>
        <w:t xml:space="preserve">Pterocarpus mildbraedii </w:t>
      </w:r>
      <w:r w:rsidRPr="00F94DDB">
        <w:rPr>
          <w:rFonts w:ascii="Times-New-Roman" w:hAnsi="Times-New-Roman" w:cs="Times-New-Roman"/>
          <w:color w:val="auto"/>
          <w:sz w:val="23"/>
          <w:szCs w:val="23"/>
        </w:rPr>
        <w:t xml:space="preserve">was found to significantly improve the levels of all the haematological parameters. The </w:t>
      </w:r>
      <w:proofErr w:type="spellStart"/>
      <w:r w:rsidRPr="00F94DDB">
        <w:rPr>
          <w:rFonts w:ascii="Times-New-Roman" w:hAnsi="Times-New-Roman" w:cs="Times-New-Roman"/>
          <w:color w:val="auto"/>
          <w:sz w:val="23"/>
          <w:szCs w:val="23"/>
        </w:rPr>
        <w:t>haematoprotective</w:t>
      </w:r>
      <w:proofErr w:type="spellEnd"/>
      <w:r w:rsidRPr="00F94DDB">
        <w:rPr>
          <w:rFonts w:ascii="Times-New-Roman" w:hAnsi="Times-New-Roman" w:cs="Times-New-Roman"/>
          <w:color w:val="auto"/>
          <w:sz w:val="23"/>
          <w:szCs w:val="23"/>
        </w:rPr>
        <w:t xml:space="preserve"> of this extract may be due to the phytochemical constituents of the leaves which consist of blood enriching minerals such as Fe, K, Na, P and Ca (Senga </w:t>
      </w:r>
      <w:r w:rsidRPr="00F94DDB">
        <w:rPr>
          <w:rFonts w:ascii="Times-New-Roman,Italic" w:hAnsi="Times-New-Roman,Italic" w:cs="Times-New-Roman,Italic"/>
          <w:color w:val="auto"/>
          <w:sz w:val="23"/>
          <w:szCs w:val="23"/>
        </w:rPr>
        <w:t>et al</w:t>
      </w:r>
      <w:r w:rsidRPr="00F94DDB">
        <w:rPr>
          <w:rFonts w:ascii="Times-New-Roman" w:hAnsi="Times-New-Roman" w:cs="Times-New-Roman"/>
          <w:color w:val="auto"/>
          <w:sz w:val="23"/>
          <w:szCs w:val="23"/>
        </w:rPr>
        <w:t xml:space="preserve">., 2016). Heavy metals such as Lead and cadmium chloride used in inducing toxicity in experimental rats in this study are known to enhanced the formation of reactive oxygen species (ROS) causing damage of several organs like liver, kidney and reproductive. ROS are known to induce oxidative stress by causing a depletion of antioxidant such as catalase (CAT), superoxide dismutase (SOD) and glutathione (GSH) (Hamzah et al., 2023), Administration of all </w:t>
      </w:r>
      <w:r w:rsidRPr="00F94DDB">
        <w:rPr>
          <w:rFonts w:ascii="Times-New-Roman,Italic" w:hAnsi="Times-New-Roman,Italic" w:cs="Times-New-Roman,Italic"/>
          <w:color w:val="auto"/>
          <w:sz w:val="23"/>
          <w:szCs w:val="23"/>
        </w:rPr>
        <w:t xml:space="preserve">Pterocarpus mildbraedii leaf </w:t>
      </w:r>
      <w:r w:rsidRPr="00F94DDB">
        <w:rPr>
          <w:rFonts w:ascii="Times-New-Roman" w:hAnsi="Times-New-Roman" w:cs="Times-New-Roman"/>
          <w:color w:val="auto"/>
          <w:sz w:val="23"/>
          <w:szCs w:val="23"/>
        </w:rPr>
        <w:t>extracts at doses of 200 and 400 mg/kg body weight significantly increased the activities of CAT and SOD as well as GSH level in the kidney of</w:t>
      </w:r>
      <w:r>
        <w:rPr>
          <w:rFonts w:ascii="Times-New-Roman" w:hAnsi="Times-New-Roman" w:cs="Times-New-Roman"/>
          <w:color w:val="auto"/>
          <w:sz w:val="23"/>
          <w:szCs w:val="23"/>
        </w:rPr>
        <w:t xml:space="preserve"> </w:t>
      </w:r>
      <w:r w:rsidRPr="00F94DDB">
        <w:rPr>
          <w:rFonts w:ascii="Times-New-Roman" w:hAnsi="Times-New-Roman" w:cs="Times-New-Roman"/>
          <w:sz w:val="23"/>
          <w:szCs w:val="23"/>
        </w:rPr>
        <w:t xml:space="preserve">the experimental animal as against the untreated groups. Also, the level of Malondialdehyde which was raised by a combination of lead and cadmium toxicity was also reduced significantly by the extracts in a dose dependent manner. This oxidative stress relief abilities exhibited by these extracts may be attributed of phenols present in them. </w:t>
      </w:r>
    </w:p>
    <w:p w:rsidR="00F94DDB" w:rsidRDefault="00F94DDB" w:rsidP="00F94DDB">
      <w:pPr>
        <w:pStyle w:val="Default"/>
        <w:rPr>
          <w:rFonts w:ascii="Times-New-Roman" w:hAnsi="Times-New-Roman" w:cs="Times-New-Roman"/>
          <w:sz w:val="23"/>
          <w:szCs w:val="23"/>
        </w:rPr>
      </w:pPr>
      <w:r w:rsidRPr="00F94DDB">
        <w:rPr>
          <w:b/>
          <w:bCs/>
          <w:sz w:val="23"/>
          <w:szCs w:val="23"/>
        </w:rPr>
        <w:lastRenderedPageBreak/>
        <w:t xml:space="preserve">5.0 CONCLUSION </w:t>
      </w:r>
      <w:r w:rsidRPr="00F94DDB">
        <w:rPr>
          <w:rFonts w:ascii="Times-New-Roman" w:hAnsi="Times-New-Roman" w:cs="Times-New-Roman"/>
          <w:sz w:val="23"/>
          <w:szCs w:val="23"/>
        </w:rPr>
        <w:t xml:space="preserve">Treatment with crude </w:t>
      </w:r>
      <w:r w:rsidRPr="00F94DDB">
        <w:rPr>
          <w:rFonts w:ascii="Times-New-Roman,Italic" w:hAnsi="Times-New-Roman,Italic" w:cs="Times-New-Roman,Italic"/>
          <w:sz w:val="23"/>
          <w:szCs w:val="23"/>
        </w:rPr>
        <w:t xml:space="preserve">Pterocarpus mildbraedii </w:t>
      </w:r>
      <w:r w:rsidRPr="00F94DDB">
        <w:rPr>
          <w:rFonts w:ascii="Times-New-Roman" w:hAnsi="Times-New-Roman" w:cs="Times-New-Roman"/>
          <w:sz w:val="23"/>
          <w:szCs w:val="23"/>
        </w:rPr>
        <w:t xml:space="preserve">leaf extract and its fractions revert the antioxidants, kidney function and haematological alteration induced by lead and cadmium chloride toxicity in </w:t>
      </w:r>
      <w:proofErr w:type="spellStart"/>
      <w:r w:rsidRPr="00F94DDB">
        <w:rPr>
          <w:rFonts w:ascii="Times-New-Roman" w:hAnsi="Times-New-Roman" w:cs="Times-New-Roman"/>
          <w:sz w:val="23"/>
          <w:szCs w:val="23"/>
        </w:rPr>
        <w:t>wistar</w:t>
      </w:r>
      <w:proofErr w:type="spellEnd"/>
      <w:r w:rsidRPr="00F94DDB">
        <w:rPr>
          <w:rFonts w:ascii="Times-New-Roman" w:hAnsi="Times-New-Roman" w:cs="Times-New-Roman"/>
          <w:sz w:val="23"/>
          <w:szCs w:val="23"/>
        </w:rPr>
        <w:t xml:space="preserve"> rats thus, it can be explored further for the management of lead and cadmium induced toxicity. </w:t>
      </w:r>
    </w:p>
    <w:p w:rsidR="00F94DDB" w:rsidRDefault="00F94DDB" w:rsidP="00F94DDB">
      <w:pPr>
        <w:pStyle w:val="Default"/>
        <w:rPr>
          <w:b/>
          <w:bCs/>
          <w:sz w:val="23"/>
          <w:szCs w:val="23"/>
        </w:rPr>
      </w:pPr>
      <w:r w:rsidRPr="00F94DDB">
        <w:rPr>
          <w:b/>
          <w:bCs/>
          <w:sz w:val="23"/>
          <w:szCs w:val="23"/>
        </w:rPr>
        <w:t xml:space="preserve">REFERENCES </w:t>
      </w:r>
    </w:p>
    <w:p w:rsidR="00F94DDB" w:rsidRDefault="00F94DDB" w:rsidP="00F94DDB">
      <w:pPr>
        <w:pStyle w:val="Default"/>
        <w:rPr>
          <w:rFonts w:ascii="Times-New-Roman" w:hAnsi="Times-New-Roman" w:cs="Times-New-Roman"/>
          <w:sz w:val="23"/>
          <w:szCs w:val="23"/>
        </w:rPr>
      </w:pPr>
      <w:r w:rsidRPr="00F94DDB">
        <w:rPr>
          <w:rFonts w:ascii="Times-New-Roman" w:hAnsi="Times-New-Roman" w:cs="Times-New-Roman"/>
          <w:sz w:val="23"/>
          <w:szCs w:val="23"/>
        </w:rPr>
        <w:t xml:space="preserve">Ahmed, A. E., Hussein, G. L. Loh, J. and Abdel Rahman, S. Z. (1991). Studies on the mechanism of </w:t>
      </w:r>
      <w:proofErr w:type="spellStart"/>
      <w:r w:rsidRPr="00F94DDB">
        <w:rPr>
          <w:rFonts w:ascii="Times-New-Roman" w:hAnsi="Times-New-Roman" w:cs="Times-New-Roman"/>
          <w:sz w:val="23"/>
          <w:szCs w:val="23"/>
        </w:rPr>
        <w:t>haloacetonitrile</w:t>
      </w:r>
      <w:proofErr w:type="spellEnd"/>
      <w:r w:rsidRPr="00F94DDB">
        <w:rPr>
          <w:rFonts w:ascii="Times-New-Roman" w:hAnsi="Times-New-Roman" w:cs="Times-New-Roman"/>
          <w:sz w:val="23"/>
          <w:szCs w:val="23"/>
        </w:rPr>
        <w:t xml:space="preserve">-induced gastrointestinal toxicity: interaction of </w:t>
      </w:r>
      <w:proofErr w:type="spellStart"/>
      <w:r w:rsidRPr="00F94DDB">
        <w:rPr>
          <w:rFonts w:ascii="Times-New-Roman" w:hAnsi="Times-New-Roman" w:cs="Times-New-Roman"/>
          <w:sz w:val="23"/>
          <w:szCs w:val="23"/>
        </w:rPr>
        <w:t>dibromoacetonitrile</w:t>
      </w:r>
      <w:proofErr w:type="spellEnd"/>
      <w:r w:rsidRPr="00F94DDB">
        <w:rPr>
          <w:rFonts w:ascii="Times-New-Roman" w:hAnsi="Times-New-Roman" w:cs="Times-New-Roman"/>
          <w:sz w:val="23"/>
          <w:szCs w:val="23"/>
        </w:rPr>
        <w:t xml:space="preserve"> with glutathione and glutathione-</w:t>
      </w:r>
      <w:proofErr w:type="spellStart"/>
      <w:r w:rsidRPr="00F94DDB">
        <w:rPr>
          <w:rFonts w:ascii="Times-New-Roman" w:hAnsi="Times-New-Roman" w:cs="Times-New-Roman"/>
          <w:sz w:val="23"/>
          <w:szCs w:val="23"/>
        </w:rPr>
        <w:t>Stransferase</w:t>
      </w:r>
      <w:proofErr w:type="spellEnd"/>
      <w:r w:rsidRPr="00F94DDB">
        <w:rPr>
          <w:rFonts w:ascii="Times-New-Roman" w:hAnsi="Times-New-Roman" w:cs="Times-New-Roman"/>
          <w:sz w:val="23"/>
          <w:szCs w:val="23"/>
        </w:rPr>
        <w:t xml:space="preserve"> in rats J </w:t>
      </w:r>
      <w:proofErr w:type="spellStart"/>
      <w:r w:rsidRPr="00F94DDB">
        <w:rPr>
          <w:rFonts w:ascii="Times-New-Roman" w:hAnsi="Times-New-Roman" w:cs="Times-New-Roman"/>
          <w:sz w:val="23"/>
          <w:szCs w:val="23"/>
        </w:rPr>
        <w:t>Biochem</w:t>
      </w:r>
      <w:proofErr w:type="spellEnd"/>
      <w:r w:rsidRPr="00F94DDB">
        <w:rPr>
          <w:rFonts w:ascii="Times-New-Roman" w:hAnsi="Times-New-Roman" w:cs="Times-New-Roman"/>
          <w:sz w:val="23"/>
          <w:szCs w:val="23"/>
        </w:rPr>
        <w:t xml:space="preserve"> </w:t>
      </w:r>
      <w:proofErr w:type="spellStart"/>
      <w:r w:rsidRPr="00F94DDB">
        <w:rPr>
          <w:rFonts w:ascii="Times-New-Roman" w:hAnsi="Times-New-Roman" w:cs="Times-New-Roman"/>
          <w:sz w:val="23"/>
          <w:szCs w:val="23"/>
        </w:rPr>
        <w:t>Toxicol</w:t>
      </w:r>
      <w:proofErr w:type="spellEnd"/>
      <w:r w:rsidRPr="00F94DDB">
        <w:rPr>
          <w:rFonts w:ascii="Times-New-Roman" w:hAnsi="Times-New-Roman" w:cs="Times-New-Roman"/>
          <w:sz w:val="23"/>
          <w:szCs w:val="23"/>
        </w:rPr>
        <w:t xml:space="preserve">. 6:115. </w:t>
      </w:r>
    </w:p>
    <w:p w:rsidR="00F94DDB" w:rsidRDefault="00F94DDB" w:rsidP="00F94DDB">
      <w:pPr>
        <w:pStyle w:val="Default"/>
        <w:rPr>
          <w:rFonts w:ascii="Times-New-Roman" w:hAnsi="Times-New-Roman" w:cs="Times-New-Roman"/>
          <w:sz w:val="23"/>
          <w:szCs w:val="23"/>
        </w:rPr>
      </w:pPr>
      <w:r w:rsidRPr="00F94DDB">
        <w:rPr>
          <w:rFonts w:ascii="Times-New-Roman" w:hAnsi="Times-New-Roman" w:cs="Times-New-Roman"/>
          <w:sz w:val="23"/>
          <w:szCs w:val="23"/>
        </w:rPr>
        <w:t xml:space="preserve">Akindele, A. J., </w:t>
      </w:r>
      <w:proofErr w:type="spellStart"/>
      <w:r w:rsidRPr="00F94DDB">
        <w:rPr>
          <w:rFonts w:ascii="Times-New-Roman" w:hAnsi="Times-New-Roman" w:cs="Times-New-Roman"/>
          <w:sz w:val="23"/>
          <w:szCs w:val="23"/>
        </w:rPr>
        <w:t>Oyedemi</w:t>
      </w:r>
      <w:proofErr w:type="spellEnd"/>
      <w:r w:rsidRPr="00F94DDB">
        <w:rPr>
          <w:rFonts w:ascii="Times-New-Roman" w:hAnsi="Times-New-Roman" w:cs="Times-New-Roman"/>
          <w:sz w:val="23"/>
          <w:szCs w:val="23"/>
        </w:rPr>
        <w:t xml:space="preserve">, S. O., Afolayan, A. J., &amp; Ademola, I. O. (2019). Haematological effects of </w:t>
      </w:r>
      <w:r w:rsidRPr="00F94DDB">
        <w:rPr>
          <w:rFonts w:ascii="Times-New-Roman,Italic" w:hAnsi="Times-New-Roman,Italic" w:cs="Times-New-Roman,Italic"/>
          <w:sz w:val="23"/>
          <w:szCs w:val="23"/>
        </w:rPr>
        <w:t xml:space="preserve">Pterocarpus mildbraedii </w:t>
      </w:r>
      <w:r w:rsidRPr="00F94DDB">
        <w:rPr>
          <w:rFonts w:ascii="Times-New-Roman" w:hAnsi="Times-New-Roman" w:cs="Times-New-Roman"/>
          <w:sz w:val="23"/>
          <w:szCs w:val="23"/>
        </w:rPr>
        <w:t xml:space="preserve">leaf extract on albino rats. </w:t>
      </w:r>
      <w:r w:rsidRPr="00F94DDB">
        <w:rPr>
          <w:rFonts w:ascii="Times-New-Roman,Italic" w:hAnsi="Times-New-Roman,Italic" w:cs="Times-New-Roman,Italic"/>
          <w:sz w:val="23"/>
          <w:szCs w:val="23"/>
        </w:rPr>
        <w:t>Journal of Complementary and Integrative Medicine</w:t>
      </w:r>
      <w:r w:rsidRPr="00F94DDB">
        <w:rPr>
          <w:rFonts w:ascii="Times-New-Roman" w:hAnsi="Times-New-Roman" w:cs="Times-New-Roman"/>
          <w:sz w:val="23"/>
          <w:szCs w:val="23"/>
        </w:rPr>
        <w:t xml:space="preserve">, </w:t>
      </w:r>
      <w:r w:rsidRPr="00F94DDB">
        <w:rPr>
          <w:rFonts w:ascii="Times-New-Roman,Italic" w:hAnsi="Times-New-Roman,Italic" w:cs="Times-New-Roman,Italic"/>
          <w:sz w:val="23"/>
          <w:szCs w:val="23"/>
        </w:rPr>
        <w:t>16</w:t>
      </w:r>
      <w:r w:rsidRPr="00F94DDB">
        <w:rPr>
          <w:rFonts w:ascii="Times-New-Roman" w:hAnsi="Times-New-Roman" w:cs="Times-New-Roman"/>
          <w:sz w:val="23"/>
          <w:szCs w:val="23"/>
        </w:rPr>
        <w:t xml:space="preserve">(4), 1–9. </w:t>
      </w:r>
    </w:p>
    <w:p w:rsidR="00F94DDB" w:rsidRDefault="00F94DDB" w:rsidP="00F94DDB">
      <w:pPr>
        <w:pStyle w:val="Default"/>
        <w:rPr>
          <w:rFonts w:ascii="Times-New-Roman" w:hAnsi="Times-New-Roman" w:cs="Times-New-Roman"/>
          <w:sz w:val="23"/>
          <w:szCs w:val="23"/>
        </w:rPr>
      </w:pPr>
      <w:r w:rsidRPr="00F94DDB">
        <w:rPr>
          <w:rFonts w:ascii="Times-New-Roman" w:hAnsi="Times-New-Roman" w:cs="Times-New-Roman"/>
          <w:sz w:val="23"/>
          <w:szCs w:val="23"/>
        </w:rPr>
        <w:t xml:space="preserve">El-Boshy, M.; </w:t>
      </w:r>
      <w:proofErr w:type="spellStart"/>
      <w:r w:rsidRPr="00F94DDB">
        <w:rPr>
          <w:rFonts w:ascii="Times-New-Roman" w:hAnsi="Times-New-Roman" w:cs="Times-New-Roman"/>
          <w:sz w:val="23"/>
          <w:szCs w:val="23"/>
        </w:rPr>
        <w:t>Ashshi</w:t>
      </w:r>
      <w:proofErr w:type="spellEnd"/>
      <w:r w:rsidRPr="00F94DDB">
        <w:rPr>
          <w:rFonts w:ascii="Times-New-Roman" w:hAnsi="Times-New-Roman" w:cs="Times-New-Roman"/>
          <w:sz w:val="23"/>
          <w:szCs w:val="23"/>
        </w:rPr>
        <w:t xml:space="preserve">, A.; Gaith, M.; </w:t>
      </w:r>
      <w:proofErr w:type="spellStart"/>
      <w:r w:rsidRPr="00F94DDB">
        <w:rPr>
          <w:rFonts w:ascii="Times-New-Roman" w:hAnsi="Times-New-Roman" w:cs="Times-New-Roman"/>
          <w:sz w:val="23"/>
          <w:szCs w:val="23"/>
        </w:rPr>
        <w:t>Qusty</w:t>
      </w:r>
      <w:proofErr w:type="spellEnd"/>
      <w:r w:rsidRPr="00F94DDB">
        <w:rPr>
          <w:rFonts w:ascii="Times-New-Roman" w:hAnsi="Times-New-Roman" w:cs="Times-New-Roman"/>
          <w:sz w:val="23"/>
          <w:szCs w:val="23"/>
        </w:rPr>
        <w:t xml:space="preserve">, N.; </w:t>
      </w:r>
      <w:proofErr w:type="spellStart"/>
      <w:r w:rsidRPr="00F94DDB">
        <w:rPr>
          <w:rFonts w:ascii="Times-New-Roman" w:hAnsi="Times-New-Roman" w:cs="Times-New-Roman"/>
          <w:sz w:val="23"/>
          <w:szCs w:val="23"/>
        </w:rPr>
        <w:t>Bokhary</w:t>
      </w:r>
      <w:proofErr w:type="spellEnd"/>
      <w:r w:rsidRPr="00F94DDB">
        <w:rPr>
          <w:rFonts w:ascii="Times-New-Roman" w:hAnsi="Times-New-Roman" w:cs="Times-New-Roman"/>
          <w:sz w:val="23"/>
          <w:szCs w:val="23"/>
        </w:rPr>
        <w:t xml:space="preserve">, T.; </w:t>
      </w:r>
      <w:proofErr w:type="spellStart"/>
      <w:r w:rsidRPr="00F94DDB">
        <w:rPr>
          <w:rFonts w:ascii="Times-New-Roman" w:hAnsi="Times-New-Roman" w:cs="Times-New-Roman"/>
          <w:sz w:val="23"/>
          <w:szCs w:val="23"/>
        </w:rPr>
        <w:t>AlTaweel</w:t>
      </w:r>
      <w:proofErr w:type="spellEnd"/>
      <w:r w:rsidRPr="00F94DDB">
        <w:rPr>
          <w:rFonts w:ascii="Times-New-Roman" w:hAnsi="Times-New-Roman" w:cs="Times-New-Roman"/>
          <w:sz w:val="23"/>
          <w:szCs w:val="23"/>
        </w:rPr>
        <w:t xml:space="preserve">, N.; Abdelhady, M. (2017). Studies on </w:t>
      </w:r>
      <w:proofErr w:type="spellStart"/>
      <w:r w:rsidRPr="00F94DDB">
        <w:rPr>
          <w:rFonts w:ascii="Times-New-Roman" w:hAnsi="Times-New-Roman" w:cs="Times-New-Roman"/>
          <w:sz w:val="23"/>
          <w:szCs w:val="23"/>
        </w:rPr>
        <w:t>theprotective</w:t>
      </w:r>
      <w:proofErr w:type="spellEnd"/>
      <w:r w:rsidRPr="00F94DDB">
        <w:rPr>
          <w:rFonts w:ascii="Times-New-Roman" w:hAnsi="Times-New-Roman" w:cs="Times-New-Roman"/>
          <w:sz w:val="23"/>
          <w:szCs w:val="23"/>
        </w:rPr>
        <w:t xml:space="preserve"> effect of the artichoke (Cynara scolymus) leaf extract against cadmium toxicity-induced oxidative stress, hepatorenal damage, and immunosuppressive and hematological disorders in rats. Environ. Sci. </w:t>
      </w:r>
      <w:proofErr w:type="spellStart"/>
      <w:r w:rsidRPr="00F94DDB">
        <w:rPr>
          <w:rFonts w:ascii="Times-New-Roman" w:hAnsi="Times-New-Roman" w:cs="Times-New-Roman"/>
          <w:sz w:val="23"/>
          <w:szCs w:val="23"/>
        </w:rPr>
        <w:t>Pollut</w:t>
      </w:r>
      <w:proofErr w:type="spellEnd"/>
      <w:r w:rsidRPr="00F94DDB">
        <w:rPr>
          <w:rFonts w:ascii="Times-New-Roman" w:hAnsi="Times-New-Roman" w:cs="Times-New-Roman"/>
          <w:sz w:val="23"/>
          <w:szCs w:val="23"/>
        </w:rPr>
        <w:t>. Res. 2017, 24, 12372–12383.</w:t>
      </w:r>
    </w:p>
    <w:p w:rsidR="00F94DDB" w:rsidRDefault="00F94DDB" w:rsidP="00F94DDB">
      <w:pPr>
        <w:pStyle w:val="Default"/>
        <w:rPr>
          <w:rFonts w:ascii="Times-New-Roman" w:hAnsi="Times-New-Roman" w:cs="Times-New-Roman"/>
          <w:sz w:val="23"/>
          <w:szCs w:val="23"/>
        </w:rPr>
      </w:pPr>
      <w:r w:rsidRPr="00F94DDB">
        <w:rPr>
          <w:rFonts w:ascii="Times-New-Roman" w:hAnsi="Times-New-Roman" w:cs="Times-New-Roman"/>
          <w:sz w:val="23"/>
          <w:szCs w:val="23"/>
        </w:rPr>
        <w:t xml:space="preserve"> Falke, H. E. and </w:t>
      </w:r>
      <w:proofErr w:type="spellStart"/>
      <w:r w:rsidRPr="00F94DDB">
        <w:rPr>
          <w:rFonts w:ascii="Times-New-Roman" w:hAnsi="Times-New-Roman" w:cs="Times-New-Roman"/>
          <w:sz w:val="23"/>
          <w:szCs w:val="23"/>
        </w:rPr>
        <w:t>Zwennis</w:t>
      </w:r>
      <w:proofErr w:type="spellEnd"/>
      <w:r w:rsidRPr="00F94DDB">
        <w:rPr>
          <w:rFonts w:ascii="Times-New-Roman" w:hAnsi="Times-New-Roman" w:cs="Times-New-Roman"/>
          <w:sz w:val="23"/>
          <w:szCs w:val="23"/>
        </w:rPr>
        <w:t xml:space="preserve">, W. C. M. (1990). Toxicity of lead acetate to female rabbits after chronic subcutaneous administration: Biochemical and Clinical effects. </w:t>
      </w:r>
      <w:r w:rsidRPr="00F94DDB">
        <w:rPr>
          <w:rFonts w:ascii="Times-New-Roman,Italic" w:hAnsi="Times-New-Roman,Italic" w:cs="Times-New-Roman,Italic"/>
          <w:sz w:val="23"/>
          <w:szCs w:val="23"/>
        </w:rPr>
        <w:t xml:space="preserve">Archives of Toxicology, 522-529. </w:t>
      </w:r>
      <w:r w:rsidRPr="00F94DDB">
        <w:rPr>
          <w:rFonts w:ascii="Times-New-Roman" w:hAnsi="Times-New-Roman" w:cs="Times-New-Roman"/>
          <w:sz w:val="23"/>
          <w:szCs w:val="23"/>
        </w:rPr>
        <w:t xml:space="preserve">Hamzah, </w:t>
      </w:r>
      <w:proofErr w:type="gramStart"/>
      <w:r w:rsidRPr="00F94DDB">
        <w:rPr>
          <w:rFonts w:ascii="Times-New-Roman" w:hAnsi="Times-New-Roman" w:cs="Times-New-Roman"/>
          <w:sz w:val="23"/>
          <w:szCs w:val="23"/>
        </w:rPr>
        <w:t>R.U. ,</w:t>
      </w:r>
      <w:proofErr w:type="gramEnd"/>
      <w:r w:rsidRPr="00F94DDB">
        <w:rPr>
          <w:rFonts w:ascii="Times-New-Roman" w:hAnsi="Times-New-Roman" w:cs="Times-New-Roman"/>
          <w:sz w:val="23"/>
          <w:szCs w:val="23"/>
        </w:rPr>
        <w:t xml:space="preserve"> </w:t>
      </w:r>
      <w:proofErr w:type="spellStart"/>
      <w:r w:rsidRPr="00F94DDB">
        <w:rPr>
          <w:rFonts w:ascii="Times-New-Roman" w:hAnsi="Times-New-Roman" w:cs="Times-New-Roman"/>
          <w:sz w:val="23"/>
          <w:szCs w:val="23"/>
        </w:rPr>
        <w:t>Jigam</w:t>
      </w:r>
      <w:proofErr w:type="spellEnd"/>
      <w:r w:rsidRPr="00F94DDB">
        <w:rPr>
          <w:rFonts w:ascii="Times-New-Roman" w:hAnsi="Times-New-Roman" w:cs="Times-New-Roman"/>
          <w:sz w:val="23"/>
          <w:szCs w:val="23"/>
        </w:rPr>
        <w:t xml:space="preserve">, A.A. Makun, H.A. </w:t>
      </w:r>
      <w:proofErr w:type="spellStart"/>
      <w:r w:rsidRPr="00F94DDB">
        <w:rPr>
          <w:rFonts w:ascii="Times-New-Roman" w:hAnsi="Times-New-Roman" w:cs="Times-New-Roman"/>
          <w:sz w:val="23"/>
          <w:szCs w:val="23"/>
        </w:rPr>
        <w:t>Egwim</w:t>
      </w:r>
      <w:proofErr w:type="spellEnd"/>
      <w:r w:rsidRPr="00F94DDB">
        <w:rPr>
          <w:rFonts w:ascii="Times-New-Roman" w:hAnsi="Times-New-Roman" w:cs="Times-New-Roman"/>
          <w:sz w:val="23"/>
          <w:szCs w:val="23"/>
        </w:rPr>
        <w:t xml:space="preserve">, E.C. Muhammad, H.L. Busari, M.B. Ibikunle G.F. and Akanbi S.K. Abubakar (2018). Effect of Partially Purified Sub- fractions of </w:t>
      </w:r>
      <w:r w:rsidRPr="00F94DDB">
        <w:rPr>
          <w:rFonts w:ascii="Times-New-Roman,Italic" w:hAnsi="Times-New-Roman,Italic" w:cs="Times-New-Roman,Italic"/>
          <w:sz w:val="23"/>
          <w:szCs w:val="23"/>
        </w:rPr>
        <w:t xml:space="preserve">Pterocarpus mildbraedii </w:t>
      </w:r>
      <w:r w:rsidRPr="00F94DDB">
        <w:rPr>
          <w:rFonts w:ascii="Times-New-Roman" w:hAnsi="Times-New-Roman" w:cs="Times-New-Roman"/>
          <w:sz w:val="23"/>
          <w:szCs w:val="23"/>
        </w:rPr>
        <w:t xml:space="preserve">Extract on Carbon Tetrachloride Intoxicated Rats. </w:t>
      </w:r>
      <w:r w:rsidRPr="00F94DDB">
        <w:rPr>
          <w:rFonts w:ascii="Times-New-Roman,Italic" w:hAnsi="Times-New-Roman,Italic" w:cs="Times-New-Roman,Italic"/>
          <w:sz w:val="23"/>
          <w:szCs w:val="23"/>
        </w:rPr>
        <w:t xml:space="preserve">Integrative Medicine Research </w:t>
      </w:r>
      <w:r w:rsidRPr="00F94DDB">
        <w:rPr>
          <w:rFonts w:ascii="Times-New-Roman" w:hAnsi="Times-New-Roman" w:cs="Times-New-Roman"/>
          <w:sz w:val="23"/>
          <w:szCs w:val="23"/>
        </w:rPr>
        <w:t xml:space="preserve">7(2) 149-158 </w:t>
      </w:r>
    </w:p>
    <w:p w:rsidR="00F94DDB" w:rsidRPr="00F94DDB" w:rsidRDefault="00F94DDB" w:rsidP="00F94DDB">
      <w:pPr>
        <w:pStyle w:val="Default"/>
        <w:rPr>
          <w:rFonts w:ascii="Times-New-Roman" w:hAnsi="Times-New-Roman" w:cs="Times-New-Roman"/>
          <w:sz w:val="23"/>
          <w:szCs w:val="23"/>
        </w:rPr>
      </w:pPr>
      <w:r w:rsidRPr="00F94DDB">
        <w:rPr>
          <w:rFonts w:ascii="Times-New-Roman" w:hAnsi="Times-New-Roman" w:cs="Times-New-Roman"/>
          <w:sz w:val="23"/>
          <w:szCs w:val="23"/>
        </w:rPr>
        <w:t xml:space="preserve">Hamzah, R. U. Muhammad H. L., Sayyadi A., Busari M. B., Garba, R., Umar, M. B. and Abubakar, A. N (2023). Effects of </w:t>
      </w:r>
      <w:r w:rsidRPr="00F94DDB">
        <w:rPr>
          <w:rFonts w:ascii="Times-New-Roman,Italic" w:hAnsi="Times-New-Roman,Italic" w:cs="Times-New-Roman,Italic"/>
          <w:sz w:val="23"/>
          <w:szCs w:val="23"/>
        </w:rPr>
        <w:t xml:space="preserve">Pterocarpus mildbraedii </w:t>
      </w:r>
      <w:r w:rsidRPr="00F94DDB">
        <w:rPr>
          <w:rFonts w:ascii="Times-New-Roman" w:hAnsi="Times-New-Roman" w:cs="Times-New-Roman"/>
          <w:sz w:val="23"/>
          <w:szCs w:val="23"/>
        </w:rPr>
        <w:t xml:space="preserve">Leaf Extract and Its Fractions on Cadmium and Lead Chloride- Induced Testicular Damage in Male Albino Rats. World Academy of Science, Engineering and Technology International Journal of Pharmacological and Pharmaceutical Sciences 17(2):31-44. </w:t>
      </w:r>
    </w:p>
    <w:p w:rsidR="00F94DDB" w:rsidRPr="00F94DDB" w:rsidRDefault="00F94DDB" w:rsidP="00F94DDB">
      <w:pPr>
        <w:autoSpaceDE w:val="0"/>
        <w:autoSpaceDN w:val="0"/>
        <w:adjustRightInd w:val="0"/>
        <w:spacing w:after="0" w:line="240" w:lineRule="auto"/>
        <w:rPr>
          <w:rFonts w:ascii="Times-New-Roman" w:hAnsi="Times-New-Roman"/>
          <w:kern w:val="0"/>
          <w:sz w:val="23"/>
          <w:szCs w:val="23"/>
        </w:rPr>
      </w:pPr>
      <w:proofErr w:type="spellStart"/>
      <w:r w:rsidRPr="00F94DDB">
        <w:rPr>
          <w:rFonts w:ascii="Times-New-Roman" w:hAnsi="Times-New-Roman"/>
          <w:kern w:val="0"/>
          <w:sz w:val="23"/>
          <w:szCs w:val="23"/>
        </w:rPr>
        <w:t>Jarup</w:t>
      </w:r>
      <w:proofErr w:type="spellEnd"/>
      <w:r w:rsidRPr="00F94DDB">
        <w:rPr>
          <w:rFonts w:ascii="Times-New-Roman" w:hAnsi="Times-New-Roman"/>
          <w:kern w:val="0"/>
          <w:sz w:val="23"/>
          <w:szCs w:val="23"/>
        </w:rPr>
        <w:t xml:space="preserve">, L. and Akesson, A. (2009) Current Status of Cadmium as an Environmental </w:t>
      </w:r>
    </w:p>
    <w:p w:rsidR="00F94DDB" w:rsidRPr="00F94DDB" w:rsidRDefault="00F94DDB" w:rsidP="00F94DDB">
      <w:pPr>
        <w:autoSpaceDE w:val="0"/>
        <w:autoSpaceDN w:val="0"/>
        <w:adjustRightInd w:val="0"/>
        <w:spacing w:after="0" w:line="240" w:lineRule="auto"/>
        <w:rPr>
          <w:rFonts w:ascii="Times-New-Roman" w:hAnsi="Times-New-Roman"/>
          <w:kern w:val="0"/>
          <w:sz w:val="23"/>
          <w:szCs w:val="23"/>
        </w:rPr>
      </w:pPr>
      <w:r w:rsidRPr="00F94DDB">
        <w:rPr>
          <w:rFonts w:ascii="Times-New-Roman" w:hAnsi="Times-New-Roman"/>
          <w:kern w:val="0"/>
          <w:sz w:val="23"/>
          <w:szCs w:val="23"/>
        </w:rPr>
        <w:t xml:space="preserve">Health Problem. Toxicology and Applied Pharmacology, 238, 201-208. </w:t>
      </w:r>
    </w:p>
    <w:p w:rsidR="00F94DDB" w:rsidRPr="00F94DDB" w:rsidRDefault="00F94DDB" w:rsidP="00F94DDB">
      <w:pPr>
        <w:autoSpaceDE w:val="0"/>
        <w:autoSpaceDN w:val="0"/>
        <w:adjustRightInd w:val="0"/>
        <w:spacing w:after="0" w:line="240" w:lineRule="auto"/>
        <w:rPr>
          <w:rFonts w:ascii="Times-New-Roman" w:hAnsi="Times-New-Roman"/>
          <w:kern w:val="0"/>
          <w:sz w:val="23"/>
          <w:szCs w:val="23"/>
        </w:rPr>
      </w:pPr>
      <w:r w:rsidRPr="00F94DDB">
        <w:rPr>
          <w:rFonts w:ascii="Times-New-Roman" w:hAnsi="Times-New-Roman"/>
          <w:kern w:val="0"/>
          <w:sz w:val="23"/>
          <w:szCs w:val="23"/>
        </w:rPr>
        <w:t xml:space="preserve">Kangari P. </w:t>
      </w:r>
      <w:proofErr w:type="spellStart"/>
      <w:r w:rsidRPr="00F94DDB">
        <w:rPr>
          <w:rFonts w:ascii="Times-New-Roman" w:hAnsi="Times-New-Roman"/>
          <w:kern w:val="0"/>
          <w:sz w:val="23"/>
          <w:szCs w:val="23"/>
        </w:rPr>
        <w:t>Farahany</w:t>
      </w:r>
      <w:proofErr w:type="spellEnd"/>
      <w:r w:rsidRPr="00F94DDB">
        <w:rPr>
          <w:rFonts w:ascii="Times-New-Roman" w:hAnsi="Times-New-Roman"/>
          <w:kern w:val="0"/>
          <w:sz w:val="23"/>
          <w:szCs w:val="23"/>
        </w:rPr>
        <w:t xml:space="preserve">, T. A., Golchin, A., </w:t>
      </w:r>
      <w:proofErr w:type="spellStart"/>
      <w:r w:rsidRPr="00F94DDB">
        <w:rPr>
          <w:rFonts w:ascii="Times-New-Roman" w:hAnsi="Times-New-Roman"/>
          <w:kern w:val="0"/>
          <w:sz w:val="23"/>
          <w:szCs w:val="23"/>
        </w:rPr>
        <w:t>Ebadollahzadeh</w:t>
      </w:r>
      <w:proofErr w:type="spellEnd"/>
      <w:r w:rsidRPr="00F94DDB">
        <w:rPr>
          <w:rFonts w:ascii="Times-New-Roman" w:hAnsi="Times-New-Roman"/>
          <w:kern w:val="0"/>
          <w:sz w:val="23"/>
          <w:szCs w:val="23"/>
        </w:rPr>
        <w:t xml:space="preserve">, S., </w:t>
      </w:r>
      <w:proofErr w:type="spellStart"/>
      <w:r w:rsidRPr="00F94DDB">
        <w:rPr>
          <w:rFonts w:ascii="Times-New-Roman" w:hAnsi="Times-New-Roman"/>
          <w:kern w:val="0"/>
          <w:sz w:val="23"/>
          <w:szCs w:val="23"/>
        </w:rPr>
        <w:t>Salmaninejad</w:t>
      </w:r>
      <w:proofErr w:type="spellEnd"/>
      <w:r w:rsidRPr="00F94DDB">
        <w:rPr>
          <w:rFonts w:ascii="Times-New-Roman" w:hAnsi="Times-New-Roman"/>
          <w:kern w:val="0"/>
          <w:sz w:val="23"/>
          <w:szCs w:val="23"/>
        </w:rPr>
        <w:t xml:space="preserve">, A., </w:t>
      </w:r>
    </w:p>
    <w:p w:rsidR="00F94DDB" w:rsidRDefault="00F94DDB" w:rsidP="00F94DDB">
      <w:pPr>
        <w:pStyle w:val="Default"/>
        <w:rPr>
          <w:rFonts w:ascii="Times-New-Roman" w:hAnsi="Times-New-Roman" w:cs="Times-New-Roman"/>
          <w:color w:val="auto"/>
          <w:sz w:val="23"/>
          <w:szCs w:val="23"/>
        </w:rPr>
      </w:pPr>
      <w:r w:rsidRPr="00F94DDB">
        <w:rPr>
          <w:rFonts w:ascii="Times-New-Roman" w:hAnsi="Times-New-Roman" w:cstheme="minorBidi"/>
          <w:color w:val="auto"/>
          <w:sz w:val="23"/>
          <w:szCs w:val="23"/>
        </w:rPr>
        <w:t xml:space="preserve">Mahboob, S. A. and Alireza </w:t>
      </w:r>
      <w:proofErr w:type="spellStart"/>
      <w:r w:rsidRPr="00F94DDB">
        <w:rPr>
          <w:rFonts w:ascii="Times-New-Roman" w:hAnsi="Times-New-Roman" w:cstheme="minorBidi"/>
          <w:color w:val="auto"/>
          <w:sz w:val="23"/>
          <w:szCs w:val="23"/>
        </w:rPr>
        <w:t>Nourazarian</w:t>
      </w:r>
      <w:proofErr w:type="spellEnd"/>
      <w:r w:rsidRPr="00F94DDB">
        <w:rPr>
          <w:rFonts w:ascii="Times-New-Roman" w:hAnsi="Times-New-Roman" w:cstheme="minorBidi"/>
          <w:color w:val="auto"/>
          <w:sz w:val="23"/>
          <w:szCs w:val="23"/>
        </w:rPr>
        <w:t xml:space="preserve">, A. (2018). Enzymatic Antioxidant and Lipid Peroxidation Evaluation in the Newly Diagnosed Breast Cancer Patients in Iran </w:t>
      </w:r>
      <w:r w:rsidRPr="00F94DDB">
        <w:rPr>
          <w:rFonts w:ascii="Times-New-Roman,Italic" w:hAnsi="Times-New-Roman,Italic" w:cs="Times-New-Roman,Italic"/>
          <w:color w:val="auto"/>
          <w:sz w:val="23"/>
          <w:szCs w:val="23"/>
        </w:rPr>
        <w:t>Asian Pac J Cance</w:t>
      </w:r>
      <w:r w:rsidRPr="00F94DDB">
        <w:rPr>
          <w:rFonts w:ascii="Times-New-Roman" w:hAnsi="Times-New-Roman" w:cs="Times-New-Roman"/>
          <w:color w:val="auto"/>
          <w:sz w:val="23"/>
          <w:szCs w:val="23"/>
        </w:rPr>
        <w:t xml:space="preserve">r </w:t>
      </w:r>
      <w:r w:rsidRPr="00F94DDB">
        <w:rPr>
          <w:rFonts w:ascii="Times-New-Roman,Italic" w:hAnsi="Times-New-Roman,Italic" w:cs="Times-New-Roman,Italic"/>
          <w:color w:val="auto"/>
          <w:sz w:val="23"/>
          <w:szCs w:val="23"/>
        </w:rPr>
        <w:t>Prev</w:t>
      </w:r>
      <w:r w:rsidRPr="00F94DDB">
        <w:rPr>
          <w:rFonts w:ascii="Times-New-Roman" w:hAnsi="Times-New-Roman" w:cs="Times-New-Roman"/>
          <w:color w:val="auto"/>
          <w:sz w:val="23"/>
          <w:szCs w:val="23"/>
        </w:rPr>
        <w:t>.19(12): 3511–3515.</w:t>
      </w:r>
    </w:p>
    <w:p w:rsidR="00F94DDB" w:rsidRDefault="00F94DDB" w:rsidP="00F94DDB">
      <w:pPr>
        <w:pStyle w:val="Default"/>
        <w:rPr>
          <w:rFonts w:ascii="Times-New-Roman,Italic" w:hAnsi="Times-New-Roman,Italic" w:cs="Times-New-Roman,Italic"/>
          <w:color w:val="auto"/>
          <w:sz w:val="23"/>
          <w:szCs w:val="23"/>
        </w:rPr>
      </w:pPr>
      <w:r w:rsidRPr="00F94DDB">
        <w:rPr>
          <w:rFonts w:ascii="Times-New-Roman" w:hAnsi="Times-New-Roman" w:cs="Times-New-Roman"/>
          <w:color w:val="auto"/>
          <w:sz w:val="23"/>
          <w:szCs w:val="23"/>
        </w:rPr>
        <w:t xml:space="preserve"> Kasim, L. S., Badejo, M.V., </w:t>
      </w:r>
      <w:proofErr w:type="spellStart"/>
      <w:r w:rsidRPr="00F94DDB">
        <w:rPr>
          <w:rFonts w:ascii="Times-New-Roman" w:hAnsi="Times-New-Roman" w:cs="Times-New-Roman"/>
          <w:color w:val="auto"/>
          <w:sz w:val="23"/>
          <w:szCs w:val="23"/>
        </w:rPr>
        <w:t>Daodu</w:t>
      </w:r>
      <w:proofErr w:type="spellEnd"/>
      <w:r w:rsidRPr="00F94DDB">
        <w:rPr>
          <w:rFonts w:ascii="Times-New-Roman" w:hAnsi="Times-New-Roman" w:cs="Times-New-Roman"/>
          <w:color w:val="auto"/>
          <w:sz w:val="23"/>
          <w:szCs w:val="23"/>
        </w:rPr>
        <w:t xml:space="preserve">, J.O., </w:t>
      </w:r>
      <w:proofErr w:type="spellStart"/>
      <w:r w:rsidRPr="00F94DDB">
        <w:rPr>
          <w:rFonts w:ascii="Times-New-Roman" w:hAnsi="Times-New-Roman" w:cs="Times-New-Roman"/>
          <w:color w:val="auto"/>
          <w:sz w:val="23"/>
          <w:szCs w:val="23"/>
        </w:rPr>
        <w:t>Ayanuga</w:t>
      </w:r>
      <w:proofErr w:type="spellEnd"/>
      <w:r w:rsidRPr="00F94DDB">
        <w:rPr>
          <w:rFonts w:ascii="Times-New-Roman" w:hAnsi="Times-New-Roman" w:cs="Times-New-Roman"/>
          <w:color w:val="auto"/>
          <w:sz w:val="23"/>
          <w:szCs w:val="23"/>
        </w:rPr>
        <w:t xml:space="preserve">, J.K. and Olaitan, O.J. (2015). </w:t>
      </w:r>
      <w:proofErr w:type="spellStart"/>
      <w:r w:rsidRPr="00F94DDB">
        <w:rPr>
          <w:rFonts w:ascii="Times-New-Roman" w:hAnsi="Times-New-Roman" w:cs="Times-New-Roman"/>
          <w:color w:val="auto"/>
          <w:sz w:val="23"/>
          <w:szCs w:val="23"/>
        </w:rPr>
        <w:t>Haematopoietic</w:t>
      </w:r>
      <w:proofErr w:type="spellEnd"/>
      <w:r w:rsidRPr="00F94DDB">
        <w:rPr>
          <w:rFonts w:ascii="Times-New-Roman" w:hAnsi="Times-New-Roman" w:cs="Times-New-Roman"/>
          <w:color w:val="auto"/>
          <w:sz w:val="23"/>
          <w:szCs w:val="23"/>
        </w:rPr>
        <w:t xml:space="preserve"> and safety study of methanolic effect of the bark of </w:t>
      </w:r>
      <w:r w:rsidRPr="00F94DDB">
        <w:rPr>
          <w:rFonts w:ascii="Times-New-Roman,Italic" w:hAnsi="Times-New-Roman,Italic" w:cs="Times-New-Roman,Italic"/>
          <w:color w:val="auto"/>
          <w:sz w:val="23"/>
          <w:szCs w:val="23"/>
        </w:rPr>
        <w:t xml:space="preserve">Trema </w:t>
      </w:r>
      <w:proofErr w:type="spellStart"/>
      <w:r w:rsidRPr="00F94DDB">
        <w:rPr>
          <w:rFonts w:ascii="Times-New-Roman,Italic" w:hAnsi="Times-New-Roman,Italic" w:cs="Times-New-Roman,Italic"/>
          <w:color w:val="auto"/>
          <w:sz w:val="23"/>
          <w:szCs w:val="23"/>
        </w:rPr>
        <w:t>orientalis</w:t>
      </w:r>
      <w:proofErr w:type="spellEnd"/>
      <w:r w:rsidRPr="00F94DDB">
        <w:rPr>
          <w:rFonts w:ascii="Times-New-Roman,Italic" w:hAnsi="Times-New-Roman,Italic" w:cs="Times-New-Roman,Italic"/>
          <w:color w:val="auto"/>
          <w:sz w:val="23"/>
          <w:szCs w:val="23"/>
        </w:rPr>
        <w:t xml:space="preserve"> </w:t>
      </w:r>
      <w:r w:rsidRPr="00F94DDB">
        <w:rPr>
          <w:rFonts w:ascii="Times-New-Roman" w:hAnsi="Times-New-Roman" w:cs="Times-New-Roman"/>
          <w:color w:val="auto"/>
          <w:sz w:val="23"/>
          <w:szCs w:val="23"/>
        </w:rPr>
        <w:t xml:space="preserve">(L) Blume Family </w:t>
      </w:r>
      <w:proofErr w:type="spellStart"/>
      <w:r w:rsidRPr="00F94DDB">
        <w:rPr>
          <w:rFonts w:ascii="Times-New-Roman" w:hAnsi="Times-New-Roman" w:cs="Times-New-Roman"/>
          <w:color w:val="auto"/>
          <w:sz w:val="23"/>
          <w:szCs w:val="23"/>
        </w:rPr>
        <w:t>Ulmaceae</w:t>
      </w:r>
      <w:proofErr w:type="spellEnd"/>
      <w:r w:rsidRPr="00F94DDB">
        <w:rPr>
          <w:rFonts w:ascii="Times-New-Roman" w:hAnsi="Times-New-Roman" w:cs="Times-New-Roman"/>
          <w:color w:val="auto"/>
          <w:sz w:val="23"/>
          <w:szCs w:val="23"/>
        </w:rPr>
        <w:t xml:space="preserve">. </w:t>
      </w:r>
      <w:r w:rsidRPr="00F94DDB">
        <w:rPr>
          <w:rFonts w:ascii="Times-New-Roman,Italic" w:hAnsi="Times-New-Roman,Italic" w:cs="Times-New-Roman,Italic"/>
          <w:color w:val="auto"/>
          <w:sz w:val="23"/>
          <w:szCs w:val="23"/>
        </w:rPr>
        <w:t>Journal of Pharmacology and Applied Sciences Research. 4(3), 42- 48.</w:t>
      </w:r>
    </w:p>
    <w:p w:rsidR="005E2688" w:rsidRDefault="00F94DDB" w:rsidP="00F94DDB">
      <w:pPr>
        <w:pStyle w:val="Default"/>
        <w:rPr>
          <w:rFonts w:ascii="Times-New-Roman,Italic" w:hAnsi="Times-New-Roman,Italic" w:cs="Times-New-Roman,Italic"/>
          <w:sz w:val="23"/>
          <w:szCs w:val="23"/>
        </w:rPr>
      </w:pPr>
      <w:proofErr w:type="spellStart"/>
      <w:r>
        <w:rPr>
          <w:sz w:val="23"/>
          <w:szCs w:val="23"/>
        </w:rPr>
        <w:t>Ladokun</w:t>
      </w:r>
      <w:proofErr w:type="spellEnd"/>
      <w:r>
        <w:rPr>
          <w:sz w:val="23"/>
          <w:szCs w:val="23"/>
        </w:rPr>
        <w:t xml:space="preserve">, O., </w:t>
      </w:r>
      <w:proofErr w:type="spellStart"/>
      <w:r>
        <w:rPr>
          <w:sz w:val="23"/>
          <w:szCs w:val="23"/>
        </w:rPr>
        <w:t>Ojezele</w:t>
      </w:r>
      <w:proofErr w:type="spellEnd"/>
      <w:r>
        <w:rPr>
          <w:sz w:val="23"/>
          <w:szCs w:val="23"/>
        </w:rPr>
        <w:t xml:space="preserve">, M., </w:t>
      </w:r>
      <w:proofErr w:type="spellStart"/>
      <w:r>
        <w:rPr>
          <w:sz w:val="23"/>
          <w:szCs w:val="23"/>
        </w:rPr>
        <w:t>Arojojoye</w:t>
      </w:r>
      <w:proofErr w:type="spellEnd"/>
      <w:r>
        <w:rPr>
          <w:sz w:val="23"/>
          <w:szCs w:val="23"/>
        </w:rPr>
        <w:t xml:space="preserve">, O. (2015). Comparative study on the effects of aqueous extracts of </w:t>
      </w:r>
      <w:r>
        <w:rPr>
          <w:rFonts w:ascii="Times-New-Roman,Italic" w:hAnsi="Times-New-Roman,Italic" w:cs="Times-New-Roman,Italic"/>
          <w:sz w:val="23"/>
          <w:szCs w:val="23"/>
        </w:rPr>
        <w:t xml:space="preserve">Viscum album </w:t>
      </w:r>
      <w:r>
        <w:rPr>
          <w:sz w:val="23"/>
          <w:szCs w:val="23"/>
        </w:rPr>
        <w:t xml:space="preserve">(mistletoe) from three host plants on </w:t>
      </w:r>
      <w:r>
        <w:rPr>
          <w:rFonts w:ascii="Times-New-Roman,Italic" w:hAnsi="Times-New-Roman,Italic" w:cs="Times-New-Roman,Italic"/>
          <w:sz w:val="23"/>
          <w:szCs w:val="23"/>
        </w:rPr>
        <w:t xml:space="preserve">haematological </w:t>
      </w:r>
      <w:r>
        <w:rPr>
          <w:sz w:val="23"/>
          <w:szCs w:val="23"/>
        </w:rPr>
        <w:t xml:space="preserve">parameters in albino rats. </w:t>
      </w:r>
      <w:r>
        <w:rPr>
          <w:rFonts w:ascii="Times-New-Roman,Italic" w:hAnsi="Times-New-Roman,Italic" w:cs="Times-New-Roman,Italic"/>
          <w:sz w:val="23"/>
          <w:szCs w:val="23"/>
        </w:rPr>
        <w:t xml:space="preserve">African Health Sciences, 15(2), 606-612 </w:t>
      </w:r>
    </w:p>
    <w:p w:rsidR="005E2688" w:rsidRDefault="00F94DDB" w:rsidP="00F94DDB">
      <w:pPr>
        <w:pStyle w:val="Default"/>
        <w:rPr>
          <w:sz w:val="23"/>
          <w:szCs w:val="23"/>
        </w:rPr>
      </w:pPr>
      <w:r>
        <w:rPr>
          <w:sz w:val="23"/>
          <w:szCs w:val="23"/>
        </w:rPr>
        <w:t xml:space="preserve">Ogunlana, O. O., </w:t>
      </w:r>
      <w:proofErr w:type="spellStart"/>
      <w:r>
        <w:rPr>
          <w:sz w:val="23"/>
          <w:szCs w:val="23"/>
        </w:rPr>
        <w:t>Omotuyi</w:t>
      </w:r>
      <w:proofErr w:type="spellEnd"/>
      <w:r>
        <w:rPr>
          <w:sz w:val="23"/>
          <w:szCs w:val="23"/>
        </w:rPr>
        <w:t xml:space="preserve">, O. I., &amp; Afolayan, A. J. (2019). </w:t>
      </w:r>
      <w:r>
        <w:rPr>
          <w:rFonts w:ascii="Times-New-Roman,Italic" w:hAnsi="Times-New-Roman,Italic" w:cs="Times-New-Roman,Italic"/>
          <w:sz w:val="23"/>
          <w:szCs w:val="23"/>
        </w:rPr>
        <w:t>Pterocarpus mildbraedii</w:t>
      </w:r>
      <w:r>
        <w:rPr>
          <w:sz w:val="23"/>
          <w:szCs w:val="23"/>
        </w:rPr>
        <w:t xml:space="preserve">: A review of its ethnobotany, phytochemistry, and pharmacology. </w:t>
      </w:r>
      <w:r>
        <w:rPr>
          <w:rFonts w:ascii="Times-New-Roman,Italic" w:hAnsi="Times-New-Roman,Italic" w:cs="Times-New-Roman,Italic"/>
          <w:sz w:val="23"/>
          <w:szCs w:val="23"/>
        </w:rPr>
        <w:t xml:space="preserve">Journal of Ethnopharmacology, 234, 147-163. </w:t>
      </w:r>
      <w:r>
        <w:rPr>
          <w:sz w:val="23"/>
          <w:szCs w:val="23"/>
        </w:rPr>
        <w:t xml:space="preserve">Onoja, S. O. Maxwell E., </w:t>
      </w:r>
      <w:proofErr w:type="spellStart"/>
      <w:r>
        <w:rPr>
          <w:sz w:val="23"/>
          <w:szCs w:val="23"/>
        </w:rPr>
        <w:t>Ndukaku</w:t>
      </w:r>
      <w:proofErr w:type="spellEnd"/>
      <w:r>
        <w:rPr>
          <w:sz w:val="23"/>
          <w:szCs w:val="23"/>
        </w:rPr>
        <w:t xml:space="preserve">, O. Y. and </w:t>
      </w:r>
      <w:proofErr w:type="spellStart"/>
      <w:r>
        <w:rPr>
          <w:sz w:val="23"/>
          <w:szCs w:val="23"/>
        </w:rPr>
        <w:t>Onuwukwe</w:t>
      </w:r>
      <w:proofErr w:type="spellEnd"/>
      <w:r>
        <w:rPr>
          <w:sz w:val="23"/>
          <w:szCs w:val="23"/>
        </w:rPr>
        <w:t xml:space="preserve">, B. C (2016). Antioxidant, anti-inflammatory and antinociceptive activities of methanolic extract of Justicia </w:t>
      </w:r>
      <w:proofErr w:type="spellStart"/>
      <w:r>
        <w:rPr>
          <w:sz w:val="23"/>
          <w:szCs w:val="23"/>
        </w:rPr>
        <w:t>secunda</w:t>
      </w:r>
      <w:proofErr w:type="spellEnd"/>
      <w:r>
        <w:rPr>
          <w:sz w:val="23"/>
          <w:szCs w:val="23"/>
        </w:rPr>
        <w:t xml:space="preserve"> Vahl leaf</w:t>
      </w:r>
      <w:r>
        <w:rPr>
          <w:rFonts w:ascii="Times-New-Roman,Italic" w:hAnsi="Times-New-Roman,Italic" w:cs="Times-New-Roman,Italic"/>
          <w:sz w:val="23"/>
          <w:szCs w:val="23"/>
        </w:rPr>
        <w:t xml:space="preserve">. Alexandria Journal of Medicine </w:t>
      </w:r>
      <w:r>
        <w:rPr>
          <w:sz w:val="23"/>
          <w:szCs w:val="23"/>
        </w:rPr>
        <w:t xml:space="preserve">53(3) </w:t>
      </w:r>
    </w:p>
    <w:p w:rsidR="005E2688" w:rsidRDefault="005E2688" w:rsidP="00F94DDB">
      <w:pPr>
        <w:pStyle w:val="Default"/>
        <w:rPr>
          <w:sz w:val="23"/>
          <w:szCs w:val="23"/>
        </w:rPr>
      </w:pPr>
    </w:p>
    <w:p w:rsidR="005E2688" w:rsidRDefault="00F94DDB" w:rsidP="00F94DDB">
      <w:pPr>
        <w:pStyle w:val="Default"/>
        <w:rPr>
          <w:sz w:val="23"/>
          <w:szCs w:val="23"/>
        </w:rPr>
      </w:pPr>
      <w:proofErr w:type="spellStart"/>
      <w:r>
        <w:rPr>
          <w:sz w:val="23"/>
          <w:szCs w:val="23"/>
        </w:rPr>
        <w:t>Ojewole</w:t>
      </w:r>
      <w:proofErr w:type="spellEnd"/>
      <w:r>
        <w:rPr>
          <w:sz w:val="23"/>
          <w:szCs w:val="23"/>
        </w:rPr>
        <w:t xml:space="preserve">, J. A. (2005). Antinociceptive, anti-inflammatory and antidiabetic effects of </w:t>
      </w:r>
      <w:r>
        <w:rPr>
          <w:rFonts w:ascii="Times-New-Roman,Italic" w:hAnsi="Times-New-Roman,Italic" w:cs="Times-New-Roman,Italic"/>
          <w:sz w:val="23"/>
          <w:szCs w:val="23"/>
        </w:rPr>
        <w:t xml:space="preserve">Pterocarpus mildbraedii </w:t>
      </w:r>
      <w:r>
        <w:rPr>
          <w:sz w:val="23"/>
          <w:szCs w:val="23"/>
        </w:rPr>
        <w:t>Harms (Leguminosae-</w:t>
      </w:r>
      <w:proofErr w:type="spellStart"/>
      <w:r>
        <w:rPr>
          <w:sz w:val="23"/>
          <w:szCs w:val="23"/>
        </w:rPr>
        <w:t>Papilionoideae</w:t>
      </w:r>
      <w:proofErr w:type="spellEnd"/>
      <w:r>
        <w:rPr>
          <w:sz w:val="23"/>
          <w:szCs w:val="23"/>
        </w:rPr>
        <w:t xml:space="preserve">) stem bark aqueous extract in mice and rats. </w:t>
      </w:r>
      <w:r>
        <w:rPr>
          <w:rFonts w:ascii="Times-New-Roman,Italic" w:hAnsi="Times-New-Roman,Italic" w:cs="Times-New-Roman,Italic"/>
          <w:sz w:val="23"/>
          <w:szCs w:val="23"/>
        </w:rPr>
        <w:t>Methods and Findings in Experimental and Clinical Pharmacology, 27(9), 617-624</w:t>
      </w:r>
      <w:r>
        <w:rPr>
          <w:sz w:val="23"/>
          <w:szCs w:val="23"/>
        </w:rPr>
        <w:t>.</w:t>
      </w:r>
    </w:p>
    <w:p w:rsidR="005E2688" w:rsidRDefault="00F94DDB" w:rsidP="00F94DDB">
      <w:pPr>
        <w:pStyle w:val="Default"/>
        <w:rPr>
          <w:rFonts w:ascii="Times-New-Roman,Italic" w:hAnsi="Times-New-Roman,Italic" w:cs="Times-New-Roman,Italic"/>
          <w:sz w:val="23"/>
          <w:szCs w:val="23"/>
        </w:rPr>
      </w:pPr>
      <w:r>
        <w:rPr>
          <w:sz w:val="23"/>
          <w:szCs w:val="23"/>
        </w:rPr>
        <w:t xml:space="preserve"> Ojo, O.A, Ajiboye B.O., </w:t>
      </w:r>
      <w:proofErr w:type="spellStart"/>
      <w:r>
        <w:rPr>
          <w:sz w:val="23"/>
          <w:szCs w:val="23"/>
        </w:rPr>
        <w:t>Oyinloye</w:t>
      </w:r>
      <w:proofErr w:type="spellEnd"/>
      <w:r>
        <w:rPr>
          <w:sz w:val="23"/>
          <w:szCs w:val="23"/>
        </w:rPr>
        <w:t xml:space="preserve"> B.E, Ojo A.B., and Olarewaju O.I (2014). Protective effects of </w:t>
      </w:r>
      <w:proofErr w:type="spellStart"/>
      <w:r>
        <w:rPr>
          <w:rFonts w:ascii="Times-New-Roman,Italic" w:hAnsi="Times-New-Roman,Italic" w:cs="Times-New-Roman,Italic"/>
          <w:sz w:val="23"/>
          <w:szCs w:val="23"/>
        </w:rPr>
        <w:t>Irvingia</w:t>
      </w:r>
      <w:proofErr w:type="spellEnd"/>
      <w:r>
        <w:rPr>
          <w:rFonts w:ascii="Times-New-Roman,Italic" w:hAnsi="Times-New-Roman,Italic" w:cs="Times-New-Roman,Italic"/>
          <w:sz w:val="23"/>
          <w:szCs w:val="23"/>
        </w:rPr>
        <w:t xml:space="preserve"> </w:t>
      </w:r>
      <w:proofErr w:type="spellStart"/>
      <w:r>
        <w:rPr>
          <w:rFonts w:ascii="Times-New-Roman,Italic" w:hAnsi="Times-New-Roman,Italic" w:cs="Times-New-Roman,Italic"/>
          <w:sz w:val="23"/>
          <w:szCs w:val="23"/>
        </w:rPr>
        <w:t>gabonensis</w:t>
      </w:r>
      <w:proofErr w:type="spellEnd"/>
      <w:r>
        <w:rPr>
          <w:rFonts w:ascii="Times-New-Roman,Italic" w:hAnsi="Times-New-Roman,Italic" w:cs="Times-New-Roman,Italic"/>
          <w:sz w:val="23"/>
          <w:szCs w:val="23"/>
        </w:rPr>
        <w:t xml:space="preserve"> </w:t>
      </w:r>
      <w:r>
        <w:rPr>
          <w:sz w:val="23"/>
          <w:szCs w:val="23"/>
        </w:rPr>
        <w:t xml:space="preserve">stem bark extract on cadmium-induced nephrotoxicity in rats. </w:t>
      </w:r>
      <w:r>
        <w:rPr>
          <w:rFonts w:ascii="Times-New-Roman,Italic" w:hAnsi="Times-New-Roman,Italic" w:cs="Times-New-Roman,Italic"/>
          <w:sz w:val="23"/>
          <w:szCs w:val="23"/>
        </w:rPr>
        <w:t xml:space="preserve">Interdisciplinary Toxicology, 7(4): 208-1242. </w:t>
      </w:r>
    </w:p>
    <w:p w:rsidR="005E2688" w:rsidRDefault="00F94DDB" w:rsidP="00F94DDB">
      <w:pPr>
        <w:pStyle w:val="Default"/>
        <w:rPr>
          <w:rFonts w:ascii="Times-New-Roman,Italic" w:hAnsi="Times-New-Roman,Italic" w:cs="Times-New-Roman,Italic"/>
          <w:sz w:val="23"/>
          <w:szCs w:val="23"/>
        </w:rPr>
      </w:pPr>
      <w:r>
        <w:rPr>
          <w:sz w:val="23"/>
          <w:szCs w:val="23"/>
        </w:rPr>
        <w:lastRenderedPageBreak/>
        <w:t xml:space="preserve">Saliu, J. A., </w:t>
      </w:r>
      <w:proofErr w:type="spellStart"/>
      <w:r>
        <w:rPr>
          <w:sz w:val="23"/>
          <w:szCs w:val="23"/>
        </w:rPr>
        <w:t>Elekofehinti</w:t>
      </w:r>
      <w:proofErr w:type="spellEnd"/>
      <w:r>
        <w:rPr>
          <w:sz w:val="23"/>
          <w:szCs w:val="23"/>
        </w:rPr>
        <w:t xml:space="preserve">, O. O., Komolafe, K., Oboh, G. (2012). Effects of some green leafy vegetables on the haematological parameters of diabetic rats. </w:t>
      </w:r>
      <w:r>
        <w:rPr>
          <w:rFonts w:ascii="Times-New-Roman,Italic" w:hAnsi="Times-New-Roman,Italic" w:cs="Times-New-Roman,Italic"/>
          <w:sz w:val="23"/>
          <w:szCs w:val="23"/>
        </w:rPr>
        <w:t>Journal of Natural Product and Plant Resources, 2(4), 482-485.</w:t>
      </w:r>
    </w:p>
    <w:p w:rsidR="005E2688" w:rsidRDefault="00F94DDB" w:rsidP="00F94DDB">
      <w:pPr>
        <w:pStyle w:val="Default"/>
        <w:rPr>
          <w:rFonts w:ascii="Times-New-Roman,Italic" w:hAnsi="Times-New-Roman,Italic" w:cs="Times-New-Roman,Italic"/>
          <w:sz w:val="23"/>
          <w:szCs w:val="23"/>
        </w:rPr>
      </w:pPr>
      <w:r>
        <w:rPr>
          <w:rFonts w:ascii="Times-New-Roman,Italic" w:hAnsi="Times-New-Roman,Italic" w:cs="Times-New-Roman,Italic"/>
          <w:sz w:val="23"/>
          <w:szCs w:val="23"/>
        </w:rPr>
        <w:t xml:space="preserve"> </w:t>
      </w:r>
      <w:r>
        <w:rPr>
          <w:sz w:val="23"/>
          <w:szCs w:val="23"/>
        </w:rPr>
        <w:t xml:space="preserve">Senga, P. M., Prado, M., </w:t>
      </w:r>
      <w:proofErr w:type="spellStart"/>
      <w:r>
        <w:rPr>
          <w:sz w:val="23"/>
          <w:szCs w:val="23"/>
        </w:rPr>
        <w:t>Khasa</w:t>
      </w:r>
      <w:proofErr w:type="spellEnd"/>
      <w:r>
        <w:rPr>
          <w:sz w:val="23"/>
          <w:szCs w:val="23"/>
        </w:rPr>
        <w:t xml:space="preserve">, D. and Stevanovic, T. J. (2016). Contribution to Chemical Study of Stem and Branches of </w:t>
      </w:r>
      <w:r>
        <w:rPr>
          <w:rFonts w:ascii="Times-New-Roman,Italic" w:hAnsi="Times-New-Roman,Italic" w:cs="Times-New-Roman,Italic"/>
          <w:sz w:val="23"/>
          <w:szCs w:val="23"/>
        </w:rPr>
        <w:t xml:space="preserve">Trema </w:t>
      </w:r>
      <w:proofErr w:type="spellStart"/>
      <w:r>
        <w:rPr>
          <w:rFonts w:ascii="Times-New-Roman,Italic" w:hAnsi="Times-New-Roman,Italic" w:cs="Times-New-Roman,Italic"/>
          <w:sz w:val="23"/>
          <w:szCs w:val="23"/>
        </w:rPr>
        <w:t>orientalis</w:t>
      </w:r>
      <w:proofErr w:type="spellEnd"/>
      <w:r>
        <w:rPr>
          <w:rFonts w:ascii="Times-New-Roman,Italic" w:hAnsi="Times-New-Roman,Italic" w:cs="Times-New-Roman,Italic"/>
          <w:sz w:val="23"/>
          <w:szCs w:val="23"/>
        </w:rPr>
        <w:t xml:space="preserve"> </w:t>
      </w:r>
      <w:r>
        <w:rPr>
          <w:sz w:val="23"/>
          <w:szCs w:val="23"/>
        </w:rPr>
        <w:t xml:space="preserve">L. (Blum) and </w:t>
      </w:r>
      <w:r>
        <w:rPr>
          <w:rFonts w:ascii="Times-New-Roman,Italic" w:hAnsi="Times-New-Roman,Italic" w:cs="Times-New-Roman,Italic"/>
          <w:sz w:val="23"/>
          <w:szCs w:val="23"/>
        </w:rPr>
        <w:t xml:space="preserve">Leucaena </w:t>
      </w:r>
      <w:proofErr w:type="spellStart"/>
      <w:r>
        <w:rPr>
          <w:rFonts w:ascii="Times-New-Roman,Italic" w:hAnsi="Times-New-Roman,Italic" w:cs="Times-New-Roman,Italic"/>
          <w:sz w:val="23"/>
          <w:szCs w:val="23"/>
        </w:rPr>
        <w:t>leucocephala</w:t>
      </w:r>
      <w:proofErr w:type="spellEnd"/>
      <w:r>
        <w:rPr>
          <w:rFonts w:ascii="Times-New-Roman,Italic" w:hAnsi="Times-New-Roman,Italic" w:cs="Times-New-Roman,Italic"/>
          <w:sz w:val="23"/>
          <w:szCs w:val="23"/>
        </w:rPr>
        <w:t xml:space="preserve"> </w:t>
      </w:r>
      <w:r>
        <w:rPr>
          <w:sz w:val="23"/>
          <w:szCs w:val="23"/>
        </w:rPr>
        <w:t xml:space="preserve">(Lam.). </w:t>
      </w:r>
      <w:r>
        <w:rPr>
          <w:rFonts w:ascii="Times-New-Roman,Italic" w:hAnsi="Times-New-Roman,Italic" w:cs="Times-New-Roman,Italic"/>
          <w:sz w:val="23"/>
          <w:szCs w:val="23"/>
        </w:rPr>
        <w:t xml:space="preserve">Natural Products Chemistry and Research, 4(6). </w:t>
      </w:r>
    </w:p>
    <w:p w:rsidR="005E2688" w:rsidRDefault="00F94DDB" w:rsidP="00F94DDB">
      <w:pPr>
        <w:pStyle w:val="Default"/>
        <w:rPr>
          <w:sz w:val="23"/>
          <w:szCs w:val="23"/>
        </w:rPr>
      </w:pPr>
      <w:proofErr w:type="spellStart"/>
      <w:r>
        <w:rPr>
          <w:sz w:val="23"/>
          <w:szCs w:val="23"/>
        </w:rPr>
        <w:t>Stroev</w:t>
      </w:r>
      <w:proofErr w:type="spellEnd"/>
      <w:r>
        <w:rPr>
          <w:sz w:val="23"/>
          <w:szCs w:val="23"/>
        </w:rPr>
        <w:t xml:space="preserve">, E. A. and Makarova V. G. (1989) Mir Publishers; Moscow: Laboratory manual in biochemistry 81–114. </w:t>
      </w:r>
      <w:proofErr w:type="spellStart"/>
      <w:r>
        <w:rPr>
          <w:sz w:val="23"/>
          <w:szCs w:val="23"/>
        </w:rPr>
        <w:t>Tchounwou</w:t>
      </w:r>
      <w:proofErr w:type="spellEnd"/>
      <w:r>
        <w:rPr>
          <w:sz w:val="23"/>
          <w:szCs w:val="23"/>
        </w:rPr>
        <w:t xml:space="preserve">, P. B., </w:t>
      </w:r>
      <w:proofErr w:type="spellStart"/>
      <w:r>
        <w:rPr>
          <w:sz w:val="23"/>
          <w:szCs w:val="23"/>
        </w:rPr>
        <w:t>Yedjou</w:t>
      </w:r>
      <w:proofErr w:type="spellEnd"/>
      <w:r>
        <w:rPr>
          <w:sz w:val="23"/>
          <w:szCs w:val="23"/>
        </w:rPr>
        <w:t xml:space="preserve">, C. G., Patlolla, A. K., and Sutton, D. J. (2012). Heavy metal toxicity and the environment. </w:t>
      </w:r>
      <w:r>
        <w:rPr>
          <w:rFonts w:ascii="Times-New-Roman,Italic" w:hAnsi="Times-New-Roman,Italic" w:cs="Times-New-Roman,Italic"/>
          <w:sz w:val="23"/>
          <w:szCs w:val="23"/>
        </w:rPr>
        <w:t>Molecular and cellular toxicology</w:t>
      </w:r>
      <w:r>
        <w:rPr>
          <w:sz w:val="23"/>
          <w:szCs w:val="23"/>
        </w:rPr>
        <w:t xml:space="preserve">, 133–164. </w:t>
      </w:r>
    </w:p>
    <w:p w:rsidR="005E2688" w:rsidRDefault="00F94DDB" w:rsidP="00F94DDB">
      <w:pPr>
        <w:pStyle w:val="Default"/>
        <w:rPr>
          <w:sz w:val="23"/>
          <w:szCs w:val="23"/>
        </w:rPr>
      </w:pPr>
      <w:r>
        <w:rPr>
          <w:sz w:val="23"/>
          <w:szCs w:val="23"/>
        </w:rPr>
        <w:t xml:space="preserve">Thachil, J., Warkentin, T. E., &amp; </w:t>
      </w:r>
      <w:proofErr w:type="spellStart"/>
      <w:r>
        <w:rPr>
          <w:sz w:val="23"/>
          <w:szCs w:val="23"/>
        </w:rPr>
        <w:t>Greinacher</w:t>
      </w:r>
      <w:proofErr w:type="spellEnd"/>
      <w:r>
        <w:rPr>
          <w:sz w:val="23"/>
          <w:szCs w:val="23"/>
        </w:rPr>
        <w:t xml:space="preserve">, A. (2014). Recognizing and managing platelet-refractory bleeding in the era of thrombopoietin mimetics. </w:t>
      </w:r>
      <w:r>
        <w:rPr>
          <w:rFonts w:ascii="Times-New-Roman,Italic" w:hAnsi="Times-New-Roman,Italic" w:cs="Times-New-Roman,Italic"/>
          <w:sz w:val="23"/>
          <w:szCs w:val="23"/>
        </w:rPr>
        <w:t>American Journal of Hematology, 89</w:t>
      </w:r>
      <w:r>
        <w:rPr>
          <w:sz w:val="23"/>
          <w:szCs w:val="23"/>
        </w:rPr>
        <w:t xml:space="preserve">(10), 1031-1035. </w:t>
      </w:r>
    </w:p>
    <w:p w:rsidR="005E2688" w:rsidRDefault="00F94DDB" w:rsidP="00F94DDB">
      <w:pPr>
        <w:pStyle w:val="Default"/>
        <w:rPr>
          <w:sz w:val="23"/>
          <w:szCs w:val="23"/>
        </w:rPr>
      </w:pPr>
      <w:r>
        <w:rPr>
          <w:sz w:val="23"/>
          <w:szCs w:val="23"/>
        </w:rPr>
        <w:t xml:space="preserve">Varshney, R. and Kale R. K. (1990). Effects of Calmodulin antagonist on radiation induced lipid peroxidation in microsomes. </w:t>
      </w:r>
      <w:r>
        <w:rPr>
          <w:rFonts w:ascii="Times-New-Roman,Italic" w:hAnsi="Times-New-Roman,Italic" w:cs="Times-New-Roman,Italic"/>
          <w:sz w:val="23"/>
          <w:szCs w:val="23"/>
        </w:rPr>
        <w:t xml:space="preserve">Int J </w:t>
      </w:r>
      <w:proofErr w:type="spellStart"/>
      <w:r>
        <w:rPr>
          <w:rFonts w:ascii="Times-New-Roman,Italic" w:hAnsi="Times-New-Roman,Italic" w:cs="Times-New-Roman,Italic"/>
          <w:sz w:val="23"/>
          <w:szCs w:val="23"/>
        </w:rPr>
        <w:t>Radiol</w:t>
      </w:r>
      <w:proofErr w:type="spellEnd"/>
      <w:r>
        <w:rPr>
          <w:rFonts w:ascii="Times-New-Roman,Italic" w:hAnsi="Times-New-Roman,Italic" w:cs="Times-New-Roman,Italic"/>
          <w:sz w:val="23"/>
          <w:szCs w:val="23"/>
        </w:rPr>
        <w:t xml:space="preserve"> Biol </w:t>
      </w:r>
      <w:r>
        <w:rPr>
          <w:sz w:val="23"/>
          <w:szCs w:val="23"/>
        </w:rPr>
        <w:t>58, 5:733–744,</w:t>
      </w:r>
    </w:p>
    <w:p w:rsidR="00F94DDB" w:rsidRPr="005E2688" w:rsidRDefault="00F94DDB" w:rsidP="00F94DDB">
      <w:pPr>
        <w:pStyle w:val="Default"/>
        <w:rPr>
          <w:sz w:val="23"/>
          <w:szCs w:val="23"/>
        </w:rPr>
      </w:pPr>
      <w:r>
        <w:rPr>
          <w:sz w:val="23"/>
          <w:szCs w:val="23"/>
        </w:rPr>
        <w:t xml:space="preserve"> N Vinodini, N. A., Pratik, K. C., Kunal, S. V. B., Rashmi, K. S., </w:t>
      </w:r>
      <w:proofErr w:type="spellStart"/>
      <w:r>
        <w:rPr>
          <w:sz w:val="23"/>
          <w:szCs w:val="23"/>
        </w:rPr>
        <w:t>Nayanatara</w:t>
      </w:r>
      <w:proofErr w:type="spellEnd"/>
      <w:r>
        <w:rPr>
          <w:sz w:val="23"/>
          <w:szCs w:val="23"/>
        </w:rPr>
        <w:t xml:space="preserve">, A. K. (2019). Effectiveness of </w:t>
      </w:r>
      <w:r>
        <w:rPr>
          <w:rFonts w:ascii="Times-New-Roman,Italic" w:hAnsi="Times-New-Roman,Italic" w:cs="Times-New-Roman,Italic"/>
          <w:sz w:val="23"/>
          <w:szCs w:val="23"/>
        </w:rPr>
        <w:t xml:space="preserve">Moringa </w:t>
      </w:r>
      <w:proofErr w:type="spellStart"/>
      <w:r>
        <w:rPr>
          <w:rFonts w:ascii="Times-New-Roman,Italic" w:hAnsi="Times-New-Roman,Italic" w:cs="Times-New-Roman,Italic"/>
          <w:sz w:val="23"/>
          <w:szCs w:val="23"/>
        </w:rPr>
        <w:t>oleifea</w:t>
      </w:r>
      <w:proofErr w:type="spellEnd"/>
      <w:r>
        <w:rPr>
          <w:rFonts w:ascii="Times-New-Roman,Italic" w:hAnsi="Times-New-Roman,Italic" w:cs="Times-New-Roman,Italic"/>
          <w:sz w:val="23"/>
          <w:szCs w:val="23"/>
        </w:rPr>
        <w:t xml:space="preserve"> </w:t>
      </w:r>
      <w:r>
        <w:rPr>
          <w:sz w:val="23"/>
          <w:szCs w:val="23"/>
        </w:rPr>
        <w:t xml:space="preserve">Extract in Attenuating the Toxic Effect on Platelet Count: An Experiment on Cadmium Exposed Rats. </w:t>
      </w:r>
      <w:r>
        <w:rPr>
          <w:rFonts w:ascii="Times-New-Roman,Italic" w:hAnsi="Times-New-Roman,Italic" w:cs="Times-New-Roman,Italic"/>
          <w:sz w:val="23"/>
          <w:szCs w:val="23"/>
        </w:rPr>
        <w:t xml:space="preserve">Pharmacognosy Journal, 11(4), 689-93. </w:t>
      </w:r>
      <w:r>
        <w:rPr>
          <w:sz w:val="23"/>
          <w:szCs w:val="23"/>
        </w:rPr>
        <w:t xml:space="preserve">Yuan, G., Dai, S., Yin, Z., Lu, H., Jia, R., Xu, J., Song, X., Li, L., Shu, Y., &amp; Zhao, X. (2014). Toxicological assessment of combined lead and cadmium: Acute and sub-chronic toxicity study in rats. </w:t>
      </w:r>
      <w:r>
        <w:rPr>
          <w:rFonts w:ascii="Times-New-Roman,Italic" w:hAnsi="Times-New-Roman,Italic" w:cs="Times-New-Roman,Italic"/>
          <w:sz w:val="23"/>
          <w:szCs w:val="23"/>
        </w:rPr>
        <w:t xml:space="preserve">Food Chem. </w:t>
      </w:r>
      <w:proofErr w:type="spellStart"/>
      <w:r>
        <w:rPr>
          <w:rFonts w:ascii="Times-New-Roman,Italic" w:hAnsi="Times-New-Roman,Italic" w:cs="Times-New-Roman,Italic"/>
          <w:sz w:val="23"/>
          <w:szCs w:val="23"/>
        </w:rPr>
        <w:t>Toxicol</w:t>
      </w:r>
      <w:proofErr w:type="spellEnd"/>
      <w:r>
        <w:rPr>
          <w:sz w:val="23"/>
          <w:szCs w:val="23"/>
        </w:rPr>
        <w:t xml:space="preserve">, </w:t>
      </w:r>
      <w:r>
        <w:rPr>
          <w:rFonts w:ascii="Times-New-Roman,Italic" w:hAnsi="Times-New-Roman,Italic" w:cs="Times-New-Roman,Italic"/>
          <w:sz w:val="23"/>
          <w:szCs w:val="23"/>
        </w:rPr>
        <w:t>65</w:t>
      </w:r>
      <w:r>
        <w:rPr>
          <w:sz w:val="23"/>
          <w:szCs w:val="23"/>
        </w:rPr>
        <w:t>, 260–268.</w:t>
      </w:r>
    </w:p>
    <w:sectPr w:rsidR="00F94DDB" w:rsidRPr="005E268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983448" w:rsidRDefault="00983448" w:rsidP="005E2688">
      <w:pPr>
        <w:spacing w:after="0" w:line="240" w:lineRule="auto"/>
      </w:pPr>
      <w:r>
        <w:separator/>
      </w:r>
    </w:p>
  </w:endnote>
  <w:endnote w:type="continuationSeparator" w:id="0">
    <w:p w:rsidR="00983448" w:rsidRDefault="00983448" w:rsidP="005E26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New-Roman,Bold">
    <w:altName w:val="Times New Roman"/>
    <w:panose1 w:val="00000000000000000000"/>
    <w:charset w:val="00"/>
    <w:family w:val="roman"/>
    <w:notTrueType/>
    <w:pitch w:val="default"/>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Times-New-Roman,BoldItalic">
    <w:altName w:val="Times New Roman"/>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Italic">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983448" w:rsidRDefault="00983448" w:rsidP="005E2688">
      <w:pPr>
        <w:spacing w:after="0" w:line="240" w:lineRule="auto"/>
      </w:pPr>
      <w:r>
        <w:separator/>
      </w:r>
    </w:p>
  </w:footnote>
  <w:footnote w:type="continuationSeparator" w:id="0">
    <w:p w:rsidR="00983448" w:rsidRDefault="00983448" w:rsidP="005E268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306F6E"/>
    <w:multiLevelType w:val="multilevel"/>
    <w:tmpl w:val="4940A852"/>
    <w:lvl w:ilvl="0">
      <w:start w:val="1"/>
      <w:numFmt w:val="decimal"/>
      <w:lvlText w:val="%1.0"/>
      <w:lvlJc w:val="left"/>
      <w:pPr>
        <w:ind w:left="360" w:hanging="360"/>
      </w:pPr>
      <w:rPr>
        <w:rFonts w:ascii="Times-New-Roman,Bold" w:hAnsi="Times-New-Roman,Bold" w:cs="Times-New-Roman,Bold" w:hint="default"/>
        <w:b/>
      </w:rPr>
    </w:lvl>
    <w:lvl w:ilvl="1">
      <w:start w:val="1"/>
      <w:numFmt w:val="decimal"/>
      <w:lvlText w:val="%1.%2"/>
      <w:lvlJc w:val="left"/>
      <w:pPr>
        <w:ind w:left="1080" w:hanging="360"/>
      </w:pPr>
      <w:rPr>
        <w:rFonts w:ascii="Times-New-Roman,Bold" w:hAnsi="Times-New-Roman,Bold" w:cs="Times-New-Roman,Bold" w:hint="default"/>
        <w:b/>
      </w:rPr>
    </w:lvl>
    <w:lvl w:ilvl="2">
      <w:start w:val="1"/>
      <w:numFmt w:val="decimal"/>
      <w:lvlText w:val="%1.%2.%3"/>
      <w:lvlJc w:val="left"/>
      <w:pPr>
        <w:ind w:left="2160" w:hanging="720"/>
      </w:pPr>
      <w:rPr>
        <w:rFonts w:ascii="Times-New-Roman,Bold" w:hAnsi="Times-New-Roman,Bold" w:cs="Times-New-Roman,Bold" w:hint="default"/>
        <w:b/>
      </w:rPr>
    </w:lvl>
    <w:lvl w:ilvl="3">
      <w:start w:val="1"/>
      <w:numFmt w:val="decimal"/>
      <w:lvlText w:val="%1.%2.%3.%4"/>
      <w:lvlJc w:val="left"/>
      <w:pPr>
        <w:ind w:left="2880" w:hanging="720"/>
      </w:pPr>
      <w:rPr>
        <w:rFonts w:ascii="Times-New-Roman,Bold" w:hAnsi="Times-New-Roman,Bold" w:cs="Times-New-Roman,Bold" w:hint="default"/>
        <w:b/>
      </w:rPr>
    </w:lvl>
    <w:lvl w:ilvl="4">
      <w:start w:val="1"/>
      <w:numFmt w:val="decimal"/>
      <w:lvlText w:val="%1.%2.%3.%4.%5"/>
      <w:lvlJc w:val="left"/>
      <w:pPr>
        <w:ind w:left="3960" w:hanging="1080"/>
      </w:pPr>
      <w:rPr>
        <w:rFonts w:ascii="Times-New-Roman,Bold" w:hAnsi="Times-New-Roman,Bold" w:cs="Times-New-Roman,Bold" w:hint="default"/>
        <w:b/>
      </w:rPr>
    </w:lvl>
    <w:lvl w:ilvl="5">
      <w:start w:val="1"/>
      <w:numFmt w:val="decimal"/>
      <w:lvlText w:val="%1.%2.%3.%4.%5.%6"/>
      <w:lvlJc w:val="left"/>
      <w:pPr>
        <w:ind w:left="4680" w:hanging="1080"/>
      </w:pPr>
      <w:rPr>
        <w:rFonts w:ascii="Times-New-Roman,Bold" w:hAnsi="Times-New-Roman,Bold" w:cs="Times-New-Roman,Bold" w:hint="default"/>
        <w:b/>
      </w:rPr>
    </w:lvl>
    <w:lvl w:ilvl="6">
      <w:start w:val="1"/>
      <w:numFmt w:val="decimal"/>
      <w:lvlText w:val="%1.%2.%3.%4.%5.%6.%7"/>
      <w:lvlJc w:val="left"/>
      <w:pPr>
        <w:ind w:left="5760" w:hanging="1440"/>
      </w:pPr>
      <w:rPr>
        <w:rFonts w:ascii="Times-New-Roman,Bold" w:hAnsi="Times-New-Roman,Bold" w:cs="Times-New-Roman,Bold" w:hint="default"/>
        <w:b/>
      </w:rPr>
    </w:lvl>
    <w:lvl w:ilvl="7">
      <w:start w:val="1"/>
      <w:numFmt w:val="decimal"/>
      <w:lvlText w:val="%1.%2.%3.%4.%5.%6.%7.%8"/>
      <w:lvlJc w:val="left"/>
      <w:pPr>
        <w:ind w:left="6480" w:hanging="1440"/>
      </w:pPr>
      <w:rPr>
        <w:rFonts w:ascii="Times-New-Roman,Bold" w:hAnsi="Times-New-Roman,Bold" w:cs="Times-New-Roman,Bold" w:hint="default"/>
        <w:b/>
      </w:rPr>
    </w:lvl>
    <w:lvl w:ilvl="8">
      <w:start w:val="1"/>
      <w:numFmt w:val="decimal"/>
      <w:lvlText w:val="%1.%2.%3.%4.%5.%6.%7.%8.%9"/>
      <w:lvlJc w:val="left"/>
      <w:pPr>
        <w:ind w:left="7560" w:hanging="1800"/>
      </w:pPr>
      <w:rPr>
        <w:rFonts w:ascii="Times-New-Roman,Bold" w:hAnsi="Times-New-Roman,Bold" w:cs="Times-New-Roman,Bold" w:hint="default"/>
        <w:b/>
      </w:rPr>
    </w:lvl>
  </w:abstractNum>
  <w:num w:numId="1" w16cid:durableId="16994312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0DD1"/>
    <w:rsid w:val="000F0AF2"/>
    <w:rsid w:val="000F6CE9"/>
    <w:rsid w:val="004F0DD1"/>
    <w:rsid w:val="005E2688"/>
    <w:rsid w:val="00822A8A"/>
    <w:rsid w:val="00983448"/>
    <w:rsid w:val="00A548FC"/>
    <w:rsid w:val="00F94D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851191"/>
  <w15:chartTrackingRefBased/>
  <w15:docId w15:val="{10FF0962-3773-4086-97BA-4D2373B2D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22A8A"/>
    <w:pPr>
      <w:autoSpaceDE w:val="0"/>
      <w:autoSpaceDN w:val="0"/>
      <w:adjustRightInd w:val="0"/>
      <w:spacing w:after="0" w:line="240" w:lineRule="auto"/>
    </w:pPr>
    <w:rPr>
      <w:rFonts w:ascii="Times-New-Roman,Bold" w:hAnsi="Times-New-Roman,Bold" w:cs="Times-New-Roman,Bold"/>
      <w:color w:val="000000"/>
      <w:kern w:val="0"/>
      <w:sz w:val="24"/>
      <w:szCs w:val="24"/>
    </w:rPr>
  </w:style>
  <w:style w:type="paragraph" w:styleId="Header">
    <w:name w:val="header"/>
    <w:basedOn w:val="Normal"/>
    <w:link w:val="HeaderChar"/>
    <w:uiPriority w:val="99"/>
    <w:unhideWhenUsed/>
    <w:rsid w:val="005E2688"/>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2688"/>
  </w:style>
  <w:style w:type="paragraph" w:styleId="Footer">
    <w:name w:val="footer"/>
    <w:basedOn w:val="Normal"/>
    <w:link w:val="FooterChar"/>
    <w:uiPriority w:val="99"/>
    <w:unhideWhenUsed/>
    <w:rsid w:val="005E2688"/>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26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 Type="http://schemas.openxmlformats.org/officeDocument/2006/relationships/styles" Target="styles.xml"/><Relationship Id="rId16" Type="http://schemas.openxmlformats.org/officeDocument/2006/relationships/image" Target="media/image1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18</Pages>
  <Words>3219</Words>
  <Characters>18352</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2024-05-13T20:14:00Z</dcterms:created>
  <dcterms:modified xsi:type="dcterms:W3CDTF">2024-05-14T03:41:00Z</dcterms:modified>
</cp:coreProperties>
</file>