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3F" w:rsidRPr="00A9190E" w:rsidRDefault="00E0393F" w:rsidP="00E0393F">
      <w:pPr>
        <w:jc w:val="center"/>
        <w:rPr>
          <w:b/>
          <w:sz w:val="32"/>
        </w:rPr>
      </w:pPr>
      <w:r w:rsidRPr="00A9190E">
        <w:rPr>
          <w:b/>
          <w:sz w:val="32"/>
        </w:rPr>
        <w:t>STABILITY ANALYSIS OF TOBACCO SMOKING MODEL</w:t>
      </w:r>
      <w:r>
        <w:rPr>
          <w:b/>
          <w:sz w:val="32"/>
        </w:rPr>
        <w:t>: THE CASE OF BACTERIAL INFECTION</w:t>
      </w:r>
    </w:p>
    <w:p w:rsidR="00E0393F" w:rsidRPr="000D4AF5" w:rsidRDefault="00E0393F" w:rsidP="00E0393F">
      <w:pPr>
        <w:spacing w:line="240" w:lineRule="auto"/>
        <w:jc w:val="center"/>
        <w:rPr>
          <w:b/>
        </w:rPr>
      </w:pPr>
      <w:r w:rsidRPr="000D4AF5">
        <w:rPr>
          <w:b/>
        </w:rPr>
        <w:t>Bako D.</w:t>
      </w:r>
    </w:p>
    <w:p w:rsidR="00E0393F" w:rsidRDefault="00E0393F" w:rsidP="00E0393F">
      <w:pPr>
        <w:spacing w:after="0" w:line="240" w:lineRule="auto"/>
        <w:jc w:val="center"/>
      </w:pPr>
      <w:r>
        <w:t>Department of Mathematics Federal University of Technology Minna</w:t>
      </w:r>
    </w:p>
    <w:p w:rsidR="00E0393F" w:rsidRDefault="00E0393F" w:rsidP="00E0393F">
      <w:pPr>
        <w:spacing w:after="0" w:line="240" w:lineRule="auto"/>
        <w:jc w:val="center"/>
      </w:pPr>
      <w:r>
        <w:rPr>
          <w:vertAlign w:val="superscript"/>
        </w:rPr>
        <w:t xml:space="preserve"> </w:t>
      </w:r>
      <w:r>
        <w:rPr>
          <w:b/>
        </w:rPr>
        <w:t>e</w:t>
      </w:r>
      <w:r w:rsidRPr="00CC5A43">
        <w:rPr>
          <w:b/>
        </w:rPr>
        <w:t>-mail</w:t>
      </w:r>
      <w:r>
        <w:rPr>
          <w:b/>
        </w:rPr>
        <w:t xml:space="preserve"> and Phone Number</w:t>
      </w:r>
      <w:r w:rsidRPr="00CC5A43">
        <w:rPr>
          <w:b/>
        </w:rPr>
        <w:t>:</w:t>
      </w:r>
      <w:r>
        <w:t xml:space="preserve"> </w:t>
      </w:r>
      <w:hyperlink r:id="rId5" w:history="1">
        <w:r w:rsidRPr="005F230E">
          <w:rPr>
            <w:rStyle w:val="Hyperlink"/>
          </w:rPr>
          <w:t>deborah.bako@futminna.edu.ng</w:t>
        </w:r>
      </w:hyperlink>
      <w:r>
        <w:t>; 08034077299</w:t>
      </w:r>
    </w:p>
    <w:p w:rsidR="00E0393F" w:rsidRPr="008F4FB8" w:rsidRDefault="00E0393F" w:rsidP="00E0393F">
      <w:pPr>
        <w:spacing w:after="0" w:line="360" w:lineRule="auto"/>
        <w:jc w:val="center"/>
        <w:rPr>
          <w:b/>
        </w:rPr>
      </w:pPr>
    </w:p>
    <w:p w:rsidR="00E0393F" w:rsidRDefault="00E0393F" w:rsidP="00E0393F">
      <w:pPr>
        <w:spacing w:line="240" w:lineRule="auto"/>
        <w:jc w:val="both"/>
        <w:rPr>
          <w:b/>
        </w:rPr>
      </w:pPr>
    </w:p>
    <w:p w:rsidR="00E0393F" w:rsidRPr="007C01D7" w:rsidRDefault="00E0393F" w:rsidP="00E0393F">
      <w:pPr>
        <w:jc w:val="both"/>
        <w:rPr>
          <w:b/>
        </w:rPr>
      </w:pPr>
      <w:r w:rsidRPr="007C01D7">
        <w:rPr>
          <w:b/>
        </w:rPr>
        <w:t>Abstract</w:t>
      </w:r>
    </w:p>
    <w:p w:rsidR="00E0393F" w:rsidRDefault="00E0393F" w:rsidP="00E0393F">
      <w:pPr>
        <w:jc w:val="both"/>
      </w:pPr>
      <w:r w:rsidRPr="008F4FB8">
        <w:t xml:space="preserve">In this paper, we describe a tobacco smoking epidemic model with ten (10) compartments and used ordinary differential equations to describe the dynamics. The effective reproduction number </w:t>
      </w:r>
      <w:r w:rsidRPr="008F4FB8">
        <w:rPr>
          <w:position w:val="-16"/>
        </w:rPr>
        <w:object w:dxaOrig="6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1.75pt" o:ole="">
            <v:imagedata r:id="rId6" o:title=""/>
          </v:shape>
          <o:OLEObject Type="Embed" ProgID="Equation.DSMT4" ShapeID="_x0000_i1025" DrawAspect="Content" ObjectID="_1841428039" r:id="rId7"/>
        </w:object>
      </w:r>
      <w:r w:rsidRPr="008F4FB8">
        <w:t>was obtained and used as a threshold for the spread of bacterial infection through tobacco smoking. It was found that whenever</w:t>
      </w:r>
      <w:r w:rsidRPr="008F4FB8">
        <w:rPr>
          <w:position w:val="-14"/>
        </w:rPr>
        <w:object w:dxaOrig="720" w:dyaOrig="380">
          <v:shape id="_x0000_i1026" type="#_x0000_t75" style="width:36pt;height:19.5pt" o:ole="">
            <v:imagedata r:id="rId8" o:title=""/>
          </v:shape>
          <o:OLEObject Type="Embed" ProgID="Equation.DSMT4" ShapeID="_x0000_i1026" DrawAspect="Content" ObjectID="_1841428040" r:id="rId9"/>
        </w:object>
      </w:r>
      <w:r w:rsidRPr="008F4FB8">
        <w:t xml:space="preserve">, the </w:t>
      </w:r>
      <w:r>
        <w:t xml:space="preserve">tobacco </w:t>
      </w:r>
      <w:r w:rsidRPr="008F4FB8">
        <w:t xml:space="preserve">smoking-free equilibrium of the model is globally asymptotically stable (GAS) and the endemic equilibrium is stable if otherwise.  </w:t>
      </w:r>
    </w:p>
    <w:p w:rsidR="00E0393F" w:rsidRPr="007C01D7" w:rsidRDefault="00E0393F" w:rsidP="00E0393F">
      <w:pPr>
        <w:spacing w:line="240" w:lineRule="auto"/>
        <w:jc w:val="both"/>
        <w:rPr>
          <w:sz w:val="4"/>
        </w:rPr>
      </w:pPr>
    </w:p>
    <w:p w:rsidR="00E0393F" w:rsidRPr="008F4FB8" w:rsidRDefault="00E0393F" w:rsidP="00E0393F">
      <w:pPr>
        <w:jc w:val="both"/>
      </w:pPr>
      <w:r w:rsidRPr="007C01D7">
        <w:rPr>
          <w:b/>
        </w:rPr>
        <w:t>Keywords:</w:t>
      </w:r>
      <w:r>
        <w:t xml:space="preserve"> Tobacco smoking, Stability, Tobacco smoking-free equilibrium, Effective reproduction number</w:t>
      </w:r>
    </w:p>
    <w:p w:rsidR="00E0393F" w:rsidRPr="008F4FB8" w:rsidRDefault="00E0393F" w:rsidP="00E0393F">
      <w:pPr>
        <w:spacing w:line="240" w:lineRule="auto"/>
        <w:jc w:val="both"/>
      </w:pPr>
    </w:p>
    <w:p w:rsidR="00E0393F" w:rsidRDefault="00E0393F" w:rsidP="00E0393F">
      <w:pPr>
        <w:jc w:val="both"/>
        <w:rPr>
          <w:b/>
        </w:rPr>
      </w:pPr>
      <w:r w:rsidRPr="008F4FB8">
        <w:rPr>
          <w:b/>
        </w:rPr>
        <w:t>1.</w:t>
      </w:r>
      <w:r w:rsidRPr="008F4FB8">
        <w:rPr>
          <w:b/>
        </w:rPr>
        <w:tab/>
        <w:t>Introduction</w:t>
      </w:r>
    </w:p>
    <w:p w:rsidR="00E0393F" w:rsidRPr="00BF6533" w:rsidRDefault="00E0393F" w:rsidP="00E0393F">
      <w:pPr>
        <w:spacing w:line="240" w:lineRule="auto"/>
        <w:jc w:val="both"/>
        <w:rPr>
          <w:b/>
          <w:sz w:val="4"/>
        </w:rPr>
      </w:pPr>
    </w:p>
    <w:p w:rsidR="00E0393F" w:rsidRDefault="00E0393F" w:rsidP="00E0393F">
      <w:pPr>
        <w:jc w:val="both"/>
      </w:pPr>
      <w:r>
        <w:t>“The true face of smoking is disease, death and horror – not the glamour and sophistication the pushers in the tobacco industry try to portray” – David Byrne</w:t>
      </w:r>
    </w:p>
    <w:p w:rsidR="00E0393F" w:rsidRPr="008F4FB8" w:rsidRDefault="00E0393F" w:rsidP="00E0393F">
      <w:pPr>
        <w:jc w:val="both"/>
      </w:pPr>
      <w:r w:rsidRPr="008F4FB8">
        <w:t xml:space="preserve">One of the biggest challenges to the global public health is tobacco epidemic, killing about 50% of its users. In smoking death statistics, every 8 seconds, there is a tobacco-induced death and over 10% of adults who smoke die of tobacco related disease. Over 75 million people died worldwide as a result of tobacco between 1950 and 2000. There are currently over 1.1 billion smokers in the world, about 70% of whom are in developing countries like Nigeria and it is estimated that more than 455 million may die because of tobacco use by the year 2030 (Hesseling </w:t>
      </w:r>
      <w:r w:rsidRPr="008F4FB8">
        <w:rPr>
          <w:i/>
        </w:rPr>
        <w:t>et al</w:t>
      </w:r>
      <w:r w:rsidRPr="008F4FB8">
        <w:t>., 2008). This makes smoking the biggest killer globally.</w:t>
      </w:r>
    </w:p>
    <w:p w:rsidR="00E0393F" w:rsidRPr="008F4FB8" w:rsidRDefault="00E0393F" w:rsidP="00E0393F">
      <w:pPr>
        <w:jc w:val="both"/>
      </w:pPr>
      <w:r w:rsidRPr="008F4FB8">
        <w:t>Those who smoke</w:t>
      </w:r>
      <w:r>
        <w:t xml:space="preserve"> tobacco</w:t>
      </w:r>
      <w:r w:rsidRPr="008F4FB8">
        <w:t xml:space="preserve"> are at risk of respiratory infection caused by several bacterial pathogens, including </w:t>
      </w:r>
      <w:r w:rsidRPr="008F4FB8">
        <w:rPr>
          <w:i/>
        </w:rPr>
        <w:t xml:space="preserve">Streptococus pneumonia, Neisseria meningitidis, Haemophilus influenzae </w:t>
      </w:r>
      <w:r w:rsidRPr="008F4FB8">
        <w:t xml:space="preserve">and </w:t>
      </w:r>
      <w:r w:rsidRPr="008F4FB8">
        <w:rPr>
          <w:i/>
        </w:rPr>
        <w:t xml:space="preserve"> Legionella pneumophila</w:t>
      </w:r>
      <w:r w:rsidRPr="008F4FB8">
        <w:t xml:space="preserve"> (Murphy, 2006). Brook and Gober (2005) reported that the nasopharyngeal microflora of smokers contains fewer normal bacteria (such as α-hemolytic and nonhemolytic streptococci, and </w:t>
      </w:r>
      <w:r w:rsidRPr="008F4FB8">
        <w:rPr>
          <w:i/>
          <w:iCs/>
        </w:rPr>
        <w:t xml:space="preserve">Prevotella </w:t>
      </w:r>
      <w:r w:rsidRPr="008F4FB8">
        <w:t xml:space="preserve">and </w:t>
      </w:r>
      <w:r w:rsidRPr="008F4FB8">
        <w:rPr>
          <w:i/>
          <w:iCs/>
        </w:rPr>
        <w:t>Peptostreptococcus</w:t>
      </w:r>
      <w:r w:rsidRPr="008F4FB8">
        <w:t>species) that can interfere with colonization by selected pathogens (</w:t>
      </w:r>
      <w:r w:rsidRPr="008F4FB8">
        <w:rPr>
          <w:i/>
          <w:iCs/>
        </w:rPr>
        <w:t>S. pneumoniae</w:t>
      </w:r>
      <w:r w:rsidRPr="008F4FB8">
        <w:t xml:space="preserve">, </w:t>
      </w:r>
      <w:r w:rsidRPr="008F4FB8">
        <w:rPr>
          <w:i/>
          <w:iCs/>
        </w:rPr>
        <w:t xml:space="preserve">H. influenzae </w:t>
      </w:r>
      <w:r w:rsidRPr="008F4FB8">
        <w:t xml:space="preserve">(non-type b), </w:t>
      </w:r>
      <w:r w:rsidRPr="008F4FB8">
        <w:rPr>
          <w:i/>
          <w:iCs/>
        </w:rPr>
        <w:t>Moraxella catarrhalis</w:t>
      </w:r>
      <w:r w:rsidRPr="008F4FB8">
        <w:t xml:space="preserve">, and </w:t>
      </w:r>
      <w:r w:rsidRPr="008F4FB8">
        <w:rPr>
          <w:i/>
          <w:iCs/>
        </w:rPr>
        <w:t>Streptococcus pyogenes</w:t>
      </w:r>
      <w:r w:rsidRPr="008F4FB8">
        <w:t xml:space="preserve">) and that the nasopharyngeal microflora also contains more potential pathogens compared with those of </w:t>
      </w:r>
      <w:r w:rsidRPr="008F4FB8">
        <w:lastRenderedPageBreak/>
        <w:t>non</w:t>
      </w:r>
      <w:r>
        <w:t xml:space="preserve">-tobacco </w:t>
      </w:r>
      <w:r w:rsidRPr="008F4FB8">
        <w:t xml:space="preserve">smokers. Such increased carriage of potentially pathogenic species of bacteria in both adults and children was hypothesized (Brook and Gober 2005) to possibly be due to enhanced bacterial binding to the epithelial cells of smokers and the low number of α-hemolytic streptococci with inhibitory activity against </w:t>
      </w:r>
      <w:r w:rsidRPr="008F4FB8">
        <w:rPr>
          <w:i/>
          <w:iCs/>
        </w:rPr>
        <w:t xml:space="preserve">S. pyogenes </w:t>
      </w:r>
      <w:r w:rsidRPr="008F4FB8">
        <w:t xml:space="preserve">in the oral cavities of </w:t>
      </w:r>
      <w:r>
        <w:t xml:space="preserve">tobacco </w:t>
      </w:r>
      <w:r w:rsidRPr="008F4FB8">
        <w:t>smokers. More recently, the same group followed a small number of quitters (n = 20) for a period of up to 15 months post-tobacco cessation, and concluded that the high number of pathogens (</w:t>
      </w:r>
      <w:r w:rsidRPr="008F4FB8">
        <w:rPr>
          <w:i/>
          <w:iCs/>
        </w:rPr>
        <w:t>S. pneumoniae, H. influenzae, M. catarrhalis</w:t>
      </w:r>
      <w:r w:rsidRPr="008F4FB8">
        <w:t>,</w:t>
      </w:r>
      <w:r>
        <w:t xml:space="preserve"> </w:t>
      </w:r>
      <w:r w:rsidRPr="008F4FB8">
        <w:t xml:space="preserve">and </w:t>
      </w:r>
      <w:r w:rsidRPr="008F4FB8">
        <w:rPr>
          <w:i/>
          <w:iCs/>
        </w:rPr>
        <w:t>S. pyogenes</w:t>
      </w:r>
      <w:r w:rsidRPr="008F4FB8">
        <w:t>) and low number of interfering organisms found in the nasopharynx of smokers reverted to normal levels after stopping smoking (Brook and Gober, 2007).</w:t>
      </w:r>
    </w:p>
    <w:p w:rsidR="00E0393F" w:rsidRPr="008F4FB8" w:rsidRDefault="00E0393F" w:rsidP="00E0393F">
      <w:pPr>
        <w:jc w:val="both"/>
      </w:pPr>
      <w:r w:rsidRPr="008F4FB8">
        <w:t>Several studies indicate that exposure to passive</w:t>
      </w:r>
      <w:r>
        <w:t xml:space="preserve"> tobacco</w:t>
      </w:r>
      <w:r w:rsidRPr="008F4FB8">
        <w:t xml:space="preserve"> smoking increases the incidence of sneezing, sore throat, cough, and frequent cough (Wakefield</w:t>
      </w:r>
      <w:r w:rsidRPr="008F4FB8">
        <w:rPr>
          <w:i/>
        </w:rPr>
        <w:t xml:space="preserve"> et el</w:t>
      </w:r>
      <w:r w:rsidRPr="008F4FB8">
        <w:t xml:space="preserve">., 2003). The incidence of group A streptococcus sore throat has been reported to be higher among children living in homes that include a tobacco smoker (Nandi </w:t>
      </w:r>
      <w:r w:rsidRPr="008F4FB8">
        <w:rPr>
          <w:i/>
        </w:rPr>
        <w:t xml:space="preserve">et al., </w:t>
      </w:r>
      <w:r w:rsidRPr="008F4FB8">
        <w:t>2001). Thus, there is a consistent body of literature showing a significant association between tobacco smoke exposure and respiratory tract infections. More specific pulmonary diseases are now considered.</w:t>
      </w:r>
    </w:p>
    <w:p w:rsidR="00E0393F" w:rsidRPr="008F4FB8" w:rsidRDefault="00E0393F" w:rsidP="00E0393F">
      <w:pPr>
        <w:jc w:val="both"/>
      </w:pPr>
      <w:r w:rsidRPr="008F4FB8">
        <w:t xml:space="preserve">More than 40% of world's population are infected with the bacterial agent of tuberculosis, </w:t>
      </w:r>
      <w:r w:rsidRPr="008F4FB8">
        <w:rPr>
          <w:i/>
          <w:iCs/>
        </w:rPr>
        <w:t>Mycobacterium tuberculosis</w:t>
      </w:r>
      <w:r w:rsidRPr="008F4FB8">
        <w:rPr>
          <w:iCs/>
        </w:rPr>
        <w:t>, a risk factor for lung cancer (Pallis and Syrigos, 2013)</w:t>
      </w:r>
      <w:r w:rsidRPr="008F4FB8">
        <w:t xml:space="preserve">. Tuberculosis represents the leading cause of death from infectious disease worldwide and the leading cause of death among HIV-positive individuals. </w:t>
      </w:r>
      <w:r>
        <w:t>Tobacco s</w:t>
      </w:r>
      <w:r w:rsidRPr="008F4FB8">
        <w:t xml:space="preserve">moking increases susceptibility to bacillary tuberculosis in a dose-dependent manner (Kolappan </w:t>
      </w:r>
      <w:r w:rsidRPr="008F4FB8">
        <w:rPr>
          <w:i/>
        </w:rPr>
        <w:t>et al.,</w:t>
      </w:r>
      <w:r w:rsidRPr="008F4FB8">
        <w:t xml:space="preserve"> 2007), adversely affects clinical manifestations (Altet-Gomez </w:t>
      </w:r>
      <w:r w:rsidRPr="008F4FB8">
        <w:rPr>
          <w:i/>
        </w:rPr>
        <w:t>et al., 2005</w:t>
      </w:r>
      <w:r w:rsidRPr="008F4FB8">
        <w:t xml:space="preserve">), and accounts for 12% of all tuberculosis deaths. The disease progresses more rapidly in </w:t>
      </w:r>
      <w:r>
        <w:t xml:space="preserve">tobacco </w:t>
      </w:r>
      <w:r w:rsidRPr="008F4FB8">
        <w:t>smoker</w:t>
      </w:r>
      <w:r>
        <w:t xml:space="preserve">s than in non-tobacco </w:t>
      </w:r>
      <w:r w:rsidRPr="008F4FB8">
        <w:t xml:space="preserve">smokers, while </w:t>
      </w:r>
      <w:r>
        <w:t xml:space="preserve">tobacco </w:t>
      </w:r>
      <w:r w:rsidRPr="008F4FB8">
        <w:t xml:space="preserve">smoking is also associated with increased relapse and mortality (Chiang </w:t>
      </w:r>
      <w:r w:rsidRPr="008F4FB8">
        <w:rPr>
          <w:i/>
        </w:rPr>
        <w:t>et al., 2007</w:t>
      </w:r>
      <w:r w:rsidRPr="008F4FB8">
        <w:t xml:space="preserve">). Quitting smoking and prevention of exposure to secondhand smoke are both important measures in the control of tuberculosis (Slama </w:t>
      </w:r>
      <w:r w:rsidRPr="008F4FB8">
        <w:rPr>
          <w:i/>
        </w:rPr>
        <w:t>et al., 2007</w:t>
      </w:r>
      <w:r w:rsidRPr="008F4FB8">
        <w:t xml:space="preserve">). </w:t>
      </w:r>
    </w:p>
    <w:p w:rsidR="00E0393F" w:rsidRPr="008F4FB8" w:rsidRDefault="00E0393F" w:rsidP="00E0393F">
      <w:pPr>
        <w:jc w:val="both"/>
      </w:pPr>
      <w:r w:rsidRPr="008F4FB8">
        <w:t xml:space="preserve">Bacterial vaginosis, although often asymptomatic, can cause considerable discomfort and is associated with the development of more serious infections, such as septicemia and increased risk of poor pregnancy outcome (Koumans </w:t>
      </w:r>
      <w:r w:rsidRPr="008F4FB8">
        <w:rPr>
          <w:i/>
        </w:rPr>
        <w:t>et al., 2007</w:t>
      </w:r>
      <w:r w:rsidRPr="008F4FB8">
        <w:t xml:space="preserve">). Tobacco smoking has been significantly correlated with bacterial vaginosis, typically being in the region of twice as common in smokers as non-smokers, with a greater prevalence noted in young women (Evans </w:t>
      </w:r>
      <w:r w:rsidRPr="008F4FB8">
        <w:rPr>
          <w:i/>
        </w:rPr>
        <w:t xml:space="preserve">et al., </w:t>
      </w:r>
      <w:r w:rsidRPr="008F4FB8">
        <w:t>2004). Tobacco use has also been independently associated with a higher prevalence of specific sexually-transmitted bacterial infections – chlamydia and gonorrhoea.</w:t>
      </w:r>
    </w:p>
    <w:p w:rsidR="00E0393F" w:rsidRPr="008F4FB8" w:rsidRDefault="00E0393F" w:rsidP="00E0393F">
      <w:pPr>
        <w:jc w:val="both"/>
      </w:pPr>
      <w:r w:rsidRPr="008F4FB8">
        <w:t xml:space="preserve">In recent time, Zaman (2011), Erturk, Zaman, and Momani (2012), Alkhudhari, </w:t>
      </w:r>
      <w:r w:rsidRPr="008F4FB8">
        <w:rPr>
          <w:i/>
        </w:rPr>
        <w:t>et al</w:t>
      </w:r>
      <w:r w:rsidRPr="008F4FB8">
        <w:t>. (2014), have attempted to model the dynamics of smoking in different regions. In this work, we comple</w:t>
      </w:r>
      <w:r>
        <w:t>ment and extend the works of</w:t>
      </w:r>
      <w:r w:rsidRPr="008F4FB8">
        <w:t xml:space="preserve"> the aforementioned authors by proposing a model of ten compartments, considering the effect of under-aged and aged smokers, early and late quitters, public enlightenment campaign and disease-induced death due to bacterial infection from smoking.</w:t>
      </w:r>
    </w:p>
    <w:p w:rsidR="00E0393F" w:rsidRPr="008F4FB8" w:rsidRDefault="00E0393F" w:rsidP="00E0393F">
      <w:pPr>
        <w:spacing w:line="240" w:lineRule="auto"/>
        <w:jc w:val="both"/>
      </w:pPr>
    </w:p>
    <w:p w:rsidR="00E0393F" w:rsidRDefault="00E0393F" w:rsidP="00E0393F">
      <w:pPr>
        <w:jc w:val="both"/>
        <w:rPr>
          <w:b/>
        </w:rPr>
      </w:pPr>
    </w:p>
    <w:p w:rsidR="00E0393F" w:rsidRPr="008F4FB8" w:rsidRDefault="00E0393F" w:rsidP="00E0393F">
      <w:pPr>
        <w:jc w:val="both"/>
        <w:rPr>
          <w:b/>
        </w:rPr>
      </w:pPr>
      <w:r w:rsidRPr="008F4FB8">
        <w:rPr>
          <w:b/>
        </w:rPr>
        <w:lastRenderedPageBreak/>
        <w:t>2.</w:t>
      </w:r>
      <w:r w:rsidRPr="008F4FB8">
        <w:rPr>
          <w:b/>
        </w:rPr>
        <w:tab/>
        <w:t>Model Formulation</w:t>
      </w:r>
    </w:p>
    <w:p w:rsidR="00E0393F" w:rsidRPr="008F4FB8" w:rsidRDefault="00E0393F" w:rsidP="00E0393F">
      <w:pPr>
        <w:jc w:val="both"/>
      </w:pPr>
      <w:r>
        <w:t>T</w:t>
      </w:r>
      <w:r w:rsidRPr="008F4FB8">
        <w:t>he total population</w:t>
      </w:r>
      <w:r>
        <w:t xml:space="preserve"> is compartmentalized</w:t>
      </w:r>
      <w:r w:rsidRPr="008F4FB8">
        <w:t xml:space="preserve"> into five sub-populations, which consist of potential </w:t>
      </w:r>
      <w:r>
        <w:t xml:space="preserve">tobacco </w:t>
      </w:r>
      <w:r w:rsidRPr="008F4FB8">
        <w:t xml:space="preserve">smokers, </w:t>
      </w:r>
      <w:r>
        <w:t xml:space="preserve">tobacco </w:t>
      </w:r>
      <w:r w:rsidRPr="008F4FB8">
        <w:t xml:space="preserve">smokers, </w:t>
      </w:r>
      <w:r>
        <w:t xml:space="preserve">tobacco </w:t>
      </w:r>
      <w:r w:rsidRPr="008F4FB8">
        <w:t xml:space="preserve">quitters, bacterial infected class and the recovered class. Potential </w:t>
      </w:r>
      <w:r>
        <w:t xml:space="preserve">tobacco </w:t>
      </w:r>
      <w:r w:rsidRPr="008F4FB8">
        <w:t>smokers are further divided into under-aged</w:t>
      </w:r>
      <w:r>
        <w:t xml:space="preserve"> tobacco</w:t>
      </w:r>
      <w:r w:rsidRPr="008F4FB8">
        <w:t xml:space="preserve"> smokers </w:t>
      </w:r>
      <w:r w:rsidRPr="008F4FB8">
        <w:rPr>
          <w:position w:val="-14"/>
        </w:rPr>
        <w:object w:dxaOrig="520" w:dyaOrig="400">
          <v:shape id="_x0000_i1027" type="#_x0000_t75" style="width:26.25pt;height:20.25pt" o:ole="">
            <v:imagedata r:id="rId10" o:title=""/>
          </v:shape>
          <o:OLEObject Type="Embed" ProgID="Equation.DSMT4" ShapeID="_x0000_i1027" DrawAspect="Content" ObjectID="_1841428041" r:id="rId11"/>
        </w:object>
      </w:r>
      <w:r>
        <w:rPr>
          <w:position w:val="-14"/>
        </w:rPr>
        <w:t xml:space="preserve"> </w:t>
      </w:r>
      <w:r w:rsidRPr="008F4FB8">
        <w:t>and aged</w:t>
      </w:r>
      <w:r>
        <w:t xml:space="preserve"> tobacco</w:t>
      </w:r>
      <w:r w:rsidRPr="008F4FB8">
        <w:t xml:space="preserve"> smokers</w:t>
      </w:r>
      <w:r w:rsidRPr="008F4FB8">
        <w:rPr>
          <w:position w:val="-14"/>
        </w:rPr>
        <w:object w:dxaOrig="500" w:dyaOrig="400">
          <v:shape id="_x0000_i1028" type="#_x0000_t75" style="width:24.75pt;height:20.25pt" o:ole="">
            <v:imagedata r:id="rId12" o:title=""/>
          </v:shape>
          <o:OLEObject Type="Embed" ProgID="Equation.DSMT4" ShapeID="_x0000_i1028" DrawAspect="Content" ObjectID="_1841428042" r:id="rId13"/>
        </w:object>
      </w:r>
      <w:r w:rsidRPr="008F4FB8">
        <w:t xml:space="preserve">. The </w:t>
      </w:r>
      <w:r>
        <w:t>tobacco</w:t>
      </w:r>
      <w:r w:rsidRPr="008F4FB8">
        <w:t xml:space="preserve"> smokers are divided into light</w:t>
      </w:r>
      <w:r>
        <w:t xml:space="preserve"> tobacco</w:t>
      </w:r>
      <w:r w:rsidRPr="008F4FB8">
        <w:t xml:space="preserve"> smokers </w:t>
      </w:r>
      <w:r w:rsidRPr="008F4FB8">
        <w:rPr>
          <w:position w:val="-14"/>
        </w:rPr>
        <w:object w:dxaOrig="1179" w:dyaOrig="400">
          <v:shape id="_x0000_i1029" type="#_x0000_t75" style="width:58.5pt;height:20.25pt" o:ole="">
            <v:imagedata r:id="rId14" o:title=""/>
          </v:shape>
          <o:OLEObject Type="Embed" ProgID="Equation.DSMT4" ShapeID="_x0000_i1029" DrawAspect="Content" ObjectID="_1841428043" r:id="rId15"/>
        </w:object>
      </w:r>
      <w:r w:rsidRPr="008F4FB8">
        <w:t>who smoke at most 15</w:t>
      </w:r>
      <w:r>
        <w:t xml:space="preserve"> tobacco</w:t>
      </w:r>
      <w:r w:rsidRPr="008F4FB8">
        <w:t xml:space="preserve"> cigarettes per day and chain</w:t>
      </w:r>
      <w:r>
        <w:t xml:space="preserve"> tobacco</w:t>
      </w:r>
      <w:r w:rsidRPr="008F4FB8">
        <w:t xml:space="preserve"> smokers </w:t>
      </w:r>
      <w:r w:rsidRPr="008F4FB8">
        <w:rPr>
          <w:position w:val="-14"/>
        </w:rPr>
        <w:object w:dxaOrig="1219" w:dyaOrig="400">
          <v:shape id="_x0000_i1030" type="#_x0000_t75" style="width:60.75pt;height:20.25pt" o:ole="">
            <v:imagedata r:id="rId16" o:title=""/>
          </v:shape>
          <o:OLEObject Type="Embed" ProgID="Equation.DSMT4" ShapeID="_x0000_i1030" DrawAspect="Content" ObjectID="_1841428044" r:id="rId17"/>
        </w:object>
      </w:r>
      <w:r w:rsidRPr="008F4FB8">
        <w:t xml:space="preserve"> who smoke above 15</w:t>
      </w:r>
      <w:r>
        <w:t xml:space="preserve"> tobacco</w:t>
      </w:r>
      <w:r w:rsidRPr="008F4FB8">
        <w:t xml:space="preserve"> cigarettes per day (Acevedo-Estefania </w:t>
      </w:r>
      <w:r w:rsidRPr="008F4FB8">
        <w:rPr>
          <w:i/>
        </w:rPr>
        <w:t>et al.</w:t>
      </w:r>
      <w:r w:rsidRPr="008F4FB8">
        <w:t xml:space="preserve">, 2000). </w:t>
      </w:r>
    </w:p>
    <w:p w:rsidR="00E0393F" w:rsidRPr="008F4FB8" w:rsidRDefault="00E0393F" w:rsidP="00E0393F">
      <w:pPr>
        <w:jc w:val="both"/>
      </w:pPr>
      <w:r>
        <w:t>Tobacco s</w:t>
      </w:r>
      <w:r w:rsidRPr="008F4FB8">
        <w:t xml:space="preserve">mokers are recruited at a </w:t>
      </w:r>
      <w:r>
        <w:t>recruitment number,</w:t>
      </w:r>
      <w:r w:rsidRPr="008F4FB8">
        <w:t xml:space="preserve"> </w:t>
      </w:r>
      <w:r w:rsidRPr="008F4FB8">
        <w:rPr>
          <w:position w:val="-4"/>
        </w:rPr>
        <w:object w:dxaOrig="240" w:dyaOrig="260">
          <v:shape id="_x0000_i1031" type="#_x0000_t75" style="width:12pt;height:13.5pt" o:ole="">
            <v:imagedata r:id="rId18" o:title=""/>
          </v:shape>
          <o:OLEObject Type="Embed" ProgID="Equation.DSMT4" ShapeID="_x0000_i1031" DrawAspect="Content" ObjectID="_1841428045" r:id="rId19"/>
        </w:object>
      </w:r>
      <w:r>
        <w:t>.</w:t>
      </w:r>
      <w:r w:rsidRPr="008F4FB8">
        <w:t xml:space="preserve"> </w:t>
      </w:r>
      <w:r>
        <w:t>A</w:t>
      </w:r>
      <w:r w:rsidRPr="008F4FB8">
        <w:t xml:space="preserve"> proportion </w:t>
      </w:r>
      <w:r w:rsidRPr="008F4FB8">
        <w:rPr>
          <w:position w:val="-6"/>
        </w:rPr>
        <w:object w:dxaOrig="200" w:dyaOrig="279">
          <v:shape id="_x0000_i1032" type="#_x0000_t75" style="width:9.75pt;height:14.25pt" o:ole="">
            <v:imagedata r:id="rId20" o:title=""/>
          </v:shape>
          <o:OLEObject Type="Embed" ProgID="Equation.DSMT4" ShapeID="_x0000_i1032" DrawAspect="Content" ObjectID="_1841428046" r:id="rId21"/>
        </w:object>
      </w:r>
      <w:r w:rsidRPr="008F4FB8">
        <w:t xml:space="preserve"> are aged</w:t>
      </w:r>
      <w:r>
        <w:t xml:space="preserve"> tobacco</w:t>
      </w:r>
      <w:r w:rsidRPr="008F4FB8">
        <w:t xml:space="preserve"> smokers while the remainder </w:t>
      </w:r>
      <w:r w:rsidRPr="008F4FB8">
        <w:rPr>
          <w:position w:val="-14"/>
        </w:rPr>
        <w:object w:dxaOrig="680" w:dyaOrig="400">
          <v:shape id="_x0000_i1033" type="#_x0000_t75" style="width:34.5pt;height:20.25pt" o:ole="">
            <v:imagedata r:id="rId22" o:title=""/>
          </v:shape>
          <o:OLEObject Type="Embed" ProgID="Equation.DSMT4" ShapeID="_x0000_i1033" DrawAspect="Content" ObjectID="_1841428047" r:id="rId23"/>
        </w:object>
      </w:r>
      <w:r w:rsidRPr="008F4FB8">
        <w:t xml:space="preserve">are under-aged </w:t>
      </w:r>
      <w:r>
        <w:t>tobacco</w:t>
      </w:r>
      <w:r w:rsidRPr="008F4FB8">
        <w:t xml:space="preserve"> smokers, with </w:t>
      </w:r>
      <w:r w:rsidRPr="008F4FB8">
        <w:rPr>
          <w:position w:val="-6"/>
        </w:rPr>
        <w:object w:dxaOrig="880" w:dyaOrig="279">
          <v:shape id="_x0000_i1034" type="#_x0000_t75" style="width:44.25pt;height:14.25pt" o:ole="">
            <v:imagedata r:id="rId24" o:title=""/>
          </v:shape>
          <o:OLEObject Type="Embed" ProgID="Equation.DSMT4" ShapeID="_x0000_i1034" DrawAspect="Content" ObjectID="_1841428048" r:id="rId25"/>
        </w:object>
      </w:r>
      <w:r w:rsidRPr="008F4FB8">
        <w:t xml:space="preserve">. Potential under-aged </w:t>
      </w:r>
      <w:r>
        <w:t>tobacco</w:t>
      </w:r>
      <w:r w:rsidRPr="008F4FB8">
        <w:t xml:space="preserve"> smokers are initiated to </w:t>
      </w:r>
      <w:r>
        <w:t>tobacco</w:t>
      </w:r>
      <w:r w:rsidRPr="008F4FB8">
        <w:t xml:space="preserve"> smoking with forces of infection </w:t>
      </w:r>
      <w:r w:rsidRPr="008F4FB8">
        <w:rPr>
          <w:position w:val="-24"/>
        </w:rPr>
        <w:object w:dxaOrig="820" w:dyaOrig="620">
          <v:shape id="_x0000_i1035" type="#_x0000_t75" style="width:41.25pt;height:30.75pt" o:ole="">
            <v:imagedata r:id="rId26" o:title=""/>
          </v:shape>
          <o:OLEObject Type="Embed" ProgID="Equation.DSMT4" ShapeID="_x0000_i1035" DrawAspect="Content" ObjectID="_1841428049" r:id="rId27"/>
        </w:object>
      </w:r>
      <w:r w:rsidRPr="008F4FB8">
        <w:t xml:space="preserve"> and </w:t>
      </w:r>
      <w:r w:rsidRPr="008F4FB8">
        <w:rPr>
          <w:position w:val="-24"/>
        </w:rPr>
        <w:object w:dxaOrig="800" w:dyaOrig="620">
          <v:shape id="_x0000_i1036" type="#_x0000_t75" style="width:40.5pt;height:30.75pt" o:ole="">
            <v:imagedata r:id="rId28" o:title=""/>
          </v:shape>
          <o:OLEObject Type="Embed" ProgID="Equation.DSMT4" ShapeID="_x0000_i1036" DrawAspect="Content" ObjectID="_1841428050" r:id="rId29"/>
        </w:object>
      </w:r>
      <w:r w:rsidRPr="008F4FB8">
        <w:t xml:space="preserve">respectively, where </w:t>
      </w:r>
      <w:r w:rsidRPr="008F4FB8">
        <w:rPr>
          <w:position w:val="-12"/>
        </w:rPr>
        <w:object w:dxaOrig="260" w:dyaOrig="360">
          <v:shape id="_x0000_i1037" type="#_x0000_t75" style="width:13.5pt;height:18.75pt" o:ole="">
            <v:imagedata r:id="rId30" o:title=""/>
          </v:shape>
          <o:OLEObject Type="Embed" ProgID="Equation.DSMT4" ShapeID="_x0000_i1037" DrawAspect="Content" ObjectID="_1841428051" r:id="rId31"/>
        </w:object>
      </w:r>
      <w:r w:rsidRPr="008F4FB8">
        <w:t xml:space="preserve">and </w:t>
      </w:r>
      <w:r w:rsidRPr="008F4FB8">
        <w:rPr>
          <w:position w:val="-12"/>
        </w:rPr>
        <w:object w:dxaOrig="279" w:dyaOrig="360">
          <v:shape id="_x0000_i1038" type="#_x0000_t75" style="width:14.25pt;height:18.75pt" o:ole="">
            <v:imagedata r:id="rId32" o:title=""/>
          </v:shape>
          <o:OLEObject Type="Embed" ProgID="Equation.DSMT4" ShapeID="_x0000_i1038" DrawAspect="Content" ObjectID="_1841428052" r:id="rId33"/>
        </w:object>
      </w:r>
      <w:r w:rsidRPr="008F4FB8">
        <w:t xml:space="preserve">are the effective contact rates. Light under-aged and aged </w:t>
      </w:r>
      <w:r>
        <w:t>tobacco</w:t>
      </w:r>
      <w:r w:rsidRPr="008F4FB8">
        <w:t xml:space="preserve"> smokers are initiated to chain </w:t>
      </w:r>
      <w:r>
        <w:t>tobacco</w:t>
      </w:r>
      <w:r w:rsidRPr="008F4FB8">
        <w:t xml:space="preserve"> smokers with forces of infection </w:t>
      </w:r>
      <w:r w:rsidRPr="008F4FB8">
        <w:rPr>
          <w:position w:val="-24"/>
        </w:rPr>
        <w:object w:dxaOrig="880" w:dyaOrig="620">
          <v:shape id="_x0000_i1039" type="#_x0000_t75" style="width:44.25pt;height:30.75pt" o:ole="">
            <v:imagedata r:id="rId34" o:title=""/>
          </v:shape>
          <o:OLEObject Type="Embed" ProgID="Equation.DSMT4" ShapeID="_x0000_i1039" DrawAspect="Content" ObjectID="_1841428053" r:id="rId35"/>
        </w:object>
      </w:r>
      <w:r w:rsidRPr="008F4FB8">
        <w:t xml:space="preserve"> and </w:t>
      </w:r>
      <w:r w:rsidRPr="008F4FB8">
        <w:rPr>
          <w:position w:val="-24"/>
        </w:rPr>
        <w:object w:dxaOrig="859" w:dyaOrig="620">
          <v:shape id="_x0000_i1040" type="#_x0000_t75" style="width:42.75pt;height:30.75pt" o:ole="">
            <v:imagedata r:id="rId36" o:title=""/>
          </v:shape>
          <o:OLEObject Type="Embed" ProgID="Equation.DSMT4" ShapeID="_x0000_i1040" DrawAspect="Content" ObjectID="_1841428054" r:id="rId37"/>
        </w:object>
      </w:r>
      <w:r w:rsidRPr="008F4FB8">
        <w:t xml:space="preserve">respectively, where </w:t>
      </w:r>
      <w:r w:rsidRPr="008F4FB8">
        <w:rPr>
          <w:position w:val="-12"/>
        </w:rPr>
        <w:object w:dxaOrig="300" w:dyaOrig="360">
          <v:shape id="_x0000_i1041" type="#_x0000_t75" style="width:15pt;height:18.75pt" o:ole="">
            <v:imagedata r:id="rId38" o:title=""/>
          </v:shape>
          <o:OLEObject Type="Embed" ProgID="Equation.DSMT4" ShapeID="_x0000_i1041" DrawAspect="Content" ObjectID="_1841428055" r:id="rId39"/>
        </w:object>
      </w:r>
      <w:r w:rsidRPr="008F4FB8">
        <w:t xml:space="preserve">and </w:t>
      </w:r>
      <w:r w:rsidRPr="008F4FB8">
        <w:rPr>
          <w:position w:val="-12"/>
        </w:rPr>
        <w:object w:dxaOrig="300" w:dyaOrig="360">
          <v:shape id="_x0000_i1042" type="#_x0000_t75" style="width:15pt;height:18.75pt" o:ole="">
            <v:imagedata r:id="rId40" o:title=""/>
          </v:shape>
          <o:OLEObject Type="Embed" ProgID="Equation.DSMT4" ShapeID="_x0000_i1042" DrawAspect="Content" ObjectID="_1841428056" r:id="rId41"/>
        </w:object>
      </w:r>
      <w:r w:rsidRPr="008F4FB8">
        <w:t>are the effective contact rates.</w:t>
      </w:r>
      <w:r w:rsidRPr="008F4FB8">
        <w:tab/>
        <w:t xml:space="preserve"> </w:t>
      </w:r>
    </w:p>
    <w:p w:rsidR="00E0393F" w:rsidRPr="008F4FB8" w:rsidRDefault="00E0393F" w:rsidP="00E0393F">
      <w:pPr>
        <w:jc w:val="both"/>
      </w:pPr>
      <w:r>
        <w:t>L</w:t>
      </w:r>
      <w:r w:rsidRPr="008F4FB8">
        <w:t xml:space="preserve">ight under-aged and aged </w:t>
      </w:r>
      <w:r>
        <w:t xml:space="preserve">tobacco </w:t>
      </w:r>
      <w:r w:rsidRPr="008F4FB8">
        <w:t>smokers</w:t>
      </w:r>
      <w:r>
        <w:t xml:space="preserve"> are allowed</w:t>
      </w:r>
      <w:r w:rsidRPr="008F4FB8">
        <w:t xml:space="preserve"> to quit early at the rates </w:t>
      </w:r>
      <w:r w:rsidRPr="008F4FB8">
        <w:rPr>
          <w:position w:val="-12"/>
        </w:rPr>
        <w:object w:dxaOrig="279" w:dyaOrig="360">
          <v:shape id="_x0000_i1043" type="#_x0000_t75" style="width:14.25pt;height:18.75pt" o:ole="">
            <v:imagedata r:id="rId42" o:title=""/>
          </v:shape>
          <o:OLEObject Type="Embed" ProgID="Equation.DSMT4" ShapeID="_x0000_i1043" DrawAspect="Content" ObjectID="_1841428057" r:id="rId43"/>
        </w:object>
      </w:r>
      <w:r w:rsidRPr="008F4FB8">
        <w:t xml:space="preserve"> and </w:t>
      </w:r>
      <w:r w:rsidRPr="008F4FB8">
        <w:rPr>
          <w:position w:val="-12"/>
        </w:rPr>
        <w:object w:dxaOrig="300" w:dyaOrig="360">
          <v:shape id="_x0000_i1044" type="#_x0000_t75" style="width:15pt;height:18.75pt" o:ole="">
            <v:imagedata r:id="rId44" o:title=""/>
          </v:shape>
          <o:OLEObject Type="Embed" ProgID="Equation.DSMT4" ShapeID="_x0000_i1044" DrawAspect="Content" ObjectID="_1841428058" r:id="rId45"/>
        </w:object>
      </w:r>
      <w:r w:rsidRPr="008F4FB8">
        <w:t xml:space="preserve">respectively. Chain under-aged and aged </w:t>
      </w:r>
      <w:r>
        <w:t xml:space="preserve">tobacco </w:t>
      </w:r>
      <w:r w:rsidRPr="008F4FB8">
        <w:t xml:space="preserve">smokers can either ameliorate to </w:t>
      </w:r>
      <w:r>
        <w:t xml:space="preserve">being </w:t>
      </w:r>
      <w:r w:rsidRPr="008F4FB8">
        <w:t>light</w:t>
      </w:r>
      <w:r>
        <w:t xml:space="preserve"> tobacco</w:t>
      </w:r>
      <w:r w:rsidRPr="008F4FB8">
        <w:t xml:space="preserve"> smokers at the rates </w:t>
      </w:r>
      <w:r w:rsidRPr="008F4FB8">
        <w:rPr>
          <w:position w:val="-12"/>
        </w:rPr>
        <w:object w:dxaOrig="220" w:dyaOrig="360">
          <v:shape id="_x0000_i1045" type="#_x0000_t75" style="width:11.25pt;height:18.75pt" o:ole="">
            <v:imagedata r:id="rId46" o:title=""/>
          </v:shape>
          <o:OLEObject Type="Embed" ProgID="Equation.DSMT4" ShapeID="_x0000_i1045" DrawAspect="Content" ObjectID="_1841428059" r:id="rId47"/>
        </w:object>
      </w:r>
      <w:r w:rsidRPr="008F4FB8">
        <w:t xml:space="preserve"> and </w:t>
      </w:r>
      <w:r w:rsidRPr="008F4FB8">
        <w:rPr>
          <w:position w:val="-12"/>
        </w:rPr>
        <w:object w:dxaOrig="260" w:dyaOrig="360">
          <v:shape id="_x0000_i1046" type="#_x0000_t75" style="width:13.5pt;height:18.75pt" o:ole="">
            <v:imagedata r:id="rId48" o:title=""/>
          </v:shape>
          <o:OLEObject Type="Embed" ProgID="Equation.DSMT4" ShapeID="_x0000_i1046" DrawAspect="Content" ObjectID="_1841428060" r:id="rId49"/>
        </w:object>
      </w:r>
      <w:r w:rsidRPr="008F4FB8">
        <w:t xml:space="preserve">or progress to bacterial infected class at the rates </w:t>
      </w:r>
      <w:r w:rsidRPr="008F4FB8">
        <w:rPr>
          <w:position w:val="-12"/>
        </w:rPr>
        <w:object w:dxaOrig="279" w:dyaOrig="360">
          <v:shape id="_x0000_i1047" type="#_x0000_t75" style="width:14.25pt;height:18.75pt" o:ole="">
            <v:imagedata r:id="rId50" o:title=""/>
          </v:shape>
          <o:OLEObject Type="Embed" ProgID="Equation.DSMT4" ShapeID="_x0000_i1047" DrawAspect="Content" ObjectID="_1841428061" r:id="rId51"/>
        </w:object>
      </w:r>
      <w:r w:rsidRPr="008F4FB8">
        <w:t xml:space="preserve"> and </w:t>
      </w:r>
      <w:r w:rsidRPr="008F4FB8">
        <w:rPr>
          <w:position w:val="-12"/>
        </w:rPr>
        <w:object w:dxaOrig="300" w:dyaOrig="360">
          <v:shape id="_x0000_i1048" type="#_x0000_t75" style="width:15pt;height:18.75pt" o:ole="">
            <v:imagedata r:id="rId52" o:title=""/>
          </v:shape>
          <o:OLEObject Type="Embed" ProgID="Equation.DSMT4" ShapeID="_x0000_i1048" DrawAspect="Content" ObjectID="_1841428062" r:id="rId53"/>
        </w:object>
      </w:r>
      <w:r w:rsidRPr="008F4FB8">
        <w:t xml:space="preserve"> respectively. Individuals that quit</w:t>
      </w:r>
      <w:r>
        <w:t xml:space="preserve"> tobacco smoking</w:t>
      </w:r>
      <w:r w:rsidRPr="008F4FB8">
        <w:t xml:space="preserve"> lately can progress to bacterial infected class at a rate </w:t>
      </w:r>
      <w:r w:rsidRPr="008F4FB8">
        <w:rPr>
          <w:position w:val="-12"/>
        </w:rPr>
        <w:object w:dxaOrig="300" w:dyaOrig="360">
          <v:shape id="_x0000_i1049" type="#_x0000_t75" style="width:15pt;height:18.75pt" o:ole="">
            <v:imagedata r:id="rId54" o:title=""/>
          </v:shape>
          <o:OLEObject Type="Embed" ProgID="Equation.DSMT4" ShapeID="_x0000_i1049" DrawAspect="Content" ObjectID="_1841428063" r:id="rId55"/>
        </w:object>
      </w:r>
      <w:r w:rsidRPr="008F4FB8">
        <w:t xml:space="preserve">while individuals that are infected with bacterial may receive treatment and recover at </w:t>
      </w:r>
      <w:r>
        <w:t>the</w:t>
      </w:r>
      <w:r w:rsidRPr="008F4FB8">
        <w:t xml:space="preserve"> rate </w:t>
      </w:r>
      <w:r w:rsidRPr="008F4FB8">
        <w:rPr>
          <w:position w:val="-6"/>
        </w:rPr>
        <w:object w:dxaOrig="200" w:dyaOrig="220">
          <v:shape id="_x0000_i1050" type="#_x0000_t75" style="width:9.75pt;height:11.25pt" o:ole="">
            <v:imagedata r:id="rId56" o:title=""/>
          </v:shape>
          <o:OLEObject Type="Embed" ProgID="Equation.DSMT4" ShapeID="_x0000_i1050" DrawAspect="Content" ObjectID="_1841428064" r:id="rId57"/>
        </w:object>
      </w:r>
      <w:r w:rsidRPr="008F4FB8">
        <w:t xml:space="preserve">. Individuals in the </w:t>
      </w:r>
      <w:r>
        <w:t xml:space="preserve">bacterial infected class </w:t>
      </w:r>
      <w:r w:rsidRPr="008F4FB8">
        <w:t xml:space="preserve">die naturally as it is with all the other compartments at a rate </w:t>
      </w:r>
      <w:r w:rsidRPr="008F4FB8">
        <w:rPr>
          <w:position w:val="-10"/>
        </w:rPr>
        <w:object w:dxaOrig="240" w:dyaOrig="260">
          <v:shape id="_x0000_i1051" type="#_x0000_t75" style="width:12pt;height:13.5pt" o:ole="">
            <v:imagedata r:id="rId58" o:title=""/>
          </v:shape>
          <o:OLEObject Type="Embed" ProgID="Equation.DSMT4" ShapeID="_x0000_i1051" DrawAspect="Content" ObjectID="_1841428065" r:id="rId59"/>
        </w:object>
      </w:r>
      <w:r w:rsidRPr="008F4FB8">
        <w:t xml:space="preserve">and suffers an additional death due to bacterial infection at the rate </w:t>
      </w:r>
      <w:r w:rsidRPr="008F4FB8">
        <w:rPr>
          <w:position w:val="-6"/>
        </w:rPr>
        <w:object w:dxaOrig="220" w:dyaOrig="279">
          <v:shape id="_x0000_i1052" type="#_x0000_t75" style="width:11.25pt;height:14.25pt" o:ole="">
            <v:imagedata r:id="rId60" o:title=""/>
          </v:shape>
          <o:OLEObject Type="Embed" ProgID="Equation.DSMT4" ShapeID="_x0000_i1052" DrawAspect="Content" ObjectID="_1841428066" r:id="rId61"/>
        </w:object>
      </w:r>
      <w:r w:rsidRPr="008F4FB8">
        <w:t xml:space="preserve">. Under-aged individuals in </w:t>
      </w:r>
      <w:r>
        <w:t>classes</w:t>
      </w:r>
      <w:r w:rsidRPr="008F4FB8">
        <w:t xml:space="preserve"> </w:t>
      </w:r>
      <w:r w:rsidRPr="008F4FB8">
        <w:rPr>
          <w:position w:val="-12"/>
        </w:rPr>
        <w:object w:dxaOrig="1359" w:dyaOrig="360">
          <v:shape id="_x0000_i1053" type="#_x0000_t75" style="width:67.5pt;height:18.75pt" o:ole="">
            <v:imagedata r:id="rId62" o:title=""/>
          </v:shape>
          <o:OLEObject Type="Embed" ProgID="Equation.DSMT4" ShapeID="_x0000_i1053" DrawAspect="Content" ObjectID="_1841428067" r:id="rId63"/>
        </w:object>
      </w:r>
      <w:r w:rsidRPr="008F4FB8">
        <w:t xml:space="preserve"> become aged at the rates </w:t>
      </w:r>
      <w:r w:rsidRPr="008F4FB8">
        <w:rPr>
          <w:position w:val="-12"/>
        </w:rPr>
        <w:object w:dxaOrig="1260" w:dyaOrig="360">
          <v:shape id="_x0000_i1054" type="#_x0000_t75" style="width:63pt;height:18.75pt" o:ole="">
            <v:imagedata r:id="rId64" o:title=""/>
          </v:shape>
          <o:OLEObject Type="Embed" ProgID="Equation.DSMT4" ShapeID="_x0000_i1054" DrawAspect="Content" ObjectID="_1841428068" r:id="rId65"/>
        </w:object>
      </w:r>
      <w:r w:rsidRPr="008F4FB8">
        <w:t xml:space="preserve">respectively. </w:t>
      </w:r>
      <w:r w:rsidRPr="008F4FB8">
        <w:rPr>
          <w:position w:val="-10"/>
        </w:rPr>
        <w:object w:dxaOrig="240" w:dyaOrig="260">
          <v:shape id="_x0000_i1055" type="#_x0000_t75" style="width:12pt;height:13.5pt" o:ole="">
            <v:imagedata r:id="rId66" o:title=""/>
          </v:shape>
          <o:OLEObject Type="Embed" ProgID="Equation.DSMT4" ShapeID="_x0000_i1055" DrawAspect="Content" ObjectID="_1841428069" r:id="rId67"/>
        </w:object>
      </w:r>
      <w:r w:rsidRPr="008F4FB8">
        <w:t xml:space="preserve">is the rate of sensitization and </w:t>
      </w:r>
      <w:r w:rsidRPr="008F4FB8">
        <w:rPr>
          <w:position w:val="-4"/>
        </w:rPr>
        <w:object w:dxaOrig="200" w:dyaOrig="200">
          <v:shape id="_x0000_i1056" type="#_x0000_t75" style="width:9.75pt;height:9.75pt" o:ole="">
            <v:imagedata r:id="rId68" o:title=""/>
          </v:shape>
          <o:OLEObject Type="Embed" ProgID="Equation.DSMT4" ShapeID="_x0000_i1056" DrawAspect="Content" ObjectID="_1841428070" r:id="rId69"/>
        </w:object>
      </w:r>
      <w:r w:rsidRPr="008F4FB8">
        <w:t xml:space="preserve">is the efficacy of sensitization </w:t>
      </w:r>
      <w:r>
        <w:t>where</w:t>
      </w:r>
      <w:r w:rsidRPr="008F4FB8">
        <w:t xml:space="preserve"> </w:t>
      </w:r>
      <w:r w:rsidRPr="008F4FB8">
        <w:rPr>
          <w:position w:val="-14"/>
        </w:rPr>
        <w:object w:dxaOrig="880" w:dyaOrig="400">
          <v:shape id="_x0000_i1057" type="#_x0000_t75" style="width:44.25pt;height:20.25pt" o:ole="">
            <v:imagedata r:id="rId70" o:title=""/>
          </v:shape>
          <o:OLEObject Type="Embed" ProgID="Equation.DSMT4" ShapeID="_x0000_i1057" DrawAspect="Content" ObjectID="_1841428071" r:id="rId71"/>
        </w:object>
      </w:r>
      <w:r w:rsidRPr="008F4FB8">
        <w:t xml:space="preserve">is the sensitization coverage enhanced by public enlightenment campaign with </w:t>
      </w:r>
      <w:r w:rsidRPr="008F4FB8">
        <w:rPr>
          <w:position w:val="-6"/>
        </w:rPr>
        <w:object w:dxaOrig="800" w:dyaOrig="279">
          <v:shape id="_x0000_i1058" type="#_x0000_t75" style="width:40.5pt;height:14.25pt" o:ole="">
            <v:imagedata r:id="rId72" o:title=""/>
          </v:shape>
          <o:OLEObject Type="Embed" ProgID="Equation.DSMT4" ShapeID="_x0000_i1058" DrawAspect="Content" ObjectID="_1841428072" r:id="rId73"/>
        </w:object>
      </w:r>
      <w:r w:rsidRPr="008F4FB8">
        <w:t xml:space="preserve">and </w:t>
      </w:r>
      <w:r w:rsidRPr="008F4FB8">
        <w:rPr>
          <w:position w:val="-10"/>
        </w:rPr>
        <w:object w:dxaOrig="920" w:dyaOrig="320">
          <v:shape id="_x0000_i1059" type="#_x0000_t75" style="width:45.75pt;height:15.75pt" o:ole="">
            <v:imagedata r:id="rId74" o:title=""/>
          </v:shape>
          <o:OLEObject Type="Embed" ProgID="Equation.DSMT4" ShapeID="_x0000_i1059" DrawAspect="Content" ObjectID="_1841428073" r:id="rId75"/>
        </w:object>
      </w:r>
      <w:r w:rsidRPr="008F4FB8">
        <w:t xml:space="preserve">.  </w:t>
      </w:r>
    </w:p>
    <w:p w:rsidR="00E0393F" w:rsidRPr="008F4FB8" w:rsidRDefault="00E0393F" w:rsidP="00E0393F">
      <w:pPr>
        <w:jc w:val="both"/>
      </w:pPr>
      <w:r w:rsidRPr="008F4FB8">
        <w:t>Below is the schematic representation of the model</w:t>
      </w:r>
    </w:p>
    <w:p w:rsidR="00E0393F" w:rsidRPr="008F4FB8" w:rsidRDefault="00E0393F" w:rsidP="00E0393F">
      <w:pPr>
        <w:jc w:val="center"/>
      </w:pPr>
    </w:p>
    <w:p w:rsidR="00E0393F" w:rsidRPr="008F4FB8" w:rsidRDefault="00E0393F" w:rsidP="00E0393F">
      <w:pPr>
        <w:jc w:val="both"/>
      </w:pPr>
      <w:r>
        <w:rPr>
          <w:noProof/>
        </w:rPr>
        <w:lastRenderedPageBreak/>
        <w:drawing>
          <wp:inline distT="0" distB="0" distL="0" distR="0">
            <wp:extent cx="5733415" cy="3005265"/>
            <wp:effectExtent l="19050" t="0" r="63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6"/>
                    <a:srcRect/>
                    <a:stretch>
                      <a:fillRect/>
                    </a:stretch>
                  </pic:blipFill>
                  <pic:spPr bwMode="auto">
                    <a:xfrm>
                      <a:off x="0" y="0"/>
                      <a:ext cx="5733415" cy="3005265"/>
                    </a:xfrm>
                    <a:prstGeom prst="rect">
                      <a:avLst/>
                    </a:prstGeom>
                    <a:noFill/>
                    <a:ln w="9525">
                      <a:noFill/>
                      <a:miter lim="800000"/>
                      <a:headEnd/>
                      <a:tailEnd/>
                    </a:ln>
                  </pic:spPr>
                </pic:pic>
              </a:graphicData>
            </a:graphic>
          </wp:inline>
        </w:drawing>
      </w:r>
    </w:p>
    <w:p w:rsidR="00E0393F" w:rsidRDefault="00E0393F" w:rsidP="00E0393F">
      <w:pPr>
        <w:jc w:val="both"/>
      </w:pPr>
    </w:p>
    <w:p w:rsidR="00E0393F" w:rsidRPr="008F4FB8" w:rsidRDefault="00E0393F" w:rsidP="00E0393F">
      <w:pPr>
        <w:jc w:val="both"/>
      </w:pPr>
    </w:p>
    <w:p w:rsidR="00E0393F" w:rsidRPr="008F4FB8" w:rsidRDefault="00E0393F" w:rsidP="00E0393F">
      <w:pPr>
        <w:jc w:val="both"/>
      </w:pPr>
    </w:p>
    <w:p w:rsidR="00E0393F" w:rsidRPr="008F4FB8" w:rsidRDefault="00E0393F" w:rsidP="00E0393F">
      <w:pPr>
        <w:jc w:val="both"/>
      </w:pPr>
    </w:p>
    <w:p w:rsidR="00E0393F" w:rsidRPr="008F4FB8" w:rsidRDefault="00E0393F" w:rsidP="00E0393F">
      <w:pPr>
        <w:jc w:val="both"/>
        <w:rPr>
          <w:b/>
        </w:rPr>
      </w:pPr>
      <w:r w:rsidRPr="008F4FB8">
        <w:rPr>
          <w:b/>
        </w:rPr>
        <w:t>Figure 1: Schematic diagram of the</w:t>
      </w:r>
      <w:r>
        <w:rPr>
          <w:b/>
        </w:rPr>
        <w:t xml:space="preserve"> Tobacco Smoking</w:t>
      </w:r>
      <w:r w:rsidRPr="008F4FB8">
        <w:rPr>
          <w:b/>
        </w:rPr>
        <w:t xml:space="preserve"> </w:t>
      </w:r>
      <w:r>
        <w:rPr>
          <w:b/>
        </w:rPr>
        <w:t>M</w:t>
      </w:r>
      <w:r w:rsidRPr="008F4FB8">
        <w:rPr>
          <w:b/>
        </w:rPr>
        <w:t>odel</w:t>
      </w:r>
    </w:p>
    <w:p w:rsidR="00E0393F" w:rsidRPr="008F4FB8" w:rsidRDefault="00E0393F" w:rsidP="00E0393F">
      <w:pPr>
        <w:jc w:val="both"/>
        <w:rPr>
          <w:b/>
        </w:rPr>
      </w:pPr>
      <w:r w:rsidRPr="008F4FB8">
        <w:rPr>
          <w:b/>
        </w:rPr>
        <w:t>Model Assumption</w:t>
      </w:r>
    </w:p>
    <w:p w:rsidR="00E0393F" w:rsidRPr="008F4FB8" w:rsidRDefault="00E0393F" w:rsidP="00E0393F">
      <w:pPr>
        <w:pStyle w:val="ListParagraph"/>
        <w:numPr>
          <w:ilvl w:val="0"/>
          <w:numId w:val="1"/>
        </w:numPr>
        <w:tabs>
          <w:tab w:val="left" w:pos="360"/>
        </w:tabs>
        <w:ind w:left="360" w:hanging="360"/>
        <w:jc w:val="both"/>
      </w:pPr>
      <w:r w:rsidRPr="008F4FB8">
        <w:t xml:space="preserve">All initiates begin by being light </w:t>
      </w:r>
      <w:r>
        <w:t>tobacco</w:t>
      </w:r>
      <w:r w:rsidRPr="008F4FB8">
        <w:t xml:space="preserve"> smokers.</w:t>
      </w:r>
    </w:p>
    <w:p w:rsidR="00E0393F" w:rsidRPr="008F4FB8" w:rsidRDefault="00E0393F" w:rsidP="00E0393F">
      <w:pPr>
        <w:pStyle w:val="ListParagraph"/>
        <w:numPr>
          <w:ilvl w:val="0"/>
          <w:numId w:val="1"/>
        </w:numPr>
        <w:ind w:left="360" w:hanging="360"/>
        <w:jc w:val="both"/>
      </w:pPr>
      <w:r w:rsidRPr="008F4FB8">
        <w:t xml:space="preserve">Once potential </w:t>
      </w:r>
      <w:r>
        <w:t>tobacco</w:t>
      </w:r>
      <w:r w:rsidRPr="008F4FB8">
        <w:t xml:space="preserve"> smokers are aged, their initiation into </w:t>
      </w:r>
      <w:r>
        <w:t>tobacco</w:t>
      </w:r>
      <w:r w:rsidRPr="008F4FB8">
        <w:t xml:space="preserve"> smoking can only be due to the failure of public enlightenment campaign on the dangers of </w:t>
      </w:r>
      <w:r>
        <w:t>tobacco</w:t>
      </w:r>
      <w:r w:rsidRPr="008F4FB8">
        <w:t xml:space="preserve"> smoking to protect them.</w:t>
      </w:r>
    </w:p>
    <w:p w:rsidR="00E0393F" w:rsidRPr="008F4FB8" w:rsidRDefault="00E0393F" w:rsidP="00E0393F">
      <w:pPr>
        <w:pStyle w:val="ListParagraph"/>
        <w:numPr>
          <w:ilvl w:val="0"/>
          <w:numId w:val="1"/>
        </w:numPr>
        <w:ind w:left="360" w:hanging="360"/>
        <w:jc w:val="both"/>
      </w:pPr>
      <w:r w:rsidRPr="008F4FB8">
        <w:t>Only light</w:t>
      </w:r>
      <w:r>
        <w:t xml:space="preserve"> tobacco</w:t>
      </w:r>
      <w:r w:rsidRPr="008F4FB8">
        <w:t xml:space="preserve"> smokers can quit early while chain </w:t>
      </w:r>
      <w:r>
        <w:t>tobacco</w:t>
      </w:r>
      <w:r w:rsidRPr="008F4FB8">
        <w:t xml:space="preserve"> smokers can quit late.</w:t>
      </w:r>
    </w:p>
    <w:p w:rsidR="00E0393F" w:rsidRPr="008F4FB8" w:rsidRDefault="00E0393F" w:rsidP="00E0393F">
      <w:pPr>
        <w:pStyle w:val="ListParagraph"/>
        <w:ind w:left="1080"/>
        <w:jc w:val="both"/>
      </w:pPr>
    </w:p>
    <w:p w:rsidR="00E0393F" w:rsidRDefault="00E0393F" w:rsidP="00E0393F">
      <w:pPr>
        <w:jc w:val="both"/>
      </w:pPr>
      <w:r w:rsidRPr="008F4FB8">
        <w:tab/>
      </w:r>
      <w:r w:rsidRPr="008F4FB8">
        <w:tab/>
      </w:r>
      <w:r w:rsidRPr="008F4FB8">
        <w:tab/>
      </w:r>
      <w:r w:rsidRPr="008F4FB8">
        <w:tab/>
      </w:r>
    </w:p>
    <w:p w:rsidR="00E0393F" w:rsidRPr="00E0393F" w:rsidRDefault="00E0393F" w:rsidP="00E0393F">
      <w:pPr>
        <w:jc w:val="both"/>
      </w:pPr>
      <w:r w:rsidRPr="008F4FB8">
        <w:rPr>
          <w:b/>
        </w:rPr>
        <w:tab/>
        <w:t xml:space="preserve">Existence of </w:t>
      </w:r>
      <w:r>
        <w:rPr>
          <w:b/>
        </w:rPr>
        <w:t xml:space="preserve">Tobacco </w:t>
      </w:r>
      <w:r w:rsidRPr="008F4FB8">
        <w:rPr>
          <w:b/>
        </w:rPr>
        <w:t xml:space="preserve">Smoking-free Equilibrium State </w:t>
      </w:r>
      <w:r w:rsidRPr="00951AA0">
        <w:rPr>
          <w:b/>
          <w:position w:val="-16"/>
        </w:rPr>
        <w:object w:dxaOrig="540" w:dyaOrig="440">
          <v:shape id="_x0000_i1060" type="#_x0000_t75" style="width:26.25pt;height:21.75pt" o:ole="">
            <v:imagedata r:id="rId77" o:title=""/>
          </v:shape>
          <o:OLEObject Type="Embed" ProgID="Equation.DSMT4" ShapeID="_x0000_i1060" DrawAspect="Content" ObjectID="_1841428074" r:id="rId78"/>
        </w:object>
      </w:r>
    </w:p>
    <w:p w:rsidR="00E0393F" w:rsidRPr="008F4FB8" w:rsidRDefault="00E0393F" w:rsidP="00E0393F">
      <w:pPr>
        <w:jc w:val="both"/>
      </w:pPr>
      <w:r w:rsidRPr="008F4FB8">
        <w:t>At the</w:t>
      </w:r>
      <w:r>
        <w:t xml:space="preserve"> tobacco</w:t>
      </w:r>
      <w:r w:rsidRPr="008F4FB8">
        <w:t xml:space="preserve"> smoking-free equilibrium state, we have absence of </w:t>
      </w:r>
      <w:r>
        <w:t>tobacco</w:t>
      </w:r>
      <w:r w:rsidRPr="008F4FB8">
        <w:t xml:space="preserve"> smokers and thus, all the infected classes will be zero. Hence, the entire population will be made up of only potential </w:t>
      </w:r>
      <w:r>
        <w:t>tobacco</w:t>
      </w:r>
      <w:r w:rsidRPr="008F4FB8">
        <w:t xml:space="preserve"> smokers.</w:t>
      </w:r>
    </w:p>
    <w:p w:rsidR="00E0393F" w:rsidRPr="008F4FB8" w:rsidRDefault="00E0393F" w:rsidP="00E0393F">
      <w:pPr>
        <w:jc w:val="both"/>
      </w:pPr>
      <w:r w:rsidRPr="008F4FB8">
        <w:rPr>
          <w:b/>
        </w:rPr>
        <w:t xml:space="preserve">Theorem 1: </w:t>
      </w:r>
      <w:r w:rsidRPr="008F4FB8">
        <w:t xml:space="preserve">A </w:t>
      </w:r>
      <w:r>
        <w:t>tobacco</w:t>
      </w:r>
      <w:r w:rsidRPr="008F4FB8">
        <w:t xml:space="preserve"> smoking-free equilibrium state of the model exist at the point</w:t>
      </w:r>
    </w:p>
    <w:p w:rsidR="00E0393F" w:rsidRPr="008F4FB8" w:rsidRDefault="00E0393F" w:rsidP="00E0393F">
      <w:pPr>
        <w:jc w:val="both"/>
      </w:pPr>
      <w:r w:rsidRPr="008F4FB8">
        <w:tab/>
      </w:r>
      <w:r w:rsidRPr="008F4FB8">
        <w:tab/>
      </w:r>
      <w:r w:rsidRPr="008F4FB8">
        <w:tab/>
      </w:r>
      <w:r w:rsidRPr="008F4FB8">
        <w:tab/>
      </w:r>
      <w:r w:rsidRPr="008F4FB8">
        <w:tab/>
      </w:r>
      <w:r w:rsidRPr="008F4FB8">
        <w:tab/>
      </w:r>
      <w:r w:rsidRPr="008F4FB8">
        <w:tab/>
        <w:t>(25)</w:t>
      </w:r>
    </w:p>
    <w:p w:rsidR="00E0393F" w:rsidRPr="008F4FB8" w:rsidRDefault="00E0393F" w:rsidP="00E0393F">
      <w:pPr>
        <w:jc w:val="both"/>
      </w:pPr>
      <w:r w:rsidRPr="008F4FB8">
        <w:rPr>
          <w:b/>
        </w:rPr>
        <w:t xml:space="preserve">Proof: </w:t>
      </w:r>
      <w:r w:rsidRPr="008F4FB8">
        <w:t>At equilibrium state, the rate of change of each state variable is set to zero, i.e</w:t>
      </w:r>
    </w:p>
    <w:p w:rsidR="00E0393F" w:rsidRPr="0040425A" w:rsidRDefault="00E0393F" w:rsidP="00E0393F">
      <w:pPr>
        <w:jc w:val="both"/>
      </w:pPr>
      <w:r w:rsidRPr="008F4FB8">
        <w:rPr>
          <w:b/>
        </w:rPr>
        <w:lastRenderedPageBreak/>
        <w:t>Effective Reproduction</w:t>
      </w:r>
      <w:r>
        <w:rPr>
          <w:b/>
        </w:rPr>
        <w:t xml:space="preserve"> Number</w:t>
      </w:r>
      <w:r w:rsidRPr="008F4FB8">
        <w:rPr>
          <w:b/>
        </w:rPr>
        <w:t xml:space="preserve"> </w:t>
      </w:r>
      <w:r w:rsidRPr="008F4FB8">
        <w:rPr>
          <w:b/>
          <w:position w:val="-16"/>
        </w:rPr>
        <w:object w:dxaOrig="600" w:dyaOrig="440">
          <v:shape id="_x0000_i1061" type="#_x0000_t75" style="width:30.75pt;height:22.5pt" o:ole="">
            <v:imagedata r:id="rId79" o:title=""/>
          </v:shape>
          <o:OLEObject Type="Embed" ProgID="Equation.DSMT4" ShapeID="_x0000_i1061" DrawAspect="Content" ObjectID="_1841428075" r:id="rId80"/>
        </w:object>
      </w:r>
    </w:p>
    <w:p w:rsidR="00E0393F" w:rsidRPr="008F4FB8" w:rsidRDefault="00E0393F" w:rsidP="00E0393F">
      <w:pPr>
        <w:jc w:val="both"/>
      </w:pPr>
      <w:r w:rsidRPr="008F4FB8">
        <w:t xml:space="preserve">The threshold quantity </w:t>
      </w:r>
      <w:r w:rsidRPr="00D25B4F">
        <w:rPr>
          <w:b/>
          <w:position w:val="-16"/>
        </w:rPr>
        <w:object w:dxaOrig="600" w:dyaOrig="440">
          <v:shape id="_x0000_i1062" type="#_x0000_t75" style="width:30.75pt;height:21.75pt" o:ole="">
            <v:imagedata r:id="rId81" o:title=""/>
          </v:shape>
          <o:OLEObject Type="Embed" ProgID="Equation.DSMT4" ShapeID="_x0000_i1062" DrawAspect="Content" ObjectID="_1841428076" r:id="rId82"/>
        </w:object>
      </w:r>
      <w:r w:rsidRPr="008F4FB8">
        <w:t xml:space="preserve">is the effective reproduction number of the model for the spread of bacterial infection through </w:t>
      </w:r>
      <w:r>
        <w:t xml:space="preserve">tobacco </w:t>
      </w:r>
      <w:r w:rsidRPr="008F4FB8">
        <w:t xml:space="preserve">smoking in the presence of under-aged and aged </w:t>
      </w:r>
      <w:r>
        <w:t xml:space="preserve">tobacco </w:t>
      </w:r>
      <w:r w:rsidRPr="008F4FB8">
        <w:t>smoker, and public enlightenment campaign in a population. It measures the average number of new</w:t>
      </w:r>
      <w:r>
        <w:t xml:space="preserve"> tobacco</w:t>
      </w:r>
      <w:r w:rsidRPr="008F4FB8">
        <w:t xml:space="preserve"> smokers generated by a typical </w:t>
      </w:r>
      <w:r>
        <w:t>tobacco</w:t>
      </w:r>
      <w:r w:rsidRPr="008F4FB8">
        <w:t xml:space="preserve"> smoker in a population comprising of completely potential </w:t>
      </w:r>
      <w:r>
        <w:t>tobacco</w:t>
      </w:r>
      <w:r w:rsidRPr="008F4FB8">
        <w:t xml:space="preserve"> smokers.</w:t>
      </w:r>
    </w:p>
    <w:p w:rsidR="00E0393F" w:rsidRPr="008F4FB8" w:rsidRDefault="00E0393F" w:rsidP="00E0393F">
      <w:pPr>
        <w:jc w:val="both"/>
      </w:pPr>
      <w:r w:rsidRPr="008F4FB8">
        <w:t xml:space="preserve">Using the next generation operator technique described by (Diekmann &amp; Heesterbeek, 2000), we obtained the effective reproduction number </w:t>
      </w:r>
      <w:r w:rsidRPr="00D25B4F">
        <w:rPr>
          <w:b/>
          <w:position w:val="-16"/>
        </w:rPr>
        <w:object w:dxaOrig="600" w:dyaOrig="440">
          <v:shape id="_x0000_i1063" type="#_x0000_t75" style="width:30.75pt;height:21.75pt" o:ole="">
            <v:imagedata r:id="rId83" o:title=""/>
          </v:shape>
          <o:OLEObject Type="Embed" ProgID="Equation.DSMT4" ShapeID="_x0000_i1063" DrawAspect="Content" ObjectID="_1841428077" r:id="rId84"/>
        </w:object>
      </w:r>
      <w:r w:rsidRPr="008F4FB8">
        <w:t xml:space="preserve">of model which is the spectral radius </w:t>
      </w:r>
      <w:r w:rsidRPr="008F4FB8">
        <w:rPr>
          <w:position w:val="-14"/>
        </w:rPr>
        <w:object w:dxaOrig="420" w:dyaOrig="400">
          <v:shape id="_x0000_i1064" type="#_x0000_t75" style="width:21pt;height:20.25pt" o:ole="">
            <v:imagedata r:id="rId85" o:title=""/>
          </v:shape>
          <o:OLEObject Type="Embed" ProgID="Equation.DSMT4" ShapeID="_x0000_i1064" DrawAspect="Content" ObjectID="_1841428078" r:id="rId86"/>
        </w:object>
      </w:r>
      <w:r w:rsidRPr="008F4FB8">
        <w:t>of the next generation matrix.</w:t>
      </w:r>
    </w:p>
    <w:p w:rsidR="00E0393F" w:rsidRPr="008F4FB8" w:rsidRDefault="00E0393F" w:rsidP="00E0393F">
      <w:pPr>
        <w:jc w:val="both"/>
      </w:pPr>
      <w:r w:rsidRPr="008F4FB8">
        <w:t>i.e</w:t>
      </w:r>
    </w:p>
    <w:p w:rsidR="00E0393F" w:rsidRPr="008F4FB8" w:rsidRDefault="00E0393F" w:rsidP="00E0393F">
      <w:pPr>
        <w:jc w:val="both"/>
      </w:pPr>
      <w:r w:rsidRPr="008F4FB8">
        <w:tab/>
      </w:r>
      <w:r w:rsidRPr="008F4FB8">
        <w:object w:dxaOrig="1540" w:dyaOrig="440">
          <v:shape id="_x0000_i1065" type="#_x0000_t75" style="width:77.25pt;height:21.75pt" o:ole="">
            <v:imagedata r:id="rId87" o:title=""/>
          </v:shape>
          <o:OLEObject Type="Embed" ProgID="Equation.DSMT4" ShapeID="_x0000_i1065" DrawAspect="Content" ObjectID="_1841428079" r:id="rId88"/>
        </w:object>
      </w:r>
      <w:r w:rsidR="0040425A">
        <w:tab/>
      </w:r>
      <w:r w:rsidR="0040425A">
        <w:tab/>
      </w:r>
      <w:r w:rsidR="0040425A">
        <w:tab/>
      </w:r>
      <w:r w:rsidR="0040425A">
        <w:tab/>
      </w:r>
      <w:r w:rsidR="0040425A">
        <w:tab/>
      </w:r>
      <w:r w:rsidR="0040425A">
        <w:tab/>
      </w:r>
      <w:r w:rsidR="0040425A">
        <w:tab/>
      </w:r>
    </w:p>
    <w:p w:rsidR="00E0393F" w:rsidRPr="008F4FB8" w:rsidRDefault="00E0393F" w:rsidP="0040425A">
      <w:pPr>
        <w:tabs>
          <w:tab w:val="left" w:pos="720"/>
          <w:tab w:val="left" w:pos="1440"/>
          <w:tab w:val="left" w:pos="2250"/>
        </w:tabs>
        <w:jc w:val="both"/>
      </w:pPr>
      <w:r w:rsidRPr="008F4FB8">
        <w:tab/>
      </w:r>
      <w:r w:rsidRPr="008F4FB8">
        <w:tab/>
      </w:r>
    </w:p>
    <w:p w:rsidR="00E0393F" w:rsidRPr="008F4FB8" w:rsidRDefault="00E0393F" w:rsidP="00E0393F">
      <w:pPr>
        <w:jc w:val="both"/>
        <w:rPr>
          <w:b/>
        </w:rPr>
      </w:pPr>
      <w:r w:rsidRPr="008F4FB8">
        <w:rPr>
          <w:b/>
        </w:rPr>
        <w:t>Conclusion</w:t>
      </w:r>
    </w:p>
    <w:p w:rsidR="00E0393F" w:rsidRPr="0046707F" w:rsidRDefault="00E0393F" w:rsidP="0046707F">
      <w:pPr>
        <w:jc w:val="both"/>
      </w:pPr>
      <w:r w:rsidRPr="008F4FB8">
        <w:t xml:space="preserve">In this work, we proposed a new tobacco smoking model incorporating some important factors which play vital role in transmission dynamics and control of bacterial infection through smoking. These factors are the effect of under-aged and aged smokers, early and late quitters, public enlightenment campaign and disease-induced death due to bacterial infection from </w:t>
      </w:r>
      <w:r>
        <w:t>tobacco</w:t>
      </w:r>
      <w:r w:rsidRPr="008F4FB8">
        <w:t xml:space="preserve"> smoking. We obtained the effective reproduction number, </w:t>
      </w:r>
      <w:r w:rsidRPr="008F4FB8">
        <w:rPr>
          <w:position w:val="-16"/>
        </w:rPr>
        <w:object w:dxaOrig="600" w:dyaOrig="440">
          <v:shape id="_x0000_i1066" type="#_x0000_t75" style="width:30.75pt;height:22.5pt" o:ole="">
            <v:imagedata r:id="rId89" o:title=""/>
          </v:shape>
          <o:OLEObject Type="Embed" ProgID="Equation.DSMT4" ShapeID="_x0000_i1066" DrawAspect="Content" ObjectID="_1841428080" r:id="rId90"/>
        </w:object>
      </w:r>
      <w:r w:rsidRPr="008F4FB8">
        <w:t xml:space="preserve">which indicated that the spread of bacterial infection through </w:t>
      </w:r>
      <w:r>
        <w:t>tobacco</w:t>
      </w:r>
      <w:r w:rsidRPr="008F4FB8">
        <w:t xml:space="preserve"> smoking largely depends on the effective contact rate of aged potential </w:t>
      </w:r>
      <w:r>
        <w:t>tobacco</w:t>
      </w:r>
      <w:r w:rsidRPr="008F4FB8">
        <w:t xml:space="preserve"> smoker, the rate at which under-aged potential </w:t>
      </w:r>
      <w:r>
        <w:t>tobacco</w:t>
      </w:r>
      <w:r w:rsidRPr="008F4FB8">
        <w:t xml:space="preserve"> smokers becomes aged, the rate at which the aged light </w:t>
      </w:r>
      <w:r>
        <w:t>tobacco</w:t>
      </w:r>
      <w:r w:rsidRPr="008F4FB8">
        <w:t xml:space="preserve"> smokers quit early and sensitization coverage. Our analysis reveals that the spread of bacterial infection through </w:t>
      </w:r>
      <w:r>
        <w:t>tobacco</w:t>
      </w:r>
      <w:r w:rsidRPr="008F4FB8">
        <w:t xml:space="preserve"> smoking can be controlled if </w:t>
      </w:r>
      <w:r w:rsidRPr="008F4FB8">
        <w:rPr>
          <w:position w:val="-14"/>
        </w:rPr>
        <w:object w:dxaOrig="720" w:dyaOrig="380">
          <v:shape id="_x0000_i1067" type="#_x0000_t75" style="width:36pt;height:19.5pt" o:ole="">
            <v:imagedata r:id="rId91" o:title=""/>
          </v:shape>
          <o:OLEObject Type="Embed" ProgID="Equation.DSMT4" ShapeID="_x0000_i1067" DrawAspect="Content" ObjectID="_1841428081" r:id="rId92"/>
        </w:object>
      </w:r>
      <w:r w:rsidRPr="008F4FB8">
        <w:t xml:space="preserve"> regardless of the initial size of the population profile. Therefore, the government through agencies concerned must put all efforts in place to ensure that </w:t>
      </w:r>
      <w:r w:rsidRPr="008F4FB8">
        <w:rPr>
          <w:position w:val="-14"/>
        </w:rPr>
        <w:object w:dxaOrig="400" w:dyaOrig="380">
          <v:shape id="_x0000_i1068" type="#_x0000_t75" style="width:20.25pt;height:19.5pt" o:ole="">
            <v:imagedata r:id="rId93" o:title=""/>
          </v:shape>
          <o:OLEObject Type="Embed" ProgID="Equation.DSMT4" ShapeID="_x0000_i1068" DrawAspect="Content" ObjectID="_1841428082" r:id="rId94"/>
        </w:object>
      </w:r>
      <w:r w:rsidRPr="008F4FB8">
        <w:t xml:space="preserve"> is strictly less than unity.   </w:t>
      </w:r>
    </w:p>
    <w:tbl>
      <w:tblPr>
        <w:tblW w:w="5000" w:type="pct"/>
        <w:tblCellSpacing w:w="0" w:type="dxa"/>
        <w:shd w:val="clear" w:color="auto" w:fill="FFFFFF"/>
        <w:tblCellMar>
          <w:left w:w="0" w:type="dxa"/>
          <w:right w:w="0" w:type="dxa"/>
        </w:tblCellMar>
        <w:tblLook w:val="04A0"/>
      </w:tblPr>
      <w:tblGrid>
        <w:gridCol w:w="9029"/>
      </w:tblGrid>
      <w:tr w:rsidR="00E0393F" w:rsidRPr="008F4FB8" w:rsidTr="00E0393F">
        <w:trPr>
          <w:tblCellSpacing w:w="0" w:type="dxa"/>
        </w:trPr>
        <w:tc>
          <w:tcPr>
            <w:tcW w:w="0" w:type="auto"/>
            <w:shd w:val="clear" w:color="auto" w:fill="FFFFFF"/>
            <w:vAlign w:val="center"/>
            <w:hideMark/>
          </w:tcPr>
          <w:p w:rsidR="00E0393F" w:rsidRPr="008F4FB8" w:rsidRDefault="00E0393F" w:rsidP="00E0393F">
            <w:pPr>
              <w:spacing w:line="252" w:lineRule="atLeast"/>
              <w:jc w:val="both"/>
            </w:pPr>
          </w:p>
        </w:tc>
      </w:tr>
    </w:tbl>
    <w:p w:rsidR="00E0393F" w:rsidRPr="008F4FB8" w:rsidRDefault="00E0393F" w:rsidP="00E0393F">
      <w:pPr>
        <w:spacing w:line="240" w:lineRule="auto"/>
        <w:jc w:val="both"/>
        <w:rPr>
          <w:b/>
          <w:caps/>
        </w:rPr>
      </w:pPr>
      <w:r w:rsidRPr="008F4FB8">
        <w:rPr>
          <w:b/>
          <w:caps/>
        </w:rPr>
        <w:t>References</w:t>
      </w:r>
    </w:p>
    <w:p w:rsidR="00E0393F" w:rsidRPr="008F4FB8" w:rsidRDefault="00E0393F" w:rsidP="00E0393F">
      <w:pPr>
        <w:pStyle w:val="NormalWeb"/>
        <w:shd w:val="clear" w:color="auto" w:fill="FFFFFF"/>
        <w:spacing w:line="284" w:lineRule="atLeast"/>
        <w:ind w:left="360" w:hanging="360"/>
        <w:jc w:val="both"/>
      </w:pPr>
      <w:r w:rsidRPr="008F4FB8">
        <w:t>Acevedo-Estefania, C., Gonzalez, C., Soto, K.R., Eric, D., Summerville, E.D., Song, B and Castillo-Chavez, C. (2000). A mathematical model for lung cancer, the effects of secondhand smoke and education. BU-1525-M: 521-548.</w:t>
      </w:r>
    </w:p>
    <w:p w:rsidR="00E0393F" w:rsidRPr="008F4FB8" w:rsidRDefault="00E0393F" w:rsidP="00E0393F">
      <w:pPr>
        <w:pStyle w:val="NormalWeb"/>
        <w:shd w:val="clear" w:color="auto" w:fill="FFFFFF"/>
        <w:spacing w:line="284" w:lineRule="atLeast"/>
        <w:ind w:left="360" w:hanging="360"/>
        <w:jc w:val="both"/>
      </w:pPr>
      <w:r w:rsidRPr="008F4FB8">
        <w:t xml:space="preserve">Alkhudhari, Z., Al-Sheikh, S., and Al-Tuwairqi, S. (2014). Global Dynamics of a Mathematical Model on Smoking. </w:t>
      </w:r>
      <w:r w:rsidRPr="008F4FB8">
        <w:rPr>
          <w:i/>
        </w:rPr>
        <w:t>ISRN Applied Mathematics.</w:t>
      </w:r>
      <w:r w:rsidRPr="008F4FB8">
        <w:t xml:space="preserve"> 1 – 7.</w:t>
      </w:r>
    </w:p>
    <w:p w:rsidR="00E0393F" w:rsidRDefault="00E0393F" w:rsidP="00E0393F">
      <w:pPr>
        <w:pStyle w:val="NormalWeb"/>
        <w:shd w:val="clear" w:color="auto" w:fill="FFFFFF"/>
        <w:spacing w:line="284" w:lineRule="atLeast"/>
        <w:ind w:left="360" w:hanging="360"/>
        <w:jc w:val="both"/>
      </w:pPr>
      <w:r w:rsidRPr="008F4FB8">
        <w:lastRenderedPageBreak/>
        <w:t xml:space="preserve">Altet-Gomez, M., Alcaide, J., Godoy, P., Romero, M., Hernandez Del Rey, I. (2005) Clinical and epidemiological aspects of smoking and tuberculosis: a study of 13038 cases. </w:t>
      </w:r>
      <w:r w:rsidRPr="008F4FB8">
        <w:rPr>
          <w:i/>
        </w:rPr>
        <w:t>International Journal of Tuberculosis and Lung Diseases</w:t>
      </w:r>
      <w:r w:rsidRPr="008F4FB8">
        <w:t>. 9(4): 430–6.</w:t>
      </w:r>
    </w:p>
    <w:p w:rsidR="009D198A" w:rsidRDefault="009D198A" w:rsidP="009D198A">
      <w:pPr>
        <w:pStyle w:val="NoSpacing"/>
        <w:tabs>
          <w:tab w:val="left" w:pos="915"/>
        </w:tabs>
        <w:spacing w:after="240"/>
        <w:ind w:left="915" w:hanging="915"/>
        <w:jc w:val="both"/>
        <w:rPr>
          <w:rFonts w:ascii="Times New Roman" w:hAnsi="Times New Roman"/>
          <w:sz w:val="24"/>
          <w:szCs w:val="24"/>
        </w:rPr>
      </w:pPr>
      <w:r w:rsidRPr="009D198A">
        <w:rPr>
          <w:rFonts w:ascii="Times New Roman" w:hAnsi="Times New Roman"/>
          <w:sz w:val="24"/>
          <w:szCs w:val="24"/>
        </w:rPr>
        <w:t>Bako, D</w:t>
      </w:r>
      <w:r w:rsidRPr="00C23627">
        <w:rPr>
          <w:rFonts w:ascii="Times New Roman" w:hAnsi="Times New Roman"/>
          <w:b/>
          <w:sz w:val="24"/>
          <w:szCs w:val="24"/>
        </w:rPr>
        <w:t xml:space="preserve">., </w:t>
      </w:r>
      <w:r w:rsidRPr="00C23627">
        <w:rPr>
          <w:rFonts w:ascii="Times New Roman" w:hAnsi="Times New Roman"/>
          <w:sz w:val="24"/>
          <w:szCs w:val="24"/>
        </w:rPr>
        <w:t xml:space="preserve">Odo, C. E., Oluwafemi, T. J. and Oladejo, J. K., (2024).Semi-analytic Solution of Mathematical Model of Disease Dynamics in School using Homotopy Perturbation Method (HPM) FUDMA </w:t>
      </w:r>
      <w:r w:rsidRPr="00C23627">
        <w:rPr>
          <w:rFonts w:ascii="Times New Roman" w:hAnsi="Times New Roman"/>
          <w:i/>
          <w:sz w:val="24"/>
          <w:szCs w:val="24"/>
        </w:rPr>
        <w:t>Journal of Sciences</w:t>
      </w:r>
      <w:r w:rsidRPr="00C23627">
        <w:rPr>
          <w:rFonts w:ascii="Times New Roman" w:hAnsi="Times New Roman"/>
          <w:sz w:val="24"/>
          <w:szCs w:val="24"/>
        </w:rPr>
        <w:t xml:space="preserve"> (FJS) Vol. 8 No. 6, , pp 44 – 49 DOI: </w:t>
      </w:r>
      <w:hyperlink r:id="rId95" w:history="1">
        <w:r w:rsidRPr="00C23627">
          <w:rPr>
            <w:rStyle w:val="Hyperlink"/>
            <w:rFonts w:ascii="Times New Roman" w:hAnsi="Times New Roman"/>
            <w:sz w:val="24"/>
            <w:szCs w:val="24"/>
          </w:rPr>
          <w:t>https://doi.org/10.33003/f js-2024-0806-2703</w:t>
        </w:r>
      </w:hyperlink>
    </w:p>
    <w:p w:rsidR="009D198A" w:rsidRPr="009D198A" w:rsidRDefault="009D198A" w:rsidP="009D198A">
      <w:pPr>
        <w:pStyle w:val="NoSpacing"/>
        <w:tabs>
          <w:tab w:val="left" w:pos="915"/>
        </w:tabs>
        <w:spacing w:after="240"/>
        <w:ind w:left="915" w:hanging="915"/>
        <w:jc w:val="both"/>
        <w:rPr>
          <w:rFonts w:ascii="Times New Roman" w:hAnsi="Times New Roman"/>
          <w:sz w:val="24"/>
          <w:szCs w:val="24"/>
        </w:rPr>
      </w:pPr>
      <w:r w:rsidRPr="009D198A">
        <w:rPr>
          <w:rFonts w:ascii="Times New Roman" w:hAnsi="Times New Roman"/>
          <w:bCs/>
          <w:sz w:val="24"/>
          <w:szCs w:val="24"/>
        </w:rPr>
        <w:t>Bako, D</w:t>
      </w:r>
      <w:r w:rsidRPr="0086186E">
        <w:rPr>
          <w:rFonts w:ascii="Times New Roman" w:hAnsi="Times New Roman"/>
          <w:bCs/>
          <w:sz w:val="24"/>
          <w:szCs w:val="24"/>
        </w:rPr>
        <w:t>. and Yusuf, I.</w:t>
      </w:r>
      <w:r w:rsidRPr="0086186E">
        <w:rPr>
          <w:rFonts w:ascii="Times New Roman" w:hAnsi="Times New Roman"/>
          <w:sz w:val="24"/>
          <w:szCs w:val="24"/>
        </w:rPr>
        <w:t xml:space="preserve">, (2024). </w:t>
      </w:r>
      <w:r w:rsidRPr="0086186E">
        <w:rPr>
          <w:rFonts w:ascii="Times New Roman" w:hAnsi="Times New Roman"/>
          <w:bCs/>
          <w:sz w:val="24"/>
          <w:szCs w:val="24"/>
        </w:rPr>
        <w:t xml:space="preserve">Mathematical Modelling on the Impact of Educational Factors on the Control of Marital Conflict, </w:t>
      </w:r>
      <w:r w:rsidRPr="0086186E">
        <w:rPr>
          <w:rFonts w:ascii="Times New Roman" w:hAnsi="Times New Roman"/>
          <w:sz w:val="24"/>
          <w:szCs w:val="24"/>
        </w:rPr>
        <w:t xml:space="preserve">Journal of Basics and Applied Sciences Research (JOBASR), ISSN (print): 3026-9091, Volume 2 (3) DOI: </w:t>
      </w:r>
      <w:hyperlink r:id="rId96" w:history="1">
        <w:r w:rsidRPr="0086186E">
          <w:rPr>
            <w:rStyle w:val="Hyperlink"/>
            <w:rFonts w:ascii="Times New Roman" w:hAnsi="Times New Roman"/>
            <w:sz w:val="24"/>
            <w:szCs w:val="24"/>
          </w:rPr>
          <w:t>https://doi.org/10.33003/jobasr-2024-v2i3-</w:t>
        </w:r>
      </w:hyperlink>
      <w:r w:rsidRPr="0086186E">
        <w:rPr>
          <w:rFonts w:ascii="Times New Roman" w:hAnsi="Times New Roman"/>
          <w:sz w:val="24"/>
          <w:szCs w:val="24"/>
        </w:rPr>
        <w:t xml:space="preserve"> 1-7; </w:t>
      </w:r>
    </w:p>
    <w:p w:rsidR="00E0393F" w:rsidRPr="008F4FB8" w:rsidRDefault="00E0393F" w:rsidP="00E0393F">
      <w:pPr>
        <w:pStyle w:val="NormalWeb"/>
        <w:shd w:val="clear" w:color="auto" w:fill="FFFFFF"/>
        <w:spacing w:line="284" w:lineRule="atLeast"/>
        <w:ind w:left="360" w:hanging="360"/>
        <w:jc w:val="both"/>
      </w:pPr>
      <w:r w:rsidRPr="008F4FB8">
        <w:t xml:space="preserve">Brook, I. and Gober, A.E. (2005). Recovery of Potential Pathogens and Interfering Bacteria in the Nasopharynx of Smokers and Nonsmokers. </w:t>
      </w:r>
      <w:r w:rsidRPr="008F4FB8">
        <w:rPr>
          <w:i/>
        </w:rPr>
        <w:t xml:space="preserve">Elsevier Journal. </w:t>
      </w:r>
      <w:r w:rsidRPr="008F4FB8">
        <w:t>127(6): 2072 – 5.</w:t>
      </w:r>
    </w:p>
    <w:p w:rsidR="00E0393F" w:rsidRPr="008F4FB8" w:rsidRDefault="00E0393F" w:rsidP="00E0393F">
      <w:pPr>
        <w:pStyle w:val="NormalWeb"/>
        <w:shd w:val="clear" w:color="auto" w:fill="FFFFFF"/>
        <w:spacing w:line="284" w:lineRule="atLeast"/>
        <w:ind w:left="360" w:hanging="360"/>
        <w:jc w:val="both"/>
      </w:pPr>
      <w:r w:rsidRPr="008F4FB8">
        <w:t xml:space="preserve">Brook, I. and Gober, A.E. (2007). Effect of Smoking Cessation on the Microbial Flora. </w:t>
      </w:r>
      <w:r w:rsidRPr="008F4FB8">
        <w:rPr>
          <w:i/>
        </w:rPr>
        <w:t xml:space="preserve">Arch Otolaryngol Head Neck Surg.. </w:t>
      </w:r>
      <w:r w:rsidRPr="008F4FB8">
        <w:t>133(2): 135 – 8.</w:t>
      </w:r>
    </w:p>
    <w:p w:rsidR="00E0393F" w:rsidRDefault="00E0393F" w:rsidP="009D198A">
      <w:pPr>
        <w:spacing w:afterLines="40" w:line="240" w:lineRule="auto"/>
        <w:ind w:left="550" w:hanging="550"/>
        <w:jc w:val="both"/>
        <w:rPr>
          <w:rFonts w:eastAsia="Times New Roman"/>
        </w:rPr>
      </w:pPr>
      <w:r w:rsidRPr="008F4FB8">
        <w:rPr>
          <w:rFonts w:eastAsia="Times New Roman"/>
        </w:rPr>
        <w:t>Castillo-Chavez, C., Feng, Z., &amp; Huang, W. (2002). On the computation of R</w:t>
      </w:r>
      <w:r w:rsidRPr="008F4FB8">
        <w:rPr>
          <w:rFonts w:eastAsia="Times New Roman"/>
          <w:vertAlign w:val="subscript"/>
        </w:rPr>
        <w:t>0</w:t>
      </w:r>
      <w:r w:rsidRPr="008F4FB8">
        <w:rPr>
          <w:rFonts w:eastAsia="Times New Roman"/>
        </w:rPr>
        <w:t xml:space="preserve"> and its role on global stability. In C. Castillo-Chavez, S. Blower, P. Van den Driessche, D. Krirschner &amp; A. A. Yakubu (Eds), </w:t>
      </w:r>
      <w:r w:rsidRPr="008F4FB8">
        <w:rPr>
          <w:rFonts w:eastAsia="Times New Roman"/>
          <w:i/>
          <w:iCs/>
        </w:rPr>
        <w:t xml:space="preserve">Mathematical approaches for emerging and re-emerging infectious diseases: Vol. 125, An introduction. The IMA Volumes in Mathematics and its Applications </w:t>
      </w:r>
      <w:r w:rsidRPr="008F4FB8">
        <w:rPr>
          <w:rFonts w:eastAsia="Times New Roman"/>
        </w:rPr>
        <w:t>(pp. 229-250). New York: Springer-Verlag.</w:t>
      </w:r>
    </w:p>
    <w:p w:rsidR="00E0393F" w:rsidRPr="00532A54" w:rsidRDefault="00E0393F" w:rsidP="009D198A">
      <w:pPr>
        <w:spacing w:afterLines="40" w:line="240" w:lineRule="auto"/>
        <w:ind w:left="550" w:hanging="550"/>
        <w:jc w:val="both"/>
        <w:rPr>
          <w:rFonts w:eastAsia="Times New Roman"/>
        </w:rPr>
      </w:pPr>
      <w:r>
        <w:rPr>
          <w:rFonts w:eastAsia="Times New Roman"/>
        </w:rPr>
        <w:t xml:space="preserve">Chiang, C.Y., Slama, K. and Enarson, D.A. (2007). Associations between Tobacco and Tuberculosis. </w:t>
      </w:r>
      <w:r>
        <w:rPr>
          <w:rFonts w:eastAsia="Times New Roman"/>
          <w:i/>
        </w:rPr>
        <w:t>International Journal of Tuberculosis and Lung Diseases.</w:t>
      </w:r>
      <w:r>
        <w:rPr>
          <w:rFonts w:eastAsia="Times New Roman"/>
        </w:rPr>
        <w:t>11(3): 258 – 262.</w:t>
      </w:r>
    </w:p>
    <w:p w:rsidR="00E0393F" w:rsidRPr="008F4FB8" w:rsidRDefault="00E0393F" w:rsidP="009D198A">
      <w:pPr>
        <w:spacing w:afterLines="40" w:line="240" w:lineRule="auto"/>
        <w:ind w:left="284" w:hanging="284"/>
        <w:jc w:val="both"/>
        <w:rPr>
          <w:rFonts w:eastAsia="Times New Roman"/>
          <w:i/>
          <w:iCs/>
        </w:rPr>
      </w:pPr>
      <w:r w:rsidRPr="008F4FB8">
        <w:rPr>
          <w:rFonts w:eastAsia="Times New Roman"/>
        </w:rPr>
        <w:t xml:space="preserve">Diekmann, O., &amp; Heesterbeek, J. A. P. (2000). </w:t>
      </w:r>
      <w:r w:rsidRPr="008F4FB8">
        <w:rPr>
          <w:rFonts w:eastAsia="Times New Roman"/>
          <w:i/>
          <w:iCs/>
        </w:rPr>
        <w:t>Mathematical epidemiology of infectious diseases: Model building, analysis and integration</w:t>
      </w:r>
      <w:r w:rsidRPr="008F4FB8">
        <w:rPr>
          <w:rFonts w:eastAsia="Times New Roman"/>
        </w:rPr>
        <w:t>. New York: Wiley</w:t>
      </w:r>
      <w:r w:rsidRPr="008F4FB8">
        <w:rPr>
          <w:rFonts w:eastAsia="Times New Roman"/>
          <w:i/>
          <w:iCs/>
        </w:rPr>
        <w:t>.</w:t>
      </w:r>
    </w:p>
    <w:p w:rsidR="00E0393F" w:rsidRPr="008F4FB8" w:rsidRDefault="00E0393F" w:rsidP="00E0393F">
      <w:pPr>
        <w:pStyle w:val="NormalWeb"/>
        <w:shd w:val="clear" w:color="auto" w:fill="FFFFFF"/>
        <w:spacing w:line="284" w:lineRule="atLeast"/>
        <w:ind w:left="360" w:hanging="360"/>
        <w:jc w:val="both"/>
        <w:rPr>
          <w:shd w:val="clear" w:color="auto" w:fill="FFFFFF"/>
        </w:rPr>
      </w:pPr>
      <w:r w:rsidRPr="008F4FB8">
        <w:rPr>
          <w:shd w:val="clear" w:color="auto" w:fill="FFFFFF"/>
        </w:rPr>
        <w:t xml:space="preserve">Evans-Whipp, T.J., Beyers, J.M., Lloyd, S., Lafazia, A.N., Toumbourou, J.W., Arthur, M.W., Catalano, R.F. (2004). A review of school drug policies and their impact on youth substance use. </w:t>
      </w:r>
      <w:r w:rsidRPr="008F4FB8">
        <w:rPr>
          <w:rStyle w:val="ref-journal"/>
          <w:i/>
          <w:shd w:val="clear" w:color="auto" w:fill="FFFFFF"/>
        </w:rPr>
        <w:t>Health Promot Int.</w:t>
      </w:r>
      <w:r w:rsidRPr="008F4FB8">
        <w:rPr>
          <w:rStyle w:val="apple-converted-space"/>
          <w:shd w:val="clear" w:color="auto" w:fill="FFFFFF"/>
        </w:rPr>
        <w:t> </w:t>
      </w:r>
      <w:r w:rsidRPr="008F4FB8">
        <w:rPr>
          <w:rStyle w:val="ref-vol"/>
          <w:shd w:val="clear" w:color="auto" w:fill="FFFFFF"/>
        </w:rPr>
        <w:t>19</w:t>
      </w:r>
      <w:r w:rsidRPr="008F4FB8">
        <w:rPr>
          <w:shd w:val="clear" w:color="auto" w:fill="FFFFFF"/>
        </w:rPr>
        <w:t>: 227–34.</w:t>
      </w:r>
    </w:p>
    <w:p w:rsidR="00E0393F" w:rsidRPr="008F4FB8" w:rsidRDefault="00E0393F" w:rsidP="00E0393F">
      <w:pPr>
        <w:pStyle w:val="NormalWeb"/>
        <w:shd w:val="clear" w:color="auto" w:fill="FFFFFF"/>
        <w:spacing w:line="284" w:lineRule="atLeast"/>
        <w:ind w:left="360" w:hanging="360"/>
        <w:jc w:val="both"/>
      </w:pPr>
      <w:r w:rsidRPr="008F4FB8">
        <w:t xml:space="preserve">Erturk, V.S. Zaman, G. and Momani, S. (2012). A Numeric-analytic Method for Approximating a giving-up Smoking Model Containing Fractional Derivatives. </w:t>
      </w:r>
      <w:r w:rsidRPr="008F4FB8">
        <w:rPr>
          <w:i/>
        </w:rPr>
        <w:t>Computers &amp; Mathematics with Applications</w:t>
      </w:r>
      <w:r w:rsidRPr="008F4FB8">
        <w:t xml:space="preserve">. 64(10): 3065–3074.  </w:t>
      </w:r>
    </w:p>
    <w:p w:rsidR="00E0393F" w:rsidRPr="008F4FB8" w:rsidRDefault="00B944BA" w:rsidP="00E0393F">
      <w:pPr>
        <w:pStyle w:val="NormalWeb"/>
        <w:shd w:val="clear" w:color="auto" w:fill="FFFFFF"/>
        <w:spacing w:line="284" w:lineRule="atLeast"/>
        <w:ind w:left="360" w:hanging="360"/>
        <w:jc w:val="both"/>
      </w:pPr>
      <w:hyperlink r:id="rId97" w:tooltip="Search for articles by this author" w:history="1">
        <w:r w:rsidR="00E0393F" w:rsidRPr="008F4FB8">
          <w:rPr>
            <w:rStyle w:val="Hyperlink"/>
          </w:rPr>
          <w:t>Hesseling, A.C.</w:t>
        </w:r>
      </w:hyperlink>
      <w:r w:rsidR="00E0393F" w:rsidRPr="008F4FB8">
        <w:t xml:space="preserve">, </w:t>
      </w:r>
      <w:hyperlink r:id="rId98" w:tooltip="Search for articles by this author" w:history="1">
        <w:r w:rsidR="00E0393F" w:rsidRPr="008F4FB8">
          <w:rPr>
            <w:rStyle w:val="Hyperlink"/>
          </w:rPr>
          <w:t>Cotton, M.F.</w:t>
        </w:r>
      </w:hyperlink>
      <w:r w:rsidR="00E0393F" w:rsidRPr="008F4FB8">
        <w:t>, </w:t>
      </w:r>
      <w:hyperlink r:id="rId99" w:tooltip="Search for articles by this author" w:history="1">
        <w:r w:rsidR="00E0393F" w:rsidRPr="008F4FB8">
          <w:rPr>
            <w:rStyle w:val="Hyperlink"/>
          </w:rPr>
          <w:t>Fordham von Reyn, C.</w:t>
        </w:r>
      </w:hyperlink>
      <w:r w:rsidR="00E0393F" w:rsidRPr="008F4FB8">
        <w:t>, </w:t>
      </w:r>
      <w:hyperlink r:id="rId100" w:tooltip="Search for articles by this author" w:history="1">
        <w:r w:rsidR="00E0393F" w:rsidRPr="008F4FB8">
          <w:rPr>
            <w:rStyle w:val="Hyperlink"/>
          </w:rPr>
          <w:t>Graham, S.M.</w:t>
        </w:r>
      </w:hyperlink>
      <w:r w:rsidR="00E0393F" w:rsidRPr="008F4FB8">
        <w:t>, </w:t>
      </w:r>
      <w:hyperlink r:id="rId101" w:tooltip="Search for articles by this author" w:history="1">
        <w:r w:rsidR="00E0393F" w:rsidRPr="008F4FB8">
          <w:rPr>
            <w:rStyle w:val="Hyperlink"/>
          </w:rPr>
          <w:t>Gie, R.P.</w:t>
        </w:r>
      </w:hyperlink>
      <w:hyperlink r:id="rId102" w:anchor="aff_5" w:tooltip="link to affiliation details 5" w:history="1"/>
      <w:r w:rsidR="00E0393F" w:rsidRPr="008F4FB8">
        <w:t>, and </w:t>
      </w:r>
      <w:hyperlink r:id="rId103" w:tooltip="Search for articles by this author" w:history="1">
        <w:r w:rsidR="00E0393F" w:rsidRPr="008F4FB8">
          <w:rPr>
            <w:rStyle w:val="Hyperlink"/>
          </w:rPr>
          <w:t>Hussey, G.D.</w:t>
        </w:r>
      </w:hyperlink>
      <w:r w:rsidR="00E0393F" w:rsidRPr="008F4FB8">
        <w:t xml:space="preserve"> (2008). </w:t>
      </w:r>
      <w:r w:rsidR="00E0393F" w:rsidRPr="008F4FB8">
        <w:rPr>
          <w:bCs/>
        </w:rPr>
        <w:t xml:space="preserve">Consensus statement on the revised World Health Organization recommendations for BCG vaccination in HIV-infected infants: Submitted on behalf of the BCG Working Group, Child Lung Health Section, International Union Against Tuberculosis and Lung Disease, 38th Union World Conference on Lung Health, Cape Town, 8–12 November 2007. </w:t>
      </w:r>
      <w:r w:rsidR="00E0393F" w:rsidRPr="008F4FB8">
        <w:rPr>
          <w:i/>
        </w:rPr>
        <w:t>The International Journal of Tuberculosis and Lung Disease</w:t>
      </w:r>
      <w:r w:rsidR="00E0393F" w:rsidRPr="008F4FB8">
        <w:t>. 12(12): 1376 – 9(4).</w:t>
      </w:r>
    </w:p>
    <w:p w:rsidR="00E0393F" w:rsidRPr="008F4FB8" w:rsidRDefault="00E0393F" w:rsidP="00E0393F">
      <w:pPr>
        <w:pStyle w:val="NormalWeb"/>
        <w:shd w:val="clear" w:color="auto" w:fill="FFFFFF"/>
        <w:spacing w:line="284" w:lineRule="atLeast"/>
        <w:ind w:left="360" w:hanging="360"/>
        <w:jc w:val="both"/>
      </w:pPr>
      <w:r w:rsidRPr="008F4FB8">
        <w:lastRenderedPageBreak/>
        <w:t xml:space="preserve">Kolappan, C., Gopi, P.G., Subramani, R. and Narayanan, P.R. (2007). Selected Biological and Behavioural Risk Factors Associated with Pulmonary Tuberculosis. </w:t>
      </w:r>
      <w:r w:rsidRPr="008F4FB8">
        <w:rPr>
          <w:i/>
        </w:rPr>
        <w:t>The International Journal of Tuberculosis and Lung Disease</w:t>
      </w:r>
      <w:r w:rsidRPr="008F4FB8">
        <w:t>. 11(9): 999 – 1003(5).</w:t>
      </w:r>
    </w:p>
    <w:p w:rsidR="00E0393F" w:rsidRPr="008F4FB8" w:rsidRDefault="00E0393F" w:rsidP="00E0393F">
      <w:pPr>
        <w:pStyle w:val="NormalWeb"/>
        <w:shd w:val="clear" w:color="auto" w:fill="FFFFFF"/>
        <w:spacing w:line="284" w:lineRule="atLeast"/>
        <w:ind w:left="360" w:hanging="360"/>
        <w:jc w:val="both"/>
      </w:pPr>
      <w:r w:rsidRPr="008F4FB8">
        <w:t xml:space="preserve">Koumans, E.H., Sternberg, M., Bruce, C., McQuillan, G., Kendrick, J., Sutton, M., and Markowitz, L.E. (2007). The Prevalence of Bacterial Vaginosis in the United States, 2001 2004; Associations with Symptoms , Sexual Behaviours, and Reproductive Health. </w:t>
      </w:r>
      <w:r w:rsidRPr="008F4FB8">
        <w:rPr>
          <w:i/>
        </w:rPr>
        <w:t>Journal of Sexually Transmitted Diseases.</w:t>
      </w:r>
      <w:r w:rsidRPr="008F4FB8">
        <w:t xml:space="preserve"> 34(11): 864 – 9.</w:t>
      </w:r>
    </w:p>
    <w:p w:rsidR="00E0393F" w:rsidRPr="008F4FB8" w:rsidRDefault="00E0393F" w:rsidP="00E0393F">
      <w:pPr>
        <w:pStyle w:val="NormalWeb"/>
        <w:shd w:val="clear" w:color="auto" w:fill="FFFFFF"/>
        <w:spacing w:line="284" w:lineRule="atLeast"/>
        <w:ind w:left="360" w:hanging="360"/>
        <w:jc w:val="both"/>
      </w:pPr>
      <w:r w:rsidRPr="008F4FB8">
        <w:t xml:space="preserve">Murphy, T.F. (2006). Otitis Media, Bacterial Colonization, and the Smoking Parent. </w:t>
      </w:r>
      <w:r w:rsidRPr="008F4FB8">
        <w:rPr>
          <w:i/>
        </w:rPr>
        <w:t>Clinical Infectious Diseases.</w:t>
      </w:r>
      <w:r w:rsidRPr="008F4FB8">
        <w:t xml:space="preserve"> 42(7): 904 – 06.</w:t>
      </w:r>
    </w:p>
    <w:p w:rsidR="00E0393F" w:rsidRPr="008F4FB8" w:rsidRDefault="00E0393F" w:rsidP="00E0393F">
      <w:pPr>
        <w:pStyle w:val="NormalWeb"/>
        <w:shd w:val="clear" w:color="auto" w:fill="FFFFFF"/>
        <w:spacing w:line="284" w:lineRule="atLeast"/>
        <w:ind w:left="360" w:hanging="360"/>
        <w:jc w:val="both"/>
        <w:rPr>
          <w:shd w:val="clear" w:color="auto" w:fill="FFFFFF"/>
        </w:rPr>
      </w:pPr>
      <w:r w:rsidRPr="008F4FB8">
        <w:rPr>
          <w:shd w:val="clear" w:color="auto" w:fill="FFFFFF"/>
        </w:rPr>
        <w:t xml:space="preserve">Nandi, S., Kumar, R., Ray, P., </w:t>
      </w:r>
      <w:r w:rsidRPr="008F4FB8">
        <w:rPr>
          <w:i/>
          <w:shd w:val="clear" w:color="auto" w:fill="FFFFFF"/>
        </w:rPr>
        <w:t>et al</w:t>
      </w:r>
      <w:r w:rsidRPr="008F4FB8">
        <w:rPr>
          <w:shd w:val="clear" w:color="auto" w:fill="FFFFFF"/>
        </w:rPr>
        <w:t>.</w:t>
      </w:r>
      <w:r>
        <w:rPr>
          <w:shd w:val="clear" w:color="auto" w:fill="FFFFFF"/>
        </w:rPr>
        <w:t xml:space="preserve"> (2001).</w:t>
      </w:r>
      <w:r w:rsidRPr="008F4FB8">
        <w:rPr>
          <w:rStyle w:val="apple-converted-space"/>
          <w:shd w:val="clear" w:color="auto" w:fill="FFFFFF"/>
        </w:rPr>
        <w:t> </w:t>
      </w:r>
      <w:r w:rsidRPr="008F4FB8">
        <w:rPr>
          <w:rStyle w:val="ref-title"/>
          <w:shd w:val="clear" w:color="auto" w:fill="FFFFFF"/>
        </w:rPr>
        <w:t>Group A Streptococcal Sore Throat in a Periurban Population of Northern India: A one year prospective study</w:t>
      </w:r>
      <w:r w:rsidRPr="008F4FB8">
        <w:rPr>
          <w:shd w:val="clear" w:color="auto" w:fill="FFFFFF"/>
        </w:rPr>
        <w:t>.</w:t>
      </w:r>
      <w:r w:rsidRPr="008F4FB8">
        <w:rPr>
          <w:rStyle w:val="apple-converted-space"/>
          <w:shd w:val="clear" w:color="auto" w:fill="FFFFFF"/>
        </w:rPr>
        <w:t> </w:t>
      </w:r>
      <w:r w:rsidRPr="008F4FB8">
        <w:rPr>
          <w:rStyle w:val="ref-journal"/>
          <w:shd w:val="clear" w:color="auto" w:fill="FFFFFF"/>
        </w:rPr>
        <w:t>Bull WHO</w:t>
      </w:r>
      <w:r w:rsidRPr="008F4FB8">
        <w:rPr>
          <w:rStyle w:val="apple-converted-space"/>
          <w:shd w:val="clear" w:color="auto" w:fill="FFFFFF"/>
        </w:rPr>
        <w:t> </w:t>
      </w:r>
      <w:r w:rsidRPr="008F4FB8">
        <w:rPr>
          <w:shd w:val="clear" w:color="auto" w:fill="FFFFFF"/>
        </w:rPr>
        <w:t xml:space="preserve">2001; </w:t>
      </w:r>
      <w:r w:rsidRPr="008F4FB8">
        <w:rPr>
          <w:rStyle w:val="ref-vol"/>
          <w:shd w:val="clear" w:color="auto" w:fill="FFFFFF"/>
        </w:rPr>
        <w:t>79</w:t>
      </w:r>
      <w:r w:rsidRPr="008F4FB8">
        <w:rPr>
          <w:shd w:val="clear" w:color="auto" w:fill="FFFFFF"/>
        </w:rPr>
        <w:t>: 528–33.</w:t>
      </w:r>
    </w:p>
    <w:p w:rsidR="00E0393F" w:rsidRPr="008F4FB8" w:rsidRDefault="00E0393F" w:rsidP="00E0393F">
      <w:pPr>
        <w:pStyle w:val="NormalWeb"/>
        <w:shd w:val="clear" w:color="auto" w:fill="FFFFFF"/>
        <w:spacing w:line="284" w:lineRule="atLeast"/>
        <w:ind w:left="360" w:hanging="360"/>
        <w:jc w:val="both"/>
        <w:rPr>
          <w:i/>
        </w:rPr>
      </w:pPr>
      <w:r w:rsidRPr="008F4FB8">
        <w:rPr>
          <w:shd w:val="clear" w:color="auto" w:fill="FFFFFF"/>
        </w:rPr>
        <w:t>Pallis, A.G. and Syrigos, K.N. (2013). Targeting Tumor Neovasculature in Non-small-cell Lung Cancer. Critical Review in Oncology/Hematology. 86(2): 130 – 42.</w:t>
      </w:r>
    </w:p>
    <w:p w:rsidR="00E0393F" w:rsidRPr="008F4FB8" w:rsidRDefault="00E0393F" w:rsidP="00E0393F">
      <w:pPr>
        <w:pStyle w:val="NormalWeb"/>
        <w:shd w:val="clear" w:color="auto" w:fill="FFFFFF"/>
        <w:spacing w:line="284" w:lineRule="atLeast"/>
        <w:ind w:left="360" w:hanging="360"/>
        <w:jc w:val="both"/>
      </w:pPr>
      <w:r w:rsidRPr="008F4FB8">
        <w:t xml:space="preserve">Slama, K., Chiang, C.Y, Enarson, D.A, Hassmiller, K. Fanning, A., Gupta, P. and Ray, C. (2007). Tobacco and Tuberculosis: A Qualitative Systematic Review and Meta-analysis. </w:t>
      </w:r>
      <w:r w:rsidRPr="008F4FB8">
        <w:rPr>
          <w:i/>
        </w:rPr>
        <w:t>International Journal of Tuberculosis and Lung Diseases</w:t>
      </w:r>
      <w:r w:rsidRPr="008F4FB8">
        <w:t>. 11(10): 1049 – 61.</w:t>
      </w:r>
    </w:p>
    <w:p w:rsidR="00E0393F" w:rsidRPr="008F4FB8" w:rsidRDefault="00E0393F" w:rsidP="00E0393F">
      <w:pPr>
        <w:pStyle w:val="NormalWeb"/>
        <w:shd w:val="clear" w:color="auto" w:fill="FFFFFF"/>
        <w:spacing w:line="284" w:lineRule="atLeast"/>
        <w:ind w:left="360" w:hanging="360"/>
        <w:jc w:val="both"/>
      </w:pPr>
      <w:r w:rsidRPr="008F4FB8">
        <w:t xml:space="preserve">Wakefield, M., Flay, B., Nichter, M. and Giovino, G. (2003). Effects of Anti-smoking Advertising on Youth Smoking: a Review. </w:t>
      </w:r>
      <w:r w:rsidRPr="008F4FB8">
        <w:rPr>
          <w:i/>
        </w:rPr>
        <w:t>Journal of Health Communication</w:t>
      </w:r>
      <w:r w:rsidRPr="008F4FB8">
        <w:t>. 8: 229–247.</w:t>
      </w:r>
    </w:p>
    <w:p w:rsidR="00E0393F" w:rsidRPr="008F4FB8" w:rsidRDefault="00E0393F" w:rsidP="00E0393F">
      <w:pPr>
        <w:pStyle w:val="NormalWeb"/>
        <w:shd w:val="clear" w:color="auto" w:fill="FFFFFF"/>
        <w:spacing w:line="284" w:lineRule="atLeast"/>
        <w:ind w:left="360" w:hanging="360"/>
        <w:jc w:val="both"/>
      </w:pPr>
      <w:r w:rsidRPr="008F4FB8">
        <w:t xml:space="preserve">Zaman, G. (2011). Qualitative behavior of giving up smoking models. </w:t>
      </w:r>
      <w:r w:rsidRPr="008F4FB8">
        <w:rPr>
          <w:i/>
        </w:rPr>
        <w:t>Bulletin of the Malaysian Mathematical Sciences Society</w:t>
      </w:r>
      <w:r w:rsidRPr="008F4FB8">
        <w:t xml:space="preserve"> 34(2): 403–15.</w:t>
      </w:r>
    </w:p>
    <w:p w:rsidR="00E0393F" w:rsidRPr="008E3CFA" w:rsidRDefault="00E0393F" w:rsidP="008E3CFA"/>
    <w:sectPr w:rsidR="00E0393F" w:rsidRPr="008E3CFA" w:rsidSect="00E0393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63AED"/>
    <w:multiLevelType w:val="hybridMultilevel"/>
    <w:tmpl w:val="1990F736"/>
    <w:lvl w:ilvl="0" w:tplc="31AE61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3CFA"/>
    <w:rsid w:val="00124B05"/>
    <w:rsid w:val="0040425A"/>
    <w:rsid w:val="0046707F"/>
    <w:rsid w:val="004E5352"/>
    <w:rsid w:val="008E3CFA"/>
    <w:rsid w:val="0097185C"/>
    <w:rsid w:val="009D198A"/>
    <w:rsid w:val="00B348F1"/>
    <w:rsid w:val="00B944BA"/>
    <w:rsid w:val="00C06DFB"/>
    <w:rsid w:val="00E0393F"/>
    <w:rsid w:val="00F1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3F"/>
    <w:rPr>
      <w:rFonts w:ascii="Times New Roman" w:hAnsi="Times New Roman" w:cs="Times New Roman"/>
      <w:sz w:val="24"/>
      <w:szCs w:val="24"/>
    </w:rPr>
  </w:style>
  <w:style w:type="paragraph" w:styleId="Heading1">
    <w:name w:val="heading 1"/>
    <w:basedOn w:val="Normal"/>
    <w:link w:val="Heading1Char"/>
    <w:uiPriority w:val="9"/>
    <w:qFormat/>
    <w:rsid w:val="00E0393F"/>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93F"/>
    <w:rPr>
      <w:rFonts w:ascii="Times New Roman" w:eastAsia="Times New Roman" w:hAnsi="Times New Roman" w:cs="Times New Roman"/>
      <w:b/>
      <w:bCs/>
      <w:kern w:val="36"/>
      <w:sz w:val="48"/>
      <w:szCs w:val="48"/>
    </w:rPr>
  </w:style>
  <w:style w:type="table" w:styleId="TableGrid">
    <w:name w:val="Table Grid"/>
    <w:basedOn w:val="TableNormal"/>
    <w:uiPriority w:val="59"/>
    <w:rsid w:val="00E039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393F"/>
    <w:pPr>
      <w:ind w:left="720"/>
      <w:contextualSpacing/>
    </w:pPr>
  </w:style>
  <w:style w:type="paragraph" w:styleId="Header">
    <w:name w:val="header"/>
    <w:basedOn w:val="Normal"/>
    <w:link w:val="HeaderChar"/>
    <w:uiPriority w:val="99"/>
    <w:semiHidden/>
    <w:unhideWhenUsed/>
    <w:rsid w:val="00E039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93F"/>
    <w:rPr>
      <w:rFonts w:ascii="Times New Roman" w:hAnsi="Times New Roman" w:cs="Times New Roman"/>
      <w:sz w:val="24"/>
      <w:szCs w:val="24"/>
    </w:rPr>
  </w:style>
  <w:style w:type="paragraph" w:styleId="Footer">
    <w:name w:val="footer"/>
    <w:basedOn w:val="Normal"/>
    <w:link w:val="FooterChar"/>
    <w:uiPriority w:val="99"/>
    <w:semiHidden/>
    <w:unhideWhenUsed/>
    <w:rsid w:val="00E039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93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0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3F"/>
    <w:rPr>
      <w:rFonts w:ascii="Tahoma" w:hAnsi="Tahoma" w:cs="Tahoma"/>
      <w:sz w:val="16"/>
      <w:szCs w:val="16"/>
    </w:rPr>
  </w:style>
  <w:style w:type="character" w:styleId="Hyperlink">
    <w:name w:val="Hyperlink"/>
    <w:basedOn w:val="DefaultParagraphFont"/>
    <w:uiPriority w:val="99"/>
    <w:unhideWhenUsed/>
    <w:rsid w:val="00E0393F"/>
    <w:rPr>
      <w:color w:val="0000FF" w:themeColor="hyperlink"/>
      <w:u w:val="single"/>
    </w:rPr>
  </w:style>
  <w:style w:type="paragraph" w:styleId="NormalWeb">
    <w:name w:val="Normal (Web)"/>
    <w:basedOn w:val="Normal"/>
    <w:uiPriority w:val="99"/>
    <w:unhideWhenUsed/>
    <w:rsid w:val="00E0393F"/>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E0393F"/>
  </w:style>
  <w:style w:type="character" w:customStyle="1" w:styleId="ref-title">
    <w:name w:val="ref-title"/>
    <w:basedOn w:val="DefaultParagraphFont"/>
    <w:rsid w:val="00E0393F"/>
  </w:style>
  <w:style w:type="character" w:customStyle="1" w:styleId="ref-journal">
    <w:name w:val="ref-journal"/>
    <w:basedOn w:val="DefaultParagraphFont"/>
    <w:rsid w:val="00E0393F"/>
  </w:style>
  <w:style w:type="character" w:customStyle="1" w:styleId="ref-vol">
    <w:name w:val="ref-vol"/>
    <w:basedOn w:val="DefaultParagraphFont"/>
    <w:rsid w:val="00E0393F"/>
  </w:style>
  <w:style w:type="paragraph" w:styleId="NoSpacing">
    <w:name w:val="No Spacing"/>
    <w:uiPriority w:val="1"/>
    <w:qFormat/>
    <w:rsid w:val="009D198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image" Target="media/image4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hyperlink" Target="http://www.ingentaconnect.com/content/iuatld/ijtld/2008/00000012/00000012/art00008" TargetMode="External"/><Relationship Id="rId5" Type="http://schemas.openxmlformats.org/officeDocument/2006/relationships/hyperlink" Target="mailto:deborah.bako@futminna.edu.ng" TargetMode="External"/><Relationship Id="rId61" Type="http://schemas.openxmlformats.org/officeDocument/2006/relationships/oleObject" Target="embeddings/oleObject28.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hyperlink" Target="https://doi.org/10.33003/f%20js-2024-0806-2703"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image" Target="media/image37.wmf"/><Relationship Id="rId100" Type="http://schemas.openxmlformats.org/officeDocument/2006/relationships/hyperlink" Target="http://www.ingentaconnect.com/search;jsessionid=aabuvf7lgick.x-ic-live-02?option2=author&amp;value2=Graham,%20S.%20M." TargetMode="External"/><Relationship Id="rId105"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hyperlink" Target="http://www.ingentaconnect.com/search;jsessionid=aabuvf7lgick.x-ic-live-02?option2=author&amp;value2=Cotton,%20M.%20F."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hyperlink" Target="http://www.ingentaconnect.com/search;jsessionid=aabuvf7lgick.x-ic-live-02?option2=author&amp;value2=Hussey,%20G.%20D." TargetMode="Externa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hyperlink" Target="https://doi.org/10.33003/jobasr-2024-v2i3-"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hyperlink" Target="http://www.ingentaconnect.com/search;jsessionid=aabuvf7lgick.x-ic-live-02?option2=author&amp;value2=Fordham%20von%20Reyn,%20C." TargetMode="External"/><Relationship Id="rId101" Type="http://schemas.openxmlformats.org/officeDocument/2006/relationships/hyperlink" Target="http://www.ingentaconnect.com/search;jsessionid=aabuvf7lgick.x-ic-live-02?option2=author&amp;value2=Gie,%20R.%20P." TargetMode="Externa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png"/><Relationship Id="rId97" Type="http://schemas.openxmlformats.org/officeDocument/2006/relationships/hyperlink" Target="http://www.ingentaconnect.com/search;jsessionid=aabuvf7lgick.x-ic-live-02?option2=author&amp;value2=Hesseling,%20A.%20C."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2026-05-27T20:03:00Z</dcterms:created>
  <dcterms:modified xsi:type="dcterms:W3CDTF">2026-05-27T21:13:00Z</dcterms:modified>
</cp:coreProperties>
</file>