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7C6" w:rsidRDefault="006647C6" w:rsidP="006647C6">
      <w:pPr>
        <w:spacing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bCs/>
          <w:sz w:val="24"/>
          <w:szCs w:val="24"/>
        </w:rPr>
        <w:t xml:space="preserve">AUTHOR’s NAME: </w:t>
      </w:r>
      <w:proofErr w:type="spellStart"/>
      <w:r>
        <w:rPr>
          <w:rFonts w:ascii="Times New Roman" w:hAnsi="Times New Roman" w:cs="Times New Roman"/>
          <w:b/>
          <w:sz w:val="24"/>
          <w:szCs w:val="24"/>
        </w:rPr>
        <w:t>Sekinat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Abdulkareem</w:t>
      </w:r>
      <w:proofErr w:type="spellEnd"/>
    </w:p>
    <w:p w:rsidR="006647C6" w:rsidRDefault="006647C6" w:rsidP="006647C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AFFILIATION: </w:t>
      </w:r>
      <w:r w:rsidRPr="00A339D8">
        <w:rPr>
          <w:rFonts w:ascii="Times New Roman" w:hAnsi="Times New Roman" w:cs="Times New Roman"/>
          <w:b/>
          <w:sz w:val="24"/>
          <w:szCs w:val="24"/>
        </w:rPr>
        <w:t xml:space="preserve">Federal University of Technology, School of Environmental Technology, </w:t>
      </w:r>
    </w:p>
    <w:p w:rsidR="006647C6" w:rsidRPr="00A339D8" w:rsidRDefault="006647C6" w:rsidP="006647C6">
      <w:pPr>
        <w:spacing w:line="240" w:lineRule="auto"/>
        <w:ind w:left="1440" w:firstLine="720"/>
        <w:jc w:val="both"/>
        <w:rPr>
          <w:rFonts w:ascii="Times New Roman" w:hAnsi="Times New Roman" w:cs="Times New Roman"/>
          <w:b/>
          <w:sz w:val="24"/>
          <w:szCs w:val="24"/>
        </w:rPr>
      </w:pPr>
      <w:r w:rsidRPr="00A339D8">
        <w:rPr>
          <w:rFonts w:ascii="Times New Roman" w:hAnsi="Times New Roman" w:cs="Times New Roman"/>
          <w:b/>
          <w:sz w:val="24"/>
          <w:szCs w:val="24"/>
        </w:rPr>
        <w:t xml:space="preserve">Department of Estate Management and Valuation, </w:t>
      </w:r>
      <w:proofErr w:type="spellStart"/>
      <w:r w:rsidRPr="00A339D8">
        <w:rPr>
          <w:rFonts w:ascii="Times New Roman" w:hAnsi="Times New Roman" w:cs="Times New Roman"/>
          <w:b/>
          <w:sz w:val="24"/>
          <w:szCs w:val="24"/>
        </w:rPr>
        <w:t>Minna</w:t>
      </w:r>
      <w:proofErr w:type="spellEnd"/>
      <w:r w:rsidRPr="00A339D8">
        <w:rPr>
          <w:rFonts w:ascii="Times New Roman" w:hAnsi="Times New Roman" w:cs="Times New Roman"/>
          <w:b/>
          <w:sz w:val="24"/>
          <w:szCs w:val="24"/>
        </w:rPr>
        <w:t xml:space="preserve"> Nigeria</w:t>
      </w:r>
    </w:p>
    <w:p w:rsidR="006647C6" w:rsidRDefault="006647C6" w:rsidP="006647C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Corresponding author’s email: </w:t>
      </w:r>
      <w:hyperlink r:id="rId4" w:history="1">
        <w:r w:rsidRPr="00F41BC9">
          <w:rPr>
            <w:rStyle w:val="Hyperlink"/>
            <w:rFonts w:ascii="Times New Roman" w:hAnsi="Times New Roman" w:cs="Times New Roman"/>
            <w:b/>
            <w:bCs/>
            <w:sz w:val="24"/>
            <w:szCs w:val="24"/>
          </w:rPr>
          <w:t>sekinat.abdul@futminna.edu.ng</w:t>
        </w:r>
      </w:hyperlink>
    </w:p>
    <w:p w:rsidR="006647C6" w:rsidRDefault="006647C6" w:rsidP="006647C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Phone no: 08038260052</w:t>
      </w:r>
    </w:p>
    <w:p w:rsidR="006647C6" w:rsidRPr="00A339D8" w:rsidRDefault="006647C6" w:rsidP="006647C6">
      <w:pPr>
        <w:spacing w:line="240" w:lineRule="auto"/>
        <w:jc w:val="both"/>
        <w:rPr>
          <w:rFonts w:ascii="Times New Roman" w:hAnsi="Times New Roman" w:cs="Times New Roman"/>
          <w:b/>
          <w:sz w:val="24"/>
          <w:szCs w:val="24"/>
        </w:rPr>
      </w:pPr>
      <w:r w:rsidRPr="00A339D8">
        <w:rPr>
          <w:rFonts w:ascii="Times New Roman" w:hAnsi="Times New Roman" w:cs="Times New Roman"/>
          <w:b/>
          <w:sz w:val="24"/>
          <w:szCs w:val="24"/>
        </w:rPr>
        <w:t>ORCID NO</w:t>
      </w:r>
      <w:r>
        <w:rPr>
          <w:rFonts w:ascii="Times New Roman" w:hAnsi="Times New Roman" w:cs="Times New Roman"/>
          <w:b/>
          <w:sz w:val="24"/>
          <w:szCs w:val="24"/>
        </w:rPr>
        <w:t xml:space="preserve">: </w:t>
      </w:r>
      <w:r w:rsidRPr="00A339D8">
        <w:rPr>
          <w:rFonts w:ascii="Times New Roman" w:hAnsi="Times New Roman" w:cs="Times New Roman"/>
          <w:sz w:val="24"/>
          <w:szCs w:val="24"/>
        </w:rPr>
        <w:t xml:space="preserve"> </w:t>
      </w:r>
      <w:hyperlink r:id="rId5" w:history="1">
        <w:r w:rsidRPr="00A339D8">
          <w:rPr>
            <w:rStyle w:val="Hyperlink"/>
            <w:rFonts w:ascii="Times New Roman" w:hAnsi="Times New Roman" w:cs="Times New Roman"/>
            <w:sz w:val="24"/>
            <w:szCs w:val="24"/>
          </w:rPr>
          <w:t>https://orcid.org/0000-0002-4995-0029</w:t>
        </w:r>
      </w:hyperlink>
    </w:p>
    <w:p w:rsidR="006647C6" w:rsidRDefault="006647C6" w:rsidP="006647C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TITTLE: </w:t>
      </w:r>
      <w:r w:rsidR="00A339D8" w:rsidRPr="00A339D8">
        <w:rPr>
          <w:rFonts w:ascii="Times New Roman" w:hAnsi="Times New Roman" w:cs="Times New Roman"/>
          <w:b/>
          <w:bCs/>
          <w:sz w:val="24"/>
          <w:szCs w:val="24"/>
        </w:rPr>
        <w:t xml:space="preserve">INVESTIGATION OF ICT SKILLS AMONG ESTATE MANAGEMENT </w:t>
      </w:r>
    </w:p>
    <w:p w:rsidR="00A339D8" w:rsidRPr="00A339D8" w:rsidRDefault="00A339D8" w:rsidP="006647C6">
      <w:pPr>
        <w:spacing w:line="240" w:lineRule="auto"/>
        <w:ind w:left="720"/>
        <w:jc w:val="both"/>
        <w:rPr>
          <w:rFonts w:ascii="Times New Roman" w:hAnsi="Times New Roman" w:cs="Times New Roman"/>
          <w:b/>
          <w:bCs/>
          <w:sz w:val="24"/>
          <w:szCs w:val="24"/>
        </w:rPr>
      </w:pPr>
      <w:r w:rsidRPr="00A339D8">
        <w:rPr>
          <w:rFonts w:ascii="Times New Roman" w:hAnsi="Times New Roman" w:cs="Times New Roman"/>
          <w:b/>
          <w:bCs/>
          <w:sz w:val="24"/>
          <w:szCs w:val="24"/>
        </w:rPr>
        <w:t>LECTURERS</w:t>
      </w:r>
      <w:r w:rsidR="009B3FC3">
        <w:rPr>
          <w:rFonts w:ascii="Times New Roman" w:hAnsi="Times New Roman" w:cs="Times New Roman"/>
          <w:b/>
          <w:bCs/>
          <w:sz w:val="24"/>
          <w:szCs w:val="24"/>
        </w:rPr>
        <w:t xml:space="preserve"> IN PUBLIC TERTIARY INSTITUTION</w:t>
      </w:r>
      <w:r w:rsidRPr="00A339D8">
        <w:rPr>
          <w:rFonts w:ascii="Times New Roman" w:hAnsi="Times New Roman" w:cs="Times New Roman"/>
          <w:b/>
          <w:bCs/>
          <w:sz w:val="24"/>
          <w:szCs w:val="24"/>
        </w:rPr>
        <w:t xml:space="preserve"> IN MINNA, NIGERIA</w:t>
      </w:r>
    </w:p>
    <w:p w:rsidR="003153A6" w:rsidRDefault="003153A6" w:rsidP="00A339D8">
      <w:pPr>
        <w:spacing w:after="0" w:line="360" w:lineRule="auto"/>
        <w:jc w:val="both"/>
        <w:rPr>
          <w:rFonts w:ascii="Times New Roman" w:hAnsi="Times New Roman" w:cs="Times New Roman"/>
          <w:b/>
          <w:sz w:val="24"/>
          <w:szCs w:val="24"/>
        </w:rPr>
      </w:pPr>
    </w:p>
    <w:p w:rsidR="00A339D8" w:rsidRPr="00A339D8" w:rsidRDefault="00A339D8" w:rsidP="00A339D8">
      <w:pPr>
        <w:spacing w:after="0" w:line="360" w:lineRule="auto"/>
        <w:jc w:val="both"/>
        <w:rPr>
          <w:rFonts w:ascii="Times New Roman" w:hAnsi="Times New Roman" w:cs="Times New Roman"/>
          <w:b/>
          <w:sz w:val="24"/>
          <w:szCs w:val="24"/>
        </w:rPr>
      </w:pPr>
      <w:r w:rsidRPr="00A339D8">
        <w:rPr>
          <w:rFonts w:ascii="Times New Roman" w:hAnsi="Times New Roman" w:cs="Times New Roman"/>
          <w:b/>
          <w:sz w:val="24"/>
          <w:szCs w:val="24"/>
        </w:rPr>
        <w:t>Abstract</w:t>
      </w:r>
    </w:p>
    <w:p w:rsidR="00A339D8" w:rsidRPr="00A339D8" w:rsidRDefault="00A339D8" w:rsidP="00A339D8">
      <w:pPr>
        <w:spacing w:after="0" w:line="360" w:lineRule="auto"/>
        <w:jc w:val="both"/>
        <w:rPr>
          <w:rFonts w:ascii="Times New Roman" w:hAnsi="Times New Roman" w:cs="Times New Roman"/>
          <w:sz w:val="24"/>
          <w:szCs w:val="24"/>
        </w:rPr>
      </w:pPr>
      <w:r w:rsidRPr="00A339D8">
        <w:rPr>
          <w:rFonts w:ascii="Times New Roman" w:hAnsi="Times New Roman" w:cs="Times New Roman"/>
          <w:sz w:val="24"/>
          <w:szCs w:val="24"/>
        </w:rPr>
        <w:t xml:space="preserve">Information and communication technology (ICT) integration in higher education is essential for effective teaching, learning, and research in the 21st century. This study assesses the ICT skills of Estate Management lecturers in public tertiary institutions in </w:t>
      </w:r>
      <w:proofErr w:type="spellStart"/>
      <w:r w:rsidRPr="00A339D8">
        <w:rPr>
          <w:rFonts w:ascii="Times New Roman" w:hAnsi="Times New Roman" w:cs="Times New Roman"/>
          <w:sz w:val="24"/>
          <w:szCs w:val="24"/>
        </w:rPr>
        <w:t>Minna</w:t>
      </w:r>
      <w:proofErr w:type="spellEnd"/>
      <w:r w:rsidRPr="00A339D8">
        <w:rPr>
          <w:rFonts w:ascii="Times New Roman" w:hAnsi="Times New Roman" w:cs="Times New Roman"/>
          <w:sz w:val="24"/>
          <w:szCs w:val="24"/>
        </w:rPr>
        <w:t xml:space="preserve">, Nigeria, with the aim of enhancing the integration of digital technologies into Estate Management education. Respondents for the study are the academic staff in the department of Estate Management and Valuation at the Federal University of Technology, </w:t>
      </w:r>
      <w:proofErr w:type="spellStart"/>
      <w:r w:rsidRPr="00A339D8">
        <w:rPr>
          <w:rFonts w:ascii="Times New Roman" w:hAnsi="Times New Roman" w:cs="Times New Roman"/>
          <w:sz w:val="24"/>
          <w:szCs w:val="24"/>
        </w:rPr>
        <w:t>Minna</w:t>
      </w:r>
      <w:proofErr w:type="spellEnd"/>
      <w:r w:rsidRPr="00A339D8">
        <w:rPr>
          <w:rFonts w:ascii="Times New Roman" w:hAnsi="Times New Roman" w:cs="Times New Roman"/>
          <w:sz w:val="24"/>
          <w:szCs w:val="24"/>
        </w:rPr>
        <w:t>. Data were analyzed using frequency distribution tables, mean scores and relative importance index. The study indicates that the most proficiency in ICT tools among Estate Management and Valuation lecturers are Project Management Software and Property Valuation Software which ranked 1</w:t>
      </w:r>
      <w:r w:rsidRPr="00A339D8">
        <w:rPr>
          <w:rFonts w:ascii="Times New Roman" w:hAnsi="Times New Roman" w:cs="Times New Roman"/>
          <w:sz w:val="24"/>
          <w:szCs w:val="24"/>
          <w:vertAlign w:val="superscript"/>
        </w:rPr>
        <w:t>st</w:t>
      </w:r>
      <w:r w:rsidRPr="00A339D8">
        <w:rPr>
          <w:rFonts w:ascii="Times New Roman" w:hAnsi="Times New Roman" w:cs="Times New Roman"/>
          <w:sz w:val="24"/>
          <w:szCs w:val="24"/>
        </w:rPr>
        <w:t xml:space="preserve"> and 2</w:t>
      </w:r>
      <w:r w:rsidRPr="00A339D8">
        <w:rPr>
          <w:rFonts w:ascii="Times New Roman" w:hAnsi="Times New Roman" w:cs="Times New Roman"/>
          <w:sz w:val="24"/>
          <w:szCs w:val="24"/>
          <w:vertAlign w:val="superscript"/>
        </w:rPr>
        <w:t>nd</w:t>
      </w:r>
      <w:r w:rsidRPr="00A339D8">
        <w:rPr>
          <w:rFonts w:ascii="Times New Roman" w:hAnsi="Times New Roman" w:cs="Times New Roman"/>
          <w:sz w:val="24"/>
          <w:szCs w:val="24"/>
        </w:rPr>
        <w:t xml:space="preserve"> with mean score 3.562 and 3,500 respectively. Other ICT Tools that the estate management and valuation lecturer has proficiency in are Geographic Information Systems (GIS) and Building Information Modelling (BIM) and which ranked 3</w:t>
      </w:r>
      <w:r w:rsidRPr="00A339D8">
        <w:rPr>
          <w:rFonts w:ascii="Times New Roman" w:hAnsi="Times New Roman" w:cs="Times New Roman"/>
          <w:sz w:val="24"/>
          <w:szCs w:val="24"/>
          <w:vertAlign w:val="superscript"/>
        </w:rPr>
        <w:t>rd</w:t>
      </w:r>
      <w:r w:rsidRPr="00A339D8">
        <w:rPr>
          <w:rFonts w:ascii="Times New Roman" w:hAnsi="Times New Roman" w:cs="Times New Roman"/>
          <w:sz w:val="24"/>
          <w:szCs w:val="24"/>
        </w:rPr>
        <w:t xml:space="preserve"> and 4</w:t>
      </w:r>
      <w:r w:rsidRPr="00A339D8">
        <w:rPr>
          <w:rFonts w:ascii="Times New Roman" w:hAnsi="Times New Roman" w:cs="Times New Roman"/>
          <w:sz w:val="24"/>
          <w:szCs w:val="24"/>
          <w:vertAlign w:val="superscript"/>
        </w:rPr>
        <w:t>th</w:t>
      </w:r>
      <w:r w:rsidRPr="00A339D8">
        <w:rPr>
          <w:rFonts w:ascii="Times New Roman" w:hAnsi="Times New Roman" w:cs="Times New Roman"/>
          <w:sz w:val="24"/>
          <w:szCs w:val="24"/>
        </w:rPr>
        <w:t xml:space="preserve"> with mean score 3.312 and 3</w:t>
      </w:r>
      <w:r w:rsidR="009B3FC3">
        <w:rPr>
          <w:rFonts w:ascii="Times New Roman" w:hAnsi="Times New Roman" w:cs="Times New Roman"/>
          <w:sz w:val="24"/>
          <w:szCs w:val="24"/>
        </w:rPr>
        <w:t>.125 respectively. In contrast Estate M</w:t>
      </w:r>
      <w:r w:rsidRPr="00A339D8">
        <w:rPr>
          <w:rFonts w:ascii="Times New Roman" w:hAnsi="Times New Roman" w:cs="Times New Roman"/>
          <w:sz w:val="24"/>
          <w:szCs w:val="24"/>
        </w:rPr>
        <w:t>anagement lecturer has a basic proficiency in AutoCAD which ranked 5</w:t>
      </w:r>
      <w:r w:rsidRPr="00A339D8">
        <w:rPr>
          <w:rFonts w:ascii="Times New Roman" w:hAnsi="Times New Roman" w:cs="Times New Roman"/>
          <w:sz w:val="24"/>
          <w:szCs w:val="24"/>
          <w:vertAlign w:val="superscript"/>
        </w:rPr>
        <w:t>th</w:t>
      </w:r>
      <w:r w:rsidRPr="00A339D8">
        <w:rPr>
          <w:rFonts w:ascii="Times New Roman" w:hAnsi="Times New Roman" w:cs="Times New Roman"/>
          <w:sz w:val="24"/>
          <w:szCs w:val="24"/>
        </w:rPr>
        <w:t xml:space="preserve"> and least with mean score 2.000. The study recommends that the institution should organize specialized workshops and certification programs in CAD and building information modelling to improve lecturer’s ability to teach and ap</w:t>
      </w:r>
      <w:r w:rsidR="009B3FC3">
        <w:rPr>
          <w:rFonts w:ascii="Times New Roman" w:hAnsi="Times New Roman" w:cs="Times New Roman"/>
          <w:sz w:val="24"/>
          <w:szCs w:val="24"/>
        </w:rPr>
        <w:t>ply these tools effectively in Estate M</w:t>
      </w:r>
      <w:r w:rsidRPr="00A339D8">
        <w:rPr>
          <w:rFonts w:ascii="Times New Roman" w:hAnsi="Times New Roman" w:cs="Times New Roman"/>
          <w:sz w:val="24"/>
          <w:szCs w:val="24"/>
        </w:rPr>
        <w:t>anagement and construction related courses.</w:t>
      </w:r>
    </w:p>
    <w:p w:rsidR="00A339D8" w:rsidRPr="00A339D8" w:rsidRDefault="00A339D8" w:rsidP="00A339D8">
      <w:pPr>
        <w:spacing w:line="360" w:lineRule="auto"/>
        <w:jc w:val="both"/>
        <w:rPr>
          <w:rFonts w:ascii="Times New Roman" w:hAnsi="Times New Roman" w:cs="Times New Roman"/>
          <w:sz w:val="24"/>
          <w:szCs w:val="24"/>
        </w:rPr>
      </w:pPr>
      <w:r w:rsidRPr="00A339D8">
        <w:rPr>
          <w:rFonts w:ascii="Times New Roman" w:hAnsi="Times New Roman" w:cs="Times New Roman"/>
          <w:sz w:val="24"/>
          <w:szCs w:val="24"/>
        </w:rPr>
        <w:t xml:space="preserve">They should also integrate project management and property valuation software into the curriculum since the lecturers has high proficiency in these tools and encourage their use in research and student projects. </w:t>
      </w:r>
    </w:p>
    <w:p w:rsidR="00A339D8" w:rsidRPr="00A339D8" w:rsidRDefault="00A339D8" w:rsidP="00A339D8">
      <w:pPr>
        <w:rPr>
          <w:rFonts w:ascii="Times New Roman" w:hAnsi="Times New Roman" w:cs="Times New Roman"/>
          <w:b/>
          <w:i/>
          <w:sz w:val="24"/>
          <w:szCs w:val="24"/>
        </w:rPr>
      </w:pPr>
      <w:r w:rsidRPr="00A339D8">
        <w:rPr>
          <w:rFonts w:ascii="Times New Roman" w:hAnsi="Times New Roman" w:cs="Times New Roman"/>
          <w:b/>
          <w:i/>
          <w:sz w:val="24"/>
          <w:szCs w:val="24"/>
        </w:rPr>
        <w:t>Keywords: ICT skills; Estate Management lecturer; Public tertiary institutions; Nigeria</w:t>
      </w:r>
    </w:p>
    <w:p w:rsidR="00A339D8" w:rsidRPr="00536DC9" w:rsidRDefault="00A339D8" w:rsidP="00A339D8">
      <w:pPr>
        <w:spacing w:after="0" w:line="360" w:lineRule="auto"/>
        <w:ind w:left="2160"/>
        <w:rPr>
          <w:rFonts w:ascii="Times New Roman" w:hAnsi="Times New Roman" w:cs="Times New Roman"/>
          <w:b/>
        </w:rPr>
      </w:pPr>
      <w:r>
        <w:rPr>
          <w:rFonts w:ascii="Times New Roman" w:hAnsi="Times New Roman" w:cs="Times New Roman"/>
          <w:b/>
        </w:rPr>
        <w:lastRenderedPageBreak/>
        <w:t xml:space="preserve"> </w:t>
      </w:r>
    </w:p>
    <w:p w:rsidR="00A339D8" w:rsidRDefault="00A339D8" w:rsidP="00A339D8">
      <w:pPr>
        <w:spacing w:line="360" w:lineRule="auto"/>
        <w:jc w:val="both"/>
        <w:rPr>
          <w:rFonts w:ascii="Times New Roman" w:hAnsi="Times New Roman" w:cs="Times New Roman"/>
          <w:b/>
          <w:color w:val="000000" w:themeColor="text1"/>
          <w:sz w:val="24"/>
          <w:szCs w:val="24"/>
        </w:rPr>
      </w:pPr>
    </w:p>
    <w:p w:rsidR="00A339D8" w:rsidRPr="00173CE7" w:rsidRDefault="00A339D8" w:rsidP="00A339D8">
      <w:pPr>
        <w:spacing w:line="360" w:lineRule="auto"/>
        <w:jc w:val="both"/>
        <w:rPr>
          <w:rFonts w:ascii="Times New Roman" w:hAnsi="Times New Roman" w:cs="Times New Roman"/>
          <w:b/>
          <w:color w:val="000000" w:themeColor="text1"/>
          <w:sz w:val="24"/>
          <w:szCs w:val="24"/>
        </w:rPr>
      </w:pPr>
      <w:r w:rsidRPr="00173CE7">
        <w:rPr>
          <w:rFonts w:ascii="Times New Roman" w:hAnsi="Times New Roman" w:cs="Times New Roman"/>
          <w:b/>
          <w:color w:val="000000" w:themeColor="text1"/>
          <w:sz w:val="24"/>
          <w:szCs w:val="24"/>
        </w:rPr>
        <w:t>INTRODUCTION</w:t>
      </w:r>
    </w:p>
    <w:p w:rsidR="007D379B" w:rsidRDefault="00A339D8" w:rsidP="00A339D8">
      <w:pPr>
        <w:spacing w:line="360" w:lineRule="auto"/>
        <w:jc w:val="both"/>
        <w:rPr>
          <w:rFonts w:ascii="Times New Roman" w:hAnsi="Times New Roman" w:cs="Times New Roman"/>
          <w:sz w:val="24"/>
          <w:szCs w:val="24"/>
        </w:rPr>
      </w:pPr>
      <w:r w:rsidRPr="00A339D8">
        <w:rPr>
          <w:rFonts w:ascii="Times New Roman" w:hAnsi="Times New Roman" w:cs="Times New Roman"/>
          <w:sz w:val="24"/>
          <w:szCs w:val="24"/>
        </w:rPr>
        <w:t xml:space="preserve">The integration of Information and Communication Technology (ICT) into higher education has become indispensable for enhancing teaching quality, promoting active learning, and improving research output in the 21st century. ICT tools such as Geographic Information Systems (GIS), Building Information Modelling (BIM), project management software, and property valuation applications have transformed professional practice in the built-environment disciplines, including Estate Management. Consequently, lecturers in Estate Management departments are expected to possess strong ICT competencies to effectively prepare students for a technologically driven real estate industry (Adebayo &amp; Musa, 2021; </w:t>
      </w:r>
      <w:proofErr w:type="spellStart"/>
      <w:r w:rsidRPr="00A339D8">
        <w:rPr>
          <w:rFonts w:ascii="Times New Roman" w:hAnsi="Times New Roman" w:cs="Times New Roman"/>
          <w:sz w:val="24"/>
          <w:szCs w:val="24"/>
        </w:rPr>
        <w:t>Okafor</w:t>
      </w:r>
      <w:proofErr w:type="spellEnd"/>
      <w:r w:rsidRPr="00A339D8">
        <w:rPr>
          <w:rFonts w:ascii="Times New Roman" w:hAnsi="Times New Roman" w:cs="Times New Roman"/>
          <w:sz w:val="24"/>
          <w:szCs w:val="24"/>
        </w:rPr>
        <w:t>, 2023). As universities globally shift toward digital pedagogy and automated professional tools, the need for continuous ICT skill development</w:t>
      </w:r>
      <w:r w:rsidR="007D379B">
        <w:rPr>
          <w:rFonts w:ascii="Times New Roman" w:hAnsi="Times New Roman" w:cs="Times New Roman"/>
          <w:sz w:val="24"/>
          <w:szCs w:val="24"/>
        </w:rPr>
        <w:t xml:space="preserve"> among academic staff has become even more critical (UNESCO, 2022). </w:t>
      </w:r>
    </w:p>
    <w:p w:rsidR="00A339D8" w:rsidRDefault="00A339D8" w:rsidP="00A339D8">
      <w:pPr>
        <w:spacing w:line="360" w:lineRule="auto"/>
        <w:jc w:val="both"/>
        <w:rPr>
          <w:rFonts w:ascii="Times New Roman" w:hAnsi="Times New Roman" w:cs="Times New Roman"/>
          <w:sz w:val="24"/>
          <w:szCs w:val="24"/>
        </w:rPr>
      </w:pPr>
      <w:r w:rsidRPr="00A339D8">
        <w:rPr>
          <w:rFonts w:ascii="Times New Roman" w:hAnsi="Times New Roman" w:cs="Times New Roman"/>
          <w:sz w:val="24"/>
          <w:szCs w:val="24"/>
        </w:rPr>
        <w:t>In Nigeria, the adoption of ICT in tertiary institutions has grown, but disparities remain in accessibility, digital literacy, and usage capacity among lecturers across departments and institutions (</w:t>
      </w:r>
      <w:proofErr w:type="spellStart"/>
      <w:r w:rsidRPr="00A339D8">
        <w:rPr>
          <w:rFonts w:ascii="Times New Roman" w:hAnsi="Times New Roman" w:cs="Times New Roman"/>
          <w:sz w:val="24"/>
          <w:szCs w:val="24"/>
        </w:rPr>
        <w:t>Nwosu</w:t>
      </w:r>
      <w:proofErr w:type="spellEnd"/>
      <w:r w:rsidRPr="00A339D8">
        <w:rPr>
          <w:rFonts w:ascii="Times New Roman" w:hAnsi="Times New Roman" w:cs="Times New Roman"/>
          <w:sz w:val="24"/>
          <w:szCs w:val="24"/>
        </w:rPr>
        <w:t xml:space="preserve"> &amp; </w:t>
      </w:r>
      <w:proofErr w:type="spellStart"/>
      <w:r w:rsidRPr="00A339D8">
        <w:rPr>
          <w:rFonts w:ascii="Times New Roman" w:hAnsi="Times New Roman" w:cs="Times New Roman"/>
          <w:sz w:val="24"/>
          <w:szCs w:val="24"/>
        </w:rPr>
        <w:t>Abdulrahman</w:t>
      </w:r>
      <w:proofErr w:type="spellEnd"/>
      <w:r w:rsidRPr="00A339D8">
        <w:rPr>
          <w:rFonts w:ascii="Times New Roman" w:hAnsi="Times New Roman" w:cs="Times New Roman"/>
          <w:sz w:val="24"/>
          <w:szCs w:val="24"/>
        </w:rPr>
        <w:t>, 2020; Adigun et al., 2024). Estate Management as a discipline requires specialized digital tools for valuation, land information processing, property development analysis, and facility management. However, empirical evidence suggests that the use of these advanced tools in Nigerian higher institutions is still limited, often due to inadequate training, infrastructural constraints, and inconsistent institutional ICT policies (</w:t>
      </w:r>
      <w:proofErr w:type="spellStart"/>
      <w:r w:rsidRPr="00A339D8">
        <w:rPr>
          <w:rFonts w:ascii="Times New Roman" w:hAnsi="Times New Roman" w:cs="Times New Roman"/>
          <w:sz w:val="24"/>
          <w:szCs w:val="24"/>
        </w:rPr>
        <w:t>Owolabi</w:t>
      </w:r>
      <w:proofErr w:type="spellEnd"/>
      <w:r w:rsidRPr="00A339D8">
        <w:rPr>
          <w:rFonts w:ascii="Times New Roman" w:hAnsi="Times New Roman" w:cs="Times New Roman"/>
          <w:sz w:val="24"/>
          <w:szCs w:val="24"/>
        </w:rPr>
        <w:t xml:space="preserve"> &amp; </w:t>
      </w:r>
      <w:proofErr w:type="spellStart"/>
      <w:r w:rsidRPr="00A339D8">
        <w:rPr>
          <w:rFonts w:ascii="Times New Roman" w:hAnsi="Times New Roman" w:cs="Times New Roman"/>
          <w:sz w:val="24"/>
          <w:szCs w:val="24"/>
        </w:rPr>
        <w:t>Fatokun</w:t>
      </w:r>
      <w:proofErr w:type="spellEnd"/>
      <w:r w:rsidRPr="00A339D8">
        <w:rPr>
          <w:rFonts w:ascii="Times New Roman" w:hAnsi="Times New Roman" w:cs="Times New Roman"/>
          <w:sz w:val="24"/>
          <w:szCs w:val="24"/>
        </w:rPr>
        <w:t>, 2021). These limitations can affect the quality of teaching, reduce students’ exposure to industry-standard applications, and</w:t>
      </w:r>
      <w:r>
        <w:rPr>
          <w:rFonts w:ascii="Times New Roman" w:hAnsi="Times New Roman" w:cs="Times New Roman"/>
          <w:sz w:val="24"/>
          <w:szCs w:val="24"/>
        </w:rPr>
        <w:t xml:space="preserve"> hinder research productivity. </w:t>
      </w:r>
      <w:r w:rsidRPr="00A339D8">
        <w:rPr>
          <w:rFonts w:ascii="Times New Roman" w:hAnsi="Times New Roman" w:cs="Times New Roman"/>
          <w:sz w:val="24"/>
          <w:szCs w:val="24"/>
        </w:rPr>
        <w:t xml:space="preserve">Despite the growing relevance of ICT in Estate Management education, there is limited research focusing specifically on the ICT competencies of Estate Management lecturers in public tertiary institutions in </w:t>
      </w:r>
      <w:proofErr w:type="spellStart"/>
      <w:r w:rsidRPr="00A339D8">
        <w:rPr>
          <w:rFonts w:ascii="Times New Roman" w:hAnsi="Times New Roman" w:cs="Times New Roman"/>
          <w:sz w:val="24"/>
          <w:szCs w:val="24"/>
        </w:rPr>
        <w:t>Minna</w:t>
      </w:r>
      <w:proofErr w:type="spellEnd"/>
      <w:r w:rsidRPr="00A339D8">
        <w:rPr>
          <w:rFonts w:ascii="Times New Roman" w:hAnsi="Times New Roman" w:cs="Times New Roman"/>
          <w:sz w:val="24"/>
          <w:szCs w:val="24"/>
        </w:rPr>
        <w:t xml:space="preserve">, Nigeria. While studies have assessed ICT adoption in Nigerian universities, few have examined lecturers’ proficiency in discipline-specific tools such as GIS, BIM, AutoCAD, project management software, and property valuation software (Usman &amp; </w:t>
      </w:r>
      <w:proofErr w:type="spellStart"/>
      <w:r w:rsidRPr="00A339D8">
        <w:rPr>
          <w:rFonts w:ascii="Times New Roman" w:hAnsi="Times New Roman" w:cs="Times New Roman"/>
          <w:sz w:val="24"/>
          <w:szCs w:val="24"/>
        </w:rPr>
        <w:t>Sule</w:t>
      </w:r>
      <w:proofErr w:type="spellEnd"/>
      <w:r w:rsidRPr="00A339D8">
        <w:rPr>
          <w:rFonts w:ascii="Times New Roman" w:hAnsi="Times New Roman" w:cs="Times New Roman"/>
          <w:sz w:val="24"/>
          <w:szCs w:val="24"/>
        </w:rPr>
        <w:t xml:space="preserve">, 2022). </w:t>
      </w:r>
    </w:p>
    <w:p w:rsidR="00A339D8" w:rsidRDefault="00A339D8" w:rsidP="00A339D8">
      <w:pPr>
        <w:spacing w:line="360" w:lineRule="auto"/>
        <w:jc w:val="both"/>
        <w:rPr>
          <w:rFonts w:ascii="Times New Roman" w:hAnsi="Times New Roman" w:cs="Times New Roman"/>
          <w:sz w:val="24"/>
          <w:szCs w:val="24"/>
        </w:rPr>
      </w:pPr>
      <w:r w:rsidRPr="00A339D8">
        <w:rPr>
          <w:rFonts w:ascii="Times New Roman" w:hAnsi="Times New Roman" w:cs="Times New Roman"/>
          <w:sz w:val="24"/>
          <w:szCs w:val="24"/>
        </w:rPr>
        <w:t>This gap is particularly concerning because lecturers’ level of digital competence significantly influences curriculum delivery and students’ readiness for professional practice in the real estate s</w:t>
      </w:r>
      <w:r>
        <w:rPr>
          <w:rFonts w:ascii="Times New Roman" w:hAnsi="Times New Roman" w:cs="Times New Roman"/>
          <w:sz w:val="24"/>
          <w:szCs w:val="24"/>
        </w:rPr>
        <w:t>ector (</w:t>
      </w:r>
      <w:proofErr w:type="spellStart"/>
      <w:r>
        <w:rPr>
          <w:rFonts w:ascii="Times New Roman" w:hAnsi="Times New Roman" w:cs="Times New Roman"/>
          <w:sz w:val="24"/>
          <w:szCs w:val="24"/>
        </w:rPr>
        <w:t>Olaleye</w:t>
      </w:r>
      <w:proofErr w:type="spellEnd"/>
      <w:r>
        <w:rPr>
          <w:rFonts w:ascii="Times New Roman" w:hAnsi="Times New Roman" w:cs="Times New Roman"/>
          <w:sz w:val="24"/>
          <w:szCs w:val="24"/>
        </w:rPr>
        <w:t xml:space="preserve"> &amp; Hamza, 2023). </w:t>
      </w:r>
      <w:r w:rsidRPr="00A339D8">
        <w:rPr>
          <w:rFonts w:ascii="Times New Roman" w:hAnsi="Times New Roman" w:cs="Times New Roman"/>
          <w:sz w:val="24"/>
          <w:szCs w:val="24"/>
        </w:rPr>
        <w:t xml:space="preserve">Therefore, this study investigates ICT skills among Estate </w:t>
      </w:r>
      <w:r w:rsidRPr="00A339D8">
        <w:rPr>
          <w:rFonts w:ascii="Times New Roman" w:hAnsi="Times New Roman" w:cs="Times New Roman"/>
          <w:sz w:val="24"/>
          <w:szCs w:val="24"/>
        </w:rPr>
        <w:lastRenderedPageBreak/>
        <w:t>Management lecturers</w:t>
      </w:r>
      <w:r w:rsidR="009C5F93">
        <w:rPr>
          <w:rFonts w:ascii="Times New Roman" w:hAnsi="Times New Roman" w:cs="Times New Roman"/>
          <w:sz w:val="24"/>
          <w:szCs w:val="24"/>
        </w:rPr>
        <w:t xml:space="preserve"> in FUT</w:t>
      </w:r>
      <w:r w:rsidRPr="00A339D8">
        <w:rPr>
          <w:rFonts w:ascii="Times New Roman" w:hAnsi="Times New Roman" w:cs="Times New Roman"/>
          <w:sz w:val="24"/>
          <w:szCs w:val="24"/>
        </w:rPr>
        <w:t xml:space="preserve"> </w:t>
      </w:r>
      <w:proofErr w:type="spellStart"/>
      <w:r w:rsidRPr="00A339D8">
        <w:rPr>
          <w:rFonts w:ascii="Times New Roman" w:hAnsi="Times New Roman" w:cs="Times New Roman"/>
          <w:sz w:val="24"/>
          <w:szCs w:val="24"/>
        </w:rPr>
        <w:t>Minna</w:t>
      </w:r>
      <w:proofErr w:type="spellEnd"/>
      <w:r w:rsidRPr="00A339D8">
        <w:rPr>
          <w:rFonts w:ascii="Times New Roman" w:hAnsi="Times New Roman" w:cs="Times New Roman"/>
          <w:sz w:val="24"/>
          <w:szCs w:val="24"/>
        </w:rPr>
        <w:t>, Nigeria. The aim is to determine their proficien</w:t>
      </w:r>
      <w:r w:rsidR="00AE5348">
        <w:rPr>
          <w:rFonts w:ascii="Times New Roman" w:hAnsi="Times New Roman" w:cs="Times New Roman"/>
          <w:sz w:val="24"/>
          <w:szCs w:val="24"/>
        </w:rPr>
        <w:t xml:space="preserve">cy levels in key digital tools </w:t>
      </w:r>
      <w:r w:rsidRPr="00A339D8">
        <w:rPr>
          <w:rFonts w:ascii="Times New Roman" w:hAnsi="Times New Roman" w:cs="Times New Roman"/>
          <w:sz w:val="24"/>
          <w:szCs w:val="24"/>
        </w:rPr>
        <w:t xml:space="preserve">and highlight the institutional needs necessary to enhance digital integration in Estate Management education. Addressing this problem is essential for improving academic quality, aligning with industry expectations, and promoting innovation </w:t>
      </w:r>
      <w:r>
        <w:rPr>
          <w:rFonts w:ascii="Times New Roman" w:hAnsi="Times New Roman" w:cs="Times New Roman"/>
          <w:sz w:val="24"/>
          <w:szCs w:val="24"/>
        </w:rPr>
        <w:t>in teaching and research within Estate Management departments in Nigeria’s tertiary institutions.</w:t>
      </w:r>
    </w:p>
    <w:p w:rsidR="00A339D8" w:rsidRDefault="00A339D8" w:rsidP="00A339D8">
      <w:pPr>
        <w:spacing w:line="360" w:lineRule="auto"/>
        <w:jc w:val="both"/>
        <w:rPr>
          <w:rFonts w:ascii="Times New Roman" w:hAnsi="Times New Roman" w:cs="Times New Roman"/>
          <w:b/>
          <w:color w:val="000000" w:themeColor="text1"/>
          <w:sz w:val="24"/>
          <w:szCs w:val="24"/>
        </w:rPr>
      </w:pPr>
      <w:r w:rsidRPr="00585E3E">
        <w:rPr>
          <w:rFonts w:ascii="Times New Roman" w:hAnsi="Times New Roman" w:cs="Times New Roman"/>
          <w:b/>
          <w:color w:val="000000" w:themeColor="text1"/>
          <w:sz w:val="24"/>
          <w:szCs w:val="24"/>
        </w:rPr>
        <w:t>STUDY AREA</w:t>
      </w:r>
    </w:p>
    <w:p w:rsidR="00F85BAE" w:rsidRPr="00F85BAE" w:rsidRDefault="00D80AB9" w:rsidP="00F85BAE">
      <w:pPr>
        <w:spacing w:line="360" w:lineRule="auto"/>
        <w:jc w:val="both"/>
        <w:rPr>
          <w:rFonts w:ascii="Times New Roman" w:hAnsi="Times New Roman" w:cs="Times New Roman"/>
          <w:sz w:val="24"/>
          <w:szCs w:val="24"/>
        </w:rPr>
      </w:pPr>
      <w:proofErr w:type="spellStart"/>
      <w:r w:rsidRPr="00F85BAE">
        <w:rPr>
          <w:rFonts w:ascii="Times New Roman" w:hAnsi="Times New Roman" w:cs="Times New Roman"/>
          <w:sz w:val="24"/>
          <w:szCs w:val="24"/>
        </w:rPr>
        <w:t>Minna</w:t>
      </w:r>
      <w:proofErr w:type="spellEnd"/>
      <w:r w:rsidRPr="00F85BAE">
        <w:rPr>
          <w:rFonts w:ascii="Times New Roman" w:hAnsi="Times New Roman" w:cs="Times New Roman"/>
          <w:sz w:val="24"/>
          <w:szCs w:val="24"/>
        </w:rPr>
        <w:t xml:space="preserve"> is the capital city of Niger-state. The capital is home to several tertiary institutions which include, the Federal University of Technology, </w:t>
      </w:r>
      <w:proofErr w:type="spellStart"/>
      <w:r w:rsidRPr="00F85BAE">
        <w:rPr>
          <w:rFonts w:ascii="Times New Roman" w:hAnsi="Times New Roman" w:cs="Times New Roman"/>
          <w:sz w:val="24"/>
          <w:szCs w:val="24"/>
        </w:rPr>
        <w:t>Minn</w:t>
      </w:r>
      <w:r w:rsidR="00F85BAE" w:rsidRPr="00F85BAE">
        <w:rPr>
          <w:rFonts w:ascii="Times New Roman" w:hAnsi="Times New Roman" w:cs="Times New Roman"/>
          <w:sz w:val="24"/>
          <w:szCs w:val="24"/>
        </w:rPr>
        <w:t>a</w:t>
      </w:r>
      <w:proofErr w:type="spellEnd"/>
      <w:r w:rsidR="00F85BAE" w:rsidRPr="00F85BAE">
        <w:rPr>
          <w:rFonts w:ascii="Times New Roman" w:hAnsi="Times New Roman" w:cs="Times New Roman"/>
          <w:sz w:val="24"/>
          <w:szCs w:val="24"/>
        </w:rPr>
        <w:t xml:space="preserve">. FUT </w:t>
      </w:r>
      <w:proofErr w:type="spellStart"/>
      <w:r w:rsidR="00F85BAE" w:rsidRPr="00F85BAE">
        <w:rPr>
          <w:rFonts w:ascii="Times New Roman" w:hAnsi="Times New Roman" w:cs="Times New Roman"/>
          <w:sz w:val="24"/>
          <w:szCs w:val="24"/>
        </w:rPr>
        <w:t>Minna</w:t>
      </w:r>
      <w:proofErr w:type="spellEnd"/>
      <w:r w:rsidR="00F85BAE" w:rsidRPr="00F85BAE">
        <w:rPr>
          <w:rFonts w:ascii="Times New Roman" w:hAnsi="Times New Roman" w:cs="Times New Roman"/>
          <w:sz w:val="24"/>
          <w:szCs w:val="24"/>
        </w:rPr>
        <w:t xml:space="preserve"> was founded</w:t>
      </w:r>
      <w:r w:rsidR="00F85BAE">
        <w:rPr>
          <w:rFonts w:ascii="Times New Roman" w:hAnsi="Times New Roman" w:cs="Times New Roman"/>
          <w:sz w:val="24"/>
          <w:szCs w:val="24"/>
        </w:rPr>
        <w:t xml:space="preserve"> in 1983, and the</w:t>
      </w:r>
      <w:r w:rsidR="00F85BAE" w:rsidRPr="00F85BAE">
        <w:rPr>
          <w:rFonts w:ascii="Times New Roman" w:hAnsi="Times New Roman" w:cs="Times New Roman"/>
          <w:sz w:val="24"/>
          <w:szCs w:val="24"/>
        </w:rPr>
        <w:t xml:space="preserve"> governing bodies are the Council and the Senate. Primarily, the University took over the facilities of the former Government Teachers' College </w:t>
      </w:r>
      <w:proofErr w:type="spellStart"/>
      <w:r w:rsidR="00F85BAE" w:rsidRPr="00F85BAE">
        <w:rPr>
          <w:rFonts w:ascii="Times New Roman" w:hAnsi="Times New Roman" w:cs="Times New Roman"/>
          <w:sz w:val="24"/>
          <w:szCs w:val="24"/>
        </w:rPr>
        <w:t>Bosso</w:t>
      </w:r>
      <w:proofErr w:type="spellEnd"/>
      <w:r w:rsidR="00F85BAE" w:rsidRPr="00F85BAE">
        <w:rPr>
          <w:rFonts w:ascii="Times New Roman" w:hAnsi="Times New Roman" w:cs="Times New Roman"/>
          <w:sz w:val="24"/>
          <w:szCs w:val="24"/>
        </w:rPr>
        <w:t xml:space="preserve">, for use permanently. This site now serves as the </w:t>
      </w:r>
      <w:proofErr w:type="spellStart"/>
      <w:r w:rsidR="00F85BAE" w:rsidRPr="00F85BAE">
        <w:rPr>
          <w:rFonts w:ascii="Times New Roman" w:hAnsi="Times New Roman" w:cs="Times New Roman"/>
          <w:sz w:val="24"/>
          <w:szCs w:val="24"/>
        </w:rPr>
        <w:t>Bosso</w:t>
      </w:r>
      <w:proofErr w:type="spellEnd"/>
      <w:r w:rsidR="00F85BAE" w:rsidRPr="00F85BAE">
        <w:rPr>
          <w:rFonts w:ascii="Times New Roman" w:hAnsi="Times New Roman" w:cs="Times New Roman"/>
          <w:sz w:val="24"/>
          <w:szCs w:val="24"/>
        </w:rPr>
        <w:t xml:space="preserve"> Campus of the University. The main campus </w:t>
      </w:r>
      <w:proofErr w:type="spellStart"/>
      <w:r w:rsidR="00F85BAE" w:rsidRPr="00F85BAE">
        <w:rPr>
          <w:rFonts w:ascii="Times New Roman" w:hAnsi="Times New Roman" w:cs="Times New Roman"/>
          <w:bCs/>
          <w:iCs/>
          <w:sz w:val="24"/>
          <w:szCs w:val="24"/>
        </w:rPr>
        <w:t>Gidan</w:t>
      </w:r>
      <w:proofErr w:type="spellEnd"/>
      <w:r w:rsidR="00F85BAE" w:rsidRPr="00F85BAE">
        <w:rPr>
          <w:rFonts w:ascii="Times New Roman" w:hAnsi="Times New Roman" w:cs="Times New Roman"/>
          <w:bCs/>
          <w:iCs/>
          <w:sz w:val="24"/>
          <w:szCs w:val="24"/>
        </w:rPr>
        <w:t xml:space="preserve"> </w:t>
      </w:r>
      <w:proofErr w:type="spellStart"/>
      <w:r w:rsidR="00F85BAE" w:rsidRPr="00F85BAE">
        <w:rPr>
          <w:rFonts w:ascii="Times New Roman" w:hAnsi="Times New Roman" w:cs="Times New Roman"/>
          <w:bCs/>
          <w:iCs/>
          <w:sz w:val="24"/>
          <w:szCs w:val="24"/>
        </w:rPr>
        <w:t>Kwano</w:t>
      </w:r>
      <w:proofErr w:type="spellEnd"/>
      <w:r w:rsidR="00F85BAE" w:rsidRPr="00F85BAE">
        <w:rPr>
          <w:rFonts w:ascii="Times New Roman" w:hAnsi="Times New Roman" w:cs="Times New Roman"/>
          <w:sz w:val="24"/>
          <w:szCs w:val="24"/>
        </w:rPr>
        <w:t> which is situated on 10,650 hectares of land is located along the </w:t>
      </w:r>
      <w:proofErr w:type="spellStart"/>
      <w:r w:rsidR="00F85BAE">
        <w:rPr>
          <w:rFonts w:ascii="Times New Roman" w:hAnsi="Times New Roman" w:cs="Times New Roman"/>
          <w:sz w:val="24"/>
          <w:szCs w:val="24"/>
        </w:rPr>
        <w:t>Minna</w:t>
      </w:r>
      <w:proofErr w:type="spellEnd"/>
      <w:r w:rsidR="00F85BAE">
        <w:rPr>
          <w:rFonts w:ascii="Times New Roman" w:hAnsi="Times New Roman" w:cs="Times New Roman"/>
          <w:sz w:val="24"/>
          <w:szCs w:val="24"/>
        </w:rPr>
        <w:t xml:space="preserve"> - </w:t>
      </w:r>
      <w:proofErr w:type="spellStart"/>
      <w:r w:rsidR="00F85BAE">
        <w:rPr>
          <w:rFonts w:ascii="Times New Roman" w:hAnsi="Times New Roman" w:cs="Times New Roman"/>
          <w:sz w:val="24"/>
          <w:szCs w:val="24"/>
        </w:rPr>
        <w:t>Kataeregi</w:t>
      </w:r>
      <w:proofErr w:type="spellEnd"/>
      <w:r w:rsidR="00F85BAE">
        <w:rPr>
          <w:rFonts w:ascii="Times New Roman" w:hAnsi="Times New Roman" w:cs="Times New Roman"/>
          <w:sz w:val="24"/>
          <w:szCs w:val="24"/>
        </w:rPr>
        <w:t xml:space="preserve"> - </w:t>
      </w:r>
      <w:proofErr w:type="spellStart"/>
      <w:r w:rsidR="00F85BAE">
        <w:rPr>
          <w:rFonts w:ascii="Times New Roman" w:hAnsi="Times New Roman" w:cs="Times New Roman"/>
          <w:sz w:val="24"/>
          <w:szCs w:val="24"/>
        </w:rPr>
        <w:t>Bida</w:t>
      </w:r>
      <w:proofErr w:type="spellEnd"/>
      <w:r w:rsidR="00F85BAE">
        <w:rPr>
          <w:rFonts w:ascii="Times New Roman" w:hAnsi="Times New Roman" w:cs="Times New Roman"/>
          <w:sz w:val="24"/>
          <w:szCs w:val="24"/>
        </w:rPr>
        <w:t> Road.</w:t>
      </w:r>
    </w:p>
    <w:p w:rsidR="00F85BAE" w:rsidRPr="00F85BAE" w:rsidRDefault="00F85BAE" w:rsidP="00F85BAE">
      <w:pPr>
        <w:spacing w:line="360" w:lineRule="auto"/>
        <w:jc w:val="both"/>
        <w:rPr>
          <w:rFonts w:ascii="Times New Roman" w:hAnsi="Times New Roman" w:cs="Times New Roman"/>
          <w:sz w:val="24"/>
          <w:szCs w:val="24"/>
        </w:rPr>
      </w:pPr>
      <w:r w:rsidRPr="00F85BAE">
        <w:rPr>
          <w:rFonts w:ascii="Times New Roman" w:hAnsi="Times New Roman" w:cs="Times New Roman"/>
          <w:sz w:val="24"/>
          <w:szCs w:val="24"/>
        </w:rPr>
        <w:t>As of 2018, the university is home to 10 schools (faculties), namely; School of Agriculture and Agriculture Technology, School of Electrical Engineering and Technology, School of Infrastructure, Process Engineering and Technology, School of Innovative Technology. Formerly, School of Entrepreneurship and Management Technology, School of Environmental Technology, School of Life Sciences, School of Physical Sciences, School of Information and Communication Technology, School of Sc</w:t>
      </w:r>
      <w:r w:rsidR="00972A76">
        <w:rPr>
          <w:rFonts w:ascii="Times New Roman" w:hAnsi="Times New Roman" w:cs="Times New Roman"/>
          <w:sz w:val="24"/>
          <w:szCs w:val="24"/>
        </w:rPr>
        <w:t xml:space="preserve">ience and Technology Education and </w:t>
      </w:r>
      <w:r w:rsidRPr="00F85BAE">
        <w:rPr>
          <w:rFonts w:ascii="Times New Roman" w:hAnsi="Times New Roman" w:cs="Times New Roman"/>
          <w:sz w:val="24"/>
          <w:szCs w:val="24"/>
        </w:rPr>
        <w:t xml:space="preserve">School of Post </w:t>
      </w:r>
      <w:r w:rsidR="00972A76">
        <w:rPr>
          <w:rFonts w:ascii="Times New Roman" w:hAnsi="Times New Roman" w:cs="Times New Roman"/>
          <w:sz w:val="24"/>
          <w:szCs w:val="24"/>
        </w:rPr>
        <w:t>Graduate Studies.</w:t>
      </w:r>
    </w:p>
    <w:p w:rsidR="00F85BAE" w:rsidRPr="00F85BAE" w:rsidRDefault="00F85BAE" w:rsidP="00F85BAE">
      <w:pPr>
        <w:spacing w:line="360" w:lineRule="auto"/>
        <w:jc w:val="both"/>
        <w:rPr>
          <w:rFonts w:ascii="Times New Roman" w:hAnsi="Times New Roman" w:cs="Times New Roman"/>
          <w:sz w:val="24"/>
          <w:szCs w:val="24"/>
        </w:rPr>
      </w:pPr>
      <w:r w:rsidRPr="00F85BAE">
        <w:rPr>
          <w:rFonts w:ascii="Times New Roman" w:hAnsi="Times New Roman" w:cs="Times New Roman"/>
          <w:sz w:val="24"/>
          <w:szCs w:val="24"/>
        </w:rPr>
        <w:t xml:space="preserve">The School of Environmental Technologies (SET) was established in 1986 to address environmental challenges through education and research. Initially started with the Department of Architecture, the School has grown to include six departments, offering </w:t>
      </w:r>
      <w:r w:rsidR="00972A76" w:rsidRPr="00F85BAE">
        <w:rPr>
          <w:rFonts w:ascii="Times New Roman" w:hAnsi="Times New Roman" w:cs="Times New Roman"/>
          <w:sz w:val="24"/>
          <w:szCs w:val="24"/>
        </w:rPr>
        <w:t>bachelors</w:t>
      </w:r>
      <w:r w:rsidR="00972A76">
        <w:rPr>
          <w:rFonts w:ascii="Times New Roman" w:hAnsi="Times New Roman" w:cs="Times New Roman"/>
          <w:sz w:val="24"/>
          <w:szCs w:val="24"/>
        </w:rPr>
        <w:t>, masters</w:t>
      </w:r>
      <w:r w:rsidRPr="00F85BAE">
        <w:rPr>
          <w:rFonts w:ascii="Times New Roman" w:hAnsi="Times New Roman" w:cs="Times New Roman"/>
          <w:sz w:val="24"/>
          <w:szCs w:val="24"/>
        </w:rPr>
        <w:t xml:space="preserve"> and PhD degrees. The departments include; Architecture, Building Technology, Estate Management and Valuation, Quantity Surveying, Surveying and </w:t>
      </w:r>
      <w:proofErr w:type="spellStart"/>
      <w:r w:rsidRPr="00F85BAE">
        <w:rPr>
          <w:rFonts w:ascii="Times New Roman" w:hAnsi="Times New Roman" w:cs="Times New Roman"/>
          <w:sz w:val="24"/>
          <w:szCs w:val="24"/>
        </w:rPr>
        <w:t>Geoinformatics</w:t>
      </w:r>
      <w:proofErr w:type="spellEnd"/>
      <w:r w:rsidRPr="00F85BAE">
        <w:rPr>
          <w:rFonts w:ascii="Times New Roman" w:hAnsi="Times New Roman" w:cs="Times New Roman"/>
          <w:sz w:val="24"/>
          <w:szCs w:val="24"/>
        </w:rPr>
        <w:t>, Urban and Regional Planning.  The Department of Estate Management and Valuation, under SET was established in 1990 and is one of the key departments offering specialized training in real estate and property management. The department prepares students for careers in estate surveying, valuation, property development, and facility management.</w:t>
      </w:r>
      <w:r>
        <w:rPr>
          <w:rFonts w:ascii="Times New Roman" w:hAnsi="Times New Roman" w:cs="Times New Roman"/>
          <w:sz w:val="24"/>
          <w:szCs w:val="24"/>
        </w:rPr>
        <w:t xml:space="preserve"> </w:t>
      </w:r>
      <w:r w:rsidRPr="00F85BAE">
        <w:rPr>
          <w:rFonts w:ascii="Times New Roman" w:hAnsi="Times New Roman" w:cs="Times New Roman"/>
          <w:sz w:val="24"/>
          <w:szCs w:val="24"/>
        </w:rPr>
        <w:t xml:space="preserve">The department has access to SET’s modern laboratories, GIS </w:t>
      </w:r>
      <w:proofErr w:type="spellStart"/>
      <w:r w:rsidRPr="00F85BAE">
        <w:rPr>
          <w:rFonts w:ascii="Times New Roman" w:hAnsi="Times New Roman" w:cs="Times New Roman"/>
          <w:sz w:val="24"/>
          <w:szCs w:val="24"/>
        </w:rPr>
        <w:t>softwares</w:t>
      </w:r>
      <w:proofErr w:type="spellEnd"/>
      <w:r w:rsidRPr="00F85BAE">
        <w:rPr>
          <w:rFonts w:ascii="Times New Roman" w:hAnsi="Times New Roman" w:cs="Times New Roman"/>
          <w:sz w:val="24"/>
          <w:szCs w:val="24"/>
        </w:rPr>
        <w:t xml:space="preserve"> for land surveying, and practical training facilities to simulate real world estate scenario</w:t>
      </w:r>
      <w:r w:rsidR="009C5F93">
        <w:rPr>
          <w:rFonts w:ascii="Times New Roman" w:hAnsi="Times New Roman" w:cs="Times New Roman"/>
          <w:sz w:val="24"/>
          <w:szCs w:val="24"/>
        </w:rPr>
        <w:t>.</w:t>
      </w:r>
    </w:p>
    <w:p w:rsidR="003153A6" w:rsidRDefault="003153A6" w:rsidP="00A339D8">
      <w:pPr>
        <w:spacing w:after="0" w:line="360" w:lineRule="auto"/>
        <w:jc w:val="both"/>
        <w:rPr>
          <w:rFonts w:ascii="Times New Roman" w:hAnsi="Times New Roman" w:cs="Times New Roman"/>
          <w:b/>
          <w:color w:val="000000" w:themeColor="text1"/>
          <w:sz w:val="24"/>
          <w:szCs w:val="24"/>
        </w:rPr>
      </w:pPr>
    </w:p>
    <w:p w:rsidR="00A339D8" w:rsidRDefault="00A339D8" w:rsidP="00A339D8">
      <w:pPr>
        <w:spacing w:after="0" w:line="360" w:lineRule="auto"/>
        <w:jc w:val="both"/>
        <w:rPr>
          <w:rFonts w:ascii="Times New Roman" w:hAnsi="Times New Roman" w:cs="Times New Roman"/>
          <w:b/>
          <w:color w:val="000000" w:themeColor="text1"/>
          <w:sz w:val="24"/>
          <w:szCs w:val="24"/>
        </w:rPr>
      </w:pPr>
      <w:r w:rsidRPr="00DB76FC">
        <w:rPr>
          <w:rFonts w:ascii="Times New Roman" w:hAnsi="Times New Roman" w:cs="Times New Roman"/>
          <w:b/>
          <w:color w:val="000000" w:themeColor="text1"/>
          <w:sz w:val="24"/>
          <w:szCs w:val="24"/>
        </w:rPr>
        <w:lastRenderedPageBreak/>
        <w:t>METHODOLOGY</w:t>
      </w:r>
    </w:p>
    <w:p w:rsidR="00626160" w:rsidRPr="00340503" w:rsidRDefault="00626160" w:rsidP="00A339D8">
      <w:pPr>
        <w:spacing w:after="0" w:line="360" w:lineRule="auto"/>
        <w:jc w:val="both"/>
        <w:rPr>
          <w:rFonts w:ascii="Times New Roman" w:hAnsi="Times New Roman" w:cs="Times New Roman"/>
          <w:b/>
          <w:color w:val="000000" w:themeColor="text1"/>
          <w:sz w:val="24"/>
          <w:szCs w:val="24"/>
        </w:rPr>
      </w:pPr>
      <w:r w:rsidRPr="00340503">
        <w:rPr>
          <w:rFonts w:ascii="Times New Roman" w:hAnsi="Times New Roman" w:cs="Times New Roman"/>
          <w:sz w:val="24"/>
          <w:szCs w:val="24"/>
        </w:rPr>
        <w:t xml:space="preserve">The target population for this study comprises </w:t>
      </w:r>
      <w:r w:rsidR="00484EEF">
        <w:rPr>
          <w:rFonts w:ascii="Times New Roman" w:hAnsi="Times New Roman" w:cs="Times New Roman"/>
          <w:sz w:val="24"/>
          <w:szCs w:val="24"/>
        </w:rPr>
        <w:t xml:space="preserve">of </w:t>
      </w:r>
      <w:r w:rsidRPr="00340503">
        <w:rPr>
          <w:rFonts w:ascii="Times New Roman" w:hAnsi="Times New Roman" w:cs="Times New Roman"/>
          <w:sz w:val="24"/>
          <w:szCs w:val="24"/>
        </w:rPr>
        <w:t>all academic staff who are currently employed and actively engaged in teaching, research, and related academic</w:t>
      </w:r>
      <w:r w:rsidR="00340503">
        <w:rPr>
          <w:rFonts w:ascii="Times New Roman" w:hAnsi="Times New Roman" w:cs="Times New Roman"/>
          <w:sz w:val="24"/>
          <w:szCs w:val="24"/>
        </w:rPr>
        <w:t xml:space="preserve"> duties in</w:t>
      </w:r>
      <w:r w:rsidRPr="00340503">
        <w:rPr>
          <w:rFonts w:ascii="Times New Roman" w:hAnsi="Times New Roman" w:cs="Times New Roman"/>
          <w:sz w:val="24"/>
          <w:szCs w:val="24"/>
        </w:rPr>
        <w:t xml:space="preserve"> the Department of Estate Management and Valuation at the Federal University of Technology, </w:t>
      </w:r>
      <w:proofErr w:type="spellStart"/>
      <w:r w:rsidRPr="00340503">
        <w:rPr>
          <w:rFonts w:ascii="Times New Roman" w:hAnsi="Times New Roman" w:cs="Times New Roman"/>
          <w:sz w:val="24"/>
          <w:szCs w:val="24"/>
        </w:rPr>
        <w:t>Minna</w:t>
      </w:r>
      <w:proofErr w:type="spellEnd"/>
      <w:r w:rsidRPr="00340503">
        <w:rPr>
          <w:rFonts w:ascii="Times New Roman" w:hAnsi="Times New Roman" w:cs="Times New Roman"/>
          <w:sz w:val="24"/>
          <w:szCs w:val="24"/>
        </w:rPr>
        <w:t>, Niger State. Acc</w:t>
      </w:r>
      <w:r w:rsidR="00942F98" w:rsidRPr="00340503">
        <w:rPr>
          <w:rFonts w:ascii="Times New Roman" w:hAnsi="Times New Roman" w:cs="Times New Roman"/>
          <w:sz w:val="24"/>
          <w:szCs w:val="24"/>
        </w:rPr>
        <w:t xml:space="preserve">ording to departmental records at the time of data collection, </w:t>
      </w:r>
      <w:r w:rsidRPr="00340503">
        <w:rPr>
          <w:rFonts w:ascii="Times New Roman" w:hAnsi="Times New Roman" w:cs="Times New Roman"/>
          <w:sz w:val="24"/>
          <w:szCs w:val="24"/>
        </w:rPr>
        <w:t>the total number of</w:t>
      </w:r>
      <w:r w:rsidR="00942F98" w:rsidRPr="00340503">
        <w:rPr>
          <w:rFonts w:ascii="Times New Roman" w:hAnsi="Times New Roman" w:cs="Times New Roman"/>
          <w:sz w:val="24"/>
          <w:szCs w:val="24"/>
        </w:rPr>
        <w:t xml:space="preserve"> academic staff</w:t>
      </w:r>
      <w:r w:rsidR="00DE0748" w:rsidRPr="00340503">
        <w:rPr>
          <w:rFonts w:ascii="Times New Roman" w:hAnsi="Times New Roman" w:cs="Times New Roman"/>
          <w:sz w:val="24"/>
          <w:szCs w:val="24"/>
        </w:rPr>
        <w:t xml:space="preserve"> is 22, of which 19</w:t>
      </w:r>
      <w:r w:rsidRPr="00340503">
        <w:rPr>
          <w:rFonts w:ascii="Times New Roman" w:hAnsi="Times New Roman" w:cs="Times New Roman"/>
          <w:sz w:val="24"/>
          <w:szCs w:val="24"/>
        </w:rPr>
        <w:t xml:space="preserve"> are currently present and actively engaged in teaching </w:t>
      </w:r>
      <w:r w:rsidR="00DE0748" w:rsidRPr="00340503">
        <w:rPr>
          <w:rFonts w:ascii="Times New Roman" w:hAnsi="Times New Roman" w:cs="Times New Roman"/>
          <w:sz w:val="24"/>
          <w:szCs w:val="24"/>
        </w:rPr>
        <w:t>and research. These 19</w:t>
      </w:r>
      <w:r w:rsidR="00942F98" w:rsidRPr="00340503">
        <w:rPr>
          <w:rFonts w:ascii="Times New Roman" w:hAnsi="Times New Roman" w:cs="Times New Roman"/>
          <w:sz w:val="24"/>
          <w:szCs w:val="24"/>
        </w:rPr>
        <w:t xml:space="preserve"> academic staff</w:t>
      </w:r>
      <w:r w:rsidRPr="00340503">
        <w:rPr>
          <w:rFonts w:ascii="Times New Roman" w:hAnsi="Times New Roman" w:cs="Times New Roman"/>
          <w:sz w:val="24"/>
          <w:szCs w:val="24"/>
        </w:rPr>
        <w:t xml:space="preserve"> constitute the accessible population and form the sample for this study. Data were collecte</w:t>
      </w:r>
      <w:r w:rsidR="00942F98" w:rsidRPr="00340503">
        <w:rPr>
          <w:rFonts w:ascii="Times New Roman" w:hAnsi="Times New Roman" w:cs="Times New Roman"/>
          <w:sz w:val="24"/>
          <w:szCs w:val="24"/>
        </w:rPr>
        <w:t xml:space="preserve">d on demographic characteristics and proficiency on ICT tools from </w:t>
      </w:r>
      <w:r w:rsidR="00DE0748" w:rsidRPr="00340503">
        <w:rPr>
          <w:rFonts w:ascii="Times New Roman" w:hAnsi="Times New Roman" w:cs="Times New Roman"/>
          <w:sz w:val="24"/>
          <w:szCs w:val="24"/>
        </w:rPr>
        <w:t xml:space="preserve">the 19 </w:t>
      </w:r>
      <w:r w:rsidR="00942F98" w:rsidRPr="00340503">
        <w:rPr>
          <w:rFonts w:ascii="Times New Roman" w:hAnsi="Times New Roman" w:cs="Times New Roman"/>
          <w:sz w:val="24"/>
          <w:szCs w:val="24"/>
        </w:rPr>
        <w:t xml:space="preserve">academic staff in the </w:t>
      </w:r>
      <w:r w:rsidR="00484EEF">
        <w:rPr>
          <w:rFonts w:ascii="Times New Roman" w:hAnsi="Times New Roman" w:cs="Times New Roman"/>
          <w:sz w:val="24"/>
          <w:szCs w:val="24"/>
        </w:rPr>
        <w:t>study area.</w:t>
      </w:r>
      <w:r w:rsidR="00942F98" w:rsidRPr="00340503">
        <w:rPr>
          <w:rFonts w:ascii="Times New Roman" w:hAnsi="Times New Roman" w:cs="Times New Roman"/>
          <w:sz w:val="24"/>
          <w:szCs w:val="24"/>
        </w:rPr>
        <w:t xml:space="preserve"> The data collected were analyzed using the frequency distribution tables, mean scores and relative importance index.</w:t>
      </w:r>
    </w:p>
    <w:p w:rsidR="009C5F93" w:rsidRDefault="009C5F93" w:rsidP="00A339D8">
      <w:pPr>
        <w:spacing w:after="0" w:line="240" w:lineRule="auto"/>
        <w:jc w:val="both"/>
        <w:rPr>
          <w:rFonts w:ascii="Times New Roman" w:hAnsi="Times New Roman" w:cs="Times New Roman"/>
          <w:b/>
          <w:color w:val="000000" w:themeColor="text1"/>
          <w:sz w:val="24"/>
          <w:szCs w:val="24"/>
        </w:rPr>
      </w:pPr>
    </w:p>
    <w:p w:rsidR="00A339D8" w:rsidRDefault="00A339D8" w:rsidP="00A339D8">
      <w:pPr>
        <w:spacing w:after="0" w:line="240" w:lineRule="auto"/>
        <w:jc w:val="both"/>
        <w:rPr>
          <w:rFonts w:ascii="Times New Roman" w:hAnsi="Times New Roman" w:cs="Times New Roman"/>
          <w:b/>
          <w:color w:val="000000" w:themeColor="text1"/>
          <w:sz w:val="24"/>
          <w:szCs w:val="24"/>
        </w:rPr>
      </w:pPr>
      <w:r w:rsidRPr="00DB76FC">
        <w:rPr>
          <w:rFonts w:ascii="Times New Roman" w:hAnsi="Times New Roman" w:cs="Times New Roman"/>
          <w:b/>
          <w:color w:val="000000" w:themeColor="text1"/>
          <w:sz w:val="24"/>
          <w:szCs w:val="24"/>
        </w:rPr>
        <w:t>FINDINGS AND DISCUSSION</w:t>
      </w:r>
    </w:p>
    <w:p w:rsidR="00DE0748" w:rsidRDefault="00DE0748" w:rsidP="00A339D8">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Table 1: Q</w:t>
      </w:r>
      <w:r w:rsidRPr="003D149F">
        <w:rPr>
          <w:rFonts w:ascii="Times New Roman" w:hAnsi="Times New Roman" w:cs="Times New Roman"/>
          <w:b/>
          <w:sz w:val="24"/>
          <w:szCs w:val="24"/>
        </w:rPr>
        <w:t>uestionnaires distributed</w:t>
      </w:r>
      <w:r>
        <w:rPr>
          <w:rFonts w:ascii="Times New Roman" w:hAnsi="Times New Roman" w:cs="Times New Roman"/>
          <w:b/>
          <w:sz w:val="24"/>
          <w:szCs w:val="24"/>
        </w:rPr>
        <w:t xml:space="preserve"> and retrieved for the </w:t>
      </w:r>
      <w:r w:rsidRPr="003D149F">
        <w:rPr>
          <w:rFonts w:ascii="Times New Roman" w:hAnsi="Times New Roman" w:cs="Times New Roman"/>
          <w:b/>
          <w:sz w:val="24"/>
          <w:szCs w:val="24"/>
        </w:rPr>
        <w:t>study</w:t>
      </w:r>
    </w:p>
    <w:tbl>
      <w:tblPr>
        <w:tblW w:w="9467" w:type="dxa"/>
        <w:tblInd w:w="91" w:type="dxa"/>
        <w:tblLook w:val="04A0" w:firstRow="1" w:lastRow="0" w:firstColumn="1" w:lastColumn="0" w:noHBand="0" w:noVBand="1"/>
      </w:tblPr>
      <w:tblGrid>
        <w:gridCol w:w="1727"/>
        <w:gridCol w:w="3510"/>
        <w:gridCol w:w="2160"/>
        <w:gridCol w:w="2070"/>
      </w:tblGrid>
      <w:tr w:rsidR="00DE0748" w:rsidRPr="00340503" w:rsidTr="00086C23">
        <w:trPr>
          <w:trHeight w:val="300"/>
        </w:trPr>
        <w:tc>
          <w:tcPr>
            <w:tcW w:w="1727" w:type="dxa"/>
            <w:tcBorders>
              <w:top w:val="single" w:sz="12" w:space="0" w:color="auto"/>
              <w:left w:val="nil"/>
              <w:bottom w:val="single" w:sz="18" w:space="0" w:color="auto"/>
              <w:right w:val="nil"/>
            </w:tcBorders>
            <w:noWrap/>
            <w:vAlign w:val="bottom"/>
          </w:tcPr>
          <w:p w:rsidR="00DE0748" w:rsidRPr="00340503" w:rsidRDefault="00DE0748" w:rsidP="00086C23">
            <w:pPr>
              <w:spacing w:after="0"/>
              <w:rPr>
                <w:rFonts w:ascii="Times New Roman" w:hAnsi="Times New Roman" w:cs="Times New Roman"/>
                <w:sz w:val="24"/>
                <w:szCs w:val="24"/>
              </w:rPr>
            </w:pPr>
          </w:p>
        </w:tc>
        <w:tc>
          <w:tcPr>
            <w:tcW w:w="3510" w:type="dxa"/>
            <w:tcBorders>
              <w:top w:val="single" w:sz="12" w:space="0" w:color="auto"/>
              <w:left w:val="nil"/>
              <w:bottom w:val="single" w:sz="18" w:space="0" w:color="auto"/>
              <w:right w:val="nil"/>
            </w:tcBorders>
            <w:noWrap/>
            <w:vAlign w:val="bottom"/>
          </w:tcPr>
          <w:p w:rsidR="00DE0748" w:rsidRPr="00340503" w:rsidRDefault="00DE0748" w:rsidP="00086C23">
            <w:pPr>
              <w:spacing w:after="0"/>
              <w:rPr>
                <w:rFonts w:ascii="Times New Roman" w:hAnsi="Times New Roman" w:cs="Times New Roman"/>
                <w:sz w:val="24"/>
                <w:szCs w:val="24"/>
              </w:rPr>
            </w:pPr>
            <w:r w:rsidRPr="00340503">
              <w:rPr>
                <w:rFonts w:ascii="Times New Roman" w:hAnsi="Times New Roman" w:cs="Times New Roman"/>
                <w:sz w:val="24"/>
                <w:szCs w:val="24"/>
              </w:rPr>
              <w:t xml:space="preserve">Questionnaire Response </w:t>
            </w:r>
          </w:p>
        </w:tc>
        <w:tc>
          <w:tcPr>
            <w:tcW w:w="2160" w:type="dxa"/>
            <w:tcBorders>
              <w:top w:val="single" w:sz="12" w:space="0" w:color="auto"/>
              <w:left w:val="nil"/>
              <w:bottom w:val="single" w:sz="18" w:space="0" w:color="auto"/>
              <w:right w:val="nil"/>
            </w:tcBorders>
            <w:noWrap/>
            <w:vAlign w:val="bottom"/>
          </w:tcPr>
          <w:p w:rsidR="00DE0748" w:rsidRPr="00340503" w:rsidRDefault="00DE0748" w:rsidP="00086C23">
            <w:pPr>
              <w:spacing w:after="0"/>
              <w:rPr>
                <w:rFonts w:ascii="Times New Roman" w:hAnsi="Times New Roman" w:cs="Times New Roman"/>
                <w:sz w:val="24"/>
                <w:szCs w:val="24"/>
              </w:rPr>
            </w:pPr>
            <w:r w:rsidRPr="00340503">
              <w:rPr>
                <w:rFonts w:ascii="Times New Roman" w:hAnsi="Times New Roman" w:cs="Times New Roman"/>
                <w:sz w:val="24"/>
                <w:szCs w:val="24"/>
              </w:rPr>
              <w:t>Frequency</w:t>
            </w:r>
          </w:p>
        </w:tc>
        <w:tc>
          <w:tcPr>
            <w:tcW w:w="2070" w:type="dxa"/>
            <w:tcBorders>
              <w:top w:val="single" w:sz="12" w:space="0" w:color="auto"/>
              <w:left w:val="nil"/>
              <w:bottom w:val="single" w:sz="18" w:space="0" w:color="auto"/>
              <w:right w:val="nil"/>
            </w:tcBorders>
            <w:noWrap/>
            <w:vAlign w:val="bottom"/>
          </w:tcPr>
          <w:p w:rsidR="00DE0748" w:rsidRPr="00340503" w:rsidRDefault="00DE0748" w:rsidP="00086C23">
            <w:pPr>
              <w:spacing w:after="0"/>
              <w:rPr>
                <w:rFonts w:ascii="Times New Roman" w:hAnsi="Times New Roman" w:cs="Times New Roman"/>
                <w:sz w:val="24"/>
                <w:szCs w:val="24"/>
              </w:rPr>
            </w:pPr>
            <w:r w:rsidRPr="00340503">
              <w:rPr>
                <w:rFonts w:ascii="Times New Roman" w:hAnsi="Times New Roman" w:cs="Times New Roman"/>
                <w:sz w:val="24"/>
                <w:szCs w:val="24"/>
              </w:rPr>
              <w:t>Percentage (%)</w:t>
            </w:r>
          </w:p>
        </w:tc>
      </w:tr>
      <w:tr w:rsidR="00DE0748" w:rsidRPr="00340503" w:rsidTr="00086C23">
        <w:trPr>
          <w:trHeight w:val="300"/>
        </w:trPr>
        <w:tc>
          <w:tcPr>
            <w:tcW w:w="1727" w:type="dxa"/>
            <w:tcBorders>
              <w:top w:val="single" w:sz="18" w:space="0" w:color="auto"/>
              <w:left w:val="nil"/>
              <w:bottom w:val="nil"/>
              <w:right w:val="nil"/>
            </w:tcBorders>
            <w:noWrap/>
            <w:vAlign w:val="bottom"/>
          </w:tcPr>
          <w:p w:rsidR="00DE0748" w:rsidRPr="00340503" w:rsidRDefault="00DE0748" w:rsidP="00086C23">
            <w:pPr>
              <w:spacing w:after="0"/>
              <w:rPr>
                <w:rFonts w:ascii="Times New Roman" w:hAnsi="Times New Roman" w:cs="Times New Roman"/>
                <w:sz w:val="24"/>
                <w:szCs w:val="24"/>
              </w:rPr>
            </w:pPr>
          </w:p>
        </w:tc>
        <w:tc>
          <w:tcPr>
            <w:tcW w:w="3510" w:type="dxa"/>
            <w:tcBorders>
              <w:top w:val="single" w:sz="18" w:space="0" w:color="auto"/>
              <w:left w:val="nil"/>
              <w:bottom w:val="nil"/>
              <w:right w:val="nil"/>
            </w:tcBorders>
            <w:noWrap/>
            <w:vAlign w:val="bottom"/>
          </w:tcPr>
          <w:p w:rsidR="00DE0748" w:rsidRPr="00340503" w:rsidRDefault="00DE0748" w:rsidP="00086C23">
            <w:pPr>
              <w:spacing w:after="0"/>
              <w:rPr>
                <w:rFonts w:ascii="Times New Roman" w:hAnsi="Times New Roman" w:cs="Times New Roman"/>
                <w:sz w:val="24"/>
                <w:szCs w:val="24"/>
              </w:rPr>
            </w:pPr>
            <w:r w:rsidRPr="00340503">
              <w:rPr>
                <w:rFonts w:ascii="Times New Roman" w:hAnsi="Times New Roman" w:cs="Times New Roman"/>
                <w:sz w:val="24"/>
                <w:szCs w:val="24"/>
              </w:rPr>
              <w:t xml:space="preserve">Responded </w:t>
            </w:r>
          </w:p>
        </w:tc>
        <w:tc>
          <w:tcPr>
            <w:tcW w:w="2160" w:type="dxa"/>
            <w:tcBorders>
              <w:top w:val="single" w:sz="18" w:space="0" w:color="auto"/>
              <w:left w:val="nil"/>
              <w:bottom w:val="nil"/>
              <w:right w:val="nil"/>
            </w:tcBorders>
            <w:noWrap/>
            <w:vAlign w:val="bottom"/>
          </w:tcPr>
          <w:p w:rsidR="00DE0748" w:rsidRPr="00340503" w:rsidRDefault="00DE0748" w:rsidP="00086C23">
            <w:pPr>
              <w:spacing w:after="0"/>
              <w:rPr>
                <w:rFonts w:ascii="Times New Roman" w:hAnsi="Times New Roman" w:cs="Times New Roman"/>
                <w:sz w:val="24"/>
                <w:szCs w:val="24"/>
              </w:rPr>
            </w:pPr>
            <w:r w:rsidRPr="00340503">
              <w:rPr>
                <w:rFonts w:ascii="Times New Roman" w:hAnsi="Times New Roman" w:cs="Times New Roman"/>
                <w:sz w:val="24"/>
                <w:szCs w:val="24"/>
              </w:rPr>
              <w:t>17</w:t>
            </w:r>
          </w:p>
        </w:tc>
        <w:tc>
          <w:tcPr>
            <w:tcW w:w="2070" w:type="dxa"/>
            <w:tcBorders>
              <w:top w:val="single" w:sz="18" w:space="0" w:color="auto"/>
              <w:left w:val="nil"/>
              <w:bottom w:val="nil"/>
              <w:right w:val="nil"/>
            </w:tcBorders>
            <w:noWrap/>
            <w:vAlign w:val="bottom"/>
          </w:tcPr>
          <w:p w:rsidR="00DE0748" w:rsidRPr="00340503" w:rsidRDefault="00DE0748" w:rsidP="00086C23">
            <w:pPr>
              <w:spacing w:after="0"/>
              <w:rPr>
                <w:rFonts w:ascii="Times New Roman" w:hAnsi="Times New Roman" w:cs="Times New Roman"/>
                <w:sz w:val="24"/>
                <w:szCs w:val="24"/>
              </w:rPr>
            </w:pPr>
            <w:r w:rsidRPr="00340503">
              <w:rPr>
                <w:rFonts w:ascii="Times New Roman" w:hAnsi="Times New Roman" w:cs="Times New Roman"/>
                <w:sz w:val="24"/>
                <w:szCs w:val="24"/>
              </w:rPr>
              <w:t>89.47%</w:t>
            </w:r>
          </w:p>
        </w:tc>
      </w:tr>
      <w:tr w:rsidR="00DE0748" w:rsidRPr="00340503" w:rsidTr="00086C23">
        <w:trPr>
          <w:trHeight w:val="300"/>
        </w:trPr>
        <w:tc>
          <w:tcPr>
            <w:tcW w:w="1727" w:type="dxa"/>
            <w:tcBorders>
              <w:top w:val="nil"/>
              <w:left w:val="nil"/>
              <w:bottom w:val="nil"/>
              <w:right w:val="nil"/>
            </w:tcBorders>
            <w:noWrap/>
            <w:vAlign w:val="bottom"/>
          </w:tcPr>
          <w:p w:rsidR="00DE0748" w:rsidRPr="00340503" w:rsidRDefault="00DE0748" w:rsidP="00086C23">
            <w:pPr>
              <w:spacing w:after="0"/>
              <w:rPr>
                <w:rFonts w:ascii="Times New Roman" w:hAnsi="Times New Roman" w:cs="Times New Roman"/>
                <w:sz w:val="24"/>
                <w:szCs w:val="24"/>
              </w:rPr>
            </w:pPr>
          </w:p>
        </w:tc>
        <w:tc>
          <w:tcPr>
            <w:tcW w:w="3510" w:type="dxa"/>
            <w:tcBorders>
              <w:top w:val="nil"/>
              <w:left w:val="nil"/>
              <w:bottom w:val="nil"/>
              <w:right w:val="nil"/>
            </w:tcBorders>
            <w:noWrap/>
            <w:vAlign w:val="bottom"/>
          </w:tcPr>
          <w:p w:rsidR="00DE0748" w:rsidRPr="00340503" w:rsidRDefault="00DE0748" w:rsidP="00086C23">
            <w:pPr>
              <w:spacing w:after="0"/>
              <w:rPr>
                <w:rFonts w:ascii="Times New Roman" w:hAnsi="Times New Roman" w:cs="Times New Roman"/>
                <w:sz w:val="24"/>
                <w:szCs w:val="24"/>
              </w:rPr>
            </w:pPr>
            <w:r w:rsidRPr="00340503">
              <w:rPr>
                <w:rFonts w:ascii="Times New Roman" w:hAnsi="Times New Roman" w:cs="Times New Roman"/>
                <w:sz w:val="24"/>
                <w:szCs w:val="24"/>
              </w:rPr>
              <w:t>Non-response</w:t>
            </w:r>
          </w:p>
        </w:tc>
        <w:tc>
          <w:tcPr>
            <w:tcW w:w="2160" w:type="dxa"/>
            <w:tcBorders>
              <w:top w:val="nil"/>
              <w:left w:val="nil"/>
              <w:bottom w:val="nil"/>
              <w:right w:val="nil"/>
            </w:tcBorders>
            <w:noWrap/>
            <w:vAlign w:val="bottom"/>
          </w:tcPr>
          <w:p w:rsidR="00DE0748" w:rsidRPr="00340503" w:rsidRDefault="00DE0748" w:rsidP="00086C23">
            <w:pPr>
              <w:spacing w:after="0"/>
              <w:rPr>
                <w:rFonts w:ascii="Times New Roman" w:hAnsi="Times New Roman" w:cs="Times New Roman"/>
                <w:sz w:val="24"/>
                <w:szCs w:val="24"/>
              </w:rPr>
            </w:pPr>
            <w:r w:rsidRPr="00340503">
              <w:rPr>
                <w:rFonts w:ascii="Times New Roman" w:hAnsi="Times New Roman" w:cs="Times New Roman"/>
                <w:sz w:val="24"/>
                <w:szCs w:val="24"/>
              </w:rPr>
              <w:t>2</w:t>
            </w:r>
          </w:p>
        </w:tc>
        <w:tc>
          <w:tcPr>
            <w:tcW w:w="2070" w:type="dxa"/>
            <w:tcBorders>
              <w:top w:val="nil"/>
              <w:left w:val="nil"/>
              <w:bottom w:val="nil"/>
              <w:right w:val="nil"/>
            </w:tcBorders>
            <w:noWrap/>
            <w:vAlign w:val="bottom"/>
          </w:tcPr>
          <w:p w:rsidR="00DE0748" w:rsidRPr="00340503" w:rsidRDefault="00DE0748" w:rsidP="00086C23">
            <w:pPr>
              <w:spacing w:after="0"/>
              <w:rPr>
                <w:rFonts w:ascii="Times New Roman" w:hAnsi="Times New Roman" w:cs="Times New Roman"/>
                <w:sz w:val="24"/>
                <w:szCs w:val="24"/>
              </w:rPr>
            </w:pPr>
            <w:r w:rsidRPr="00340503">
              <w:rPr>
                <w:rFonts w:ascii="Times New Roman" w:hAnsi="Times New Roman" w:cs="Times New Roman"/>
                <w:sz w:val="24"/>
                <w:szCs w:val="24"/>
              </w:rPr>
              <w:t>10.53%</w:t>
            </w:r>
          </w:p>
        </w:tc>
      </w:tr>
      <w:tr w:rsidR="00DE0748" w:rsidRPr="00340503" w:rsidTr="00086C23">
        <w:trPr>
          <w:trHeight w:val="412"/>
        </w:trPr>
        <w:tc>
          <w:tcPr>
            <w:tcW w:w="1727" w:type="dxa"/>
            <w:tcBorders>
              <w:top w:val="nil"/>
              <w:left w:val="nil"/>
              <w:bottom w:val="single" w:sz="18" w:space="0" w:color="auto"/>
              <w:right w:val="nil"/>
            </w:tcBorders>
            <w:noWrap/>
            <w:vAlign w:val="bottom"/>
          </w:tcPr>
          <w:p w:rsidR="00DE0748" w:rsidRPr="00340503" w:rsidRDefault="00DE0748" w:rsidP="00086C23">
            <w:pPr>
              <w:spacing w:after="0"/>
              <w:rPr>
                <w:rFonts w:ascii="Times New Roman" w:hAnsi="Times New Roman" w:cs="Times New Roman"/>
                <w:b/>
                <w:bCs/>
                <w:sz w:val="24"/>
                <w:szCs w:val="24"/>
              </w:rPr>
            </w:pPr>
          </w:p>
        </w:tc>
        <w:tc>
          <w:tcPr>
            <w:tcW w:w="3510" w:type="dxa"/>
            <w:tcBorders>
              <w:top w:val="nil"/>
              <w:left w:val="nil"/>
              <w:bottom w:val="single" w:sz="18" w:space="0" w:color="auto"/>
              <w:right w:val="nil"/>
            </w:tcBorders>
            <w:noWrap/>
            <w:vAlign w:val="bottom"/>
          </w:tcPr>
          <w:p w:rsidR="00DE0748" w:rsidRPr="00340503" w:rsidRDefault="00DE0748" w:rsidP="00086C23">
            <w:pPr>
              <w:spacing w:after="0"/>
              <w:rPr>
                <w:rFonts w:ascii="Times New Roman" w:hAnsi="Times New Roman" w:cs="Times New Roman"/>
                <w:b/>
                <w:bCs/>
                <w:sz w:val="24"/>
                <w:szCs w:val="24"/>
              </w:rPr>
            </w:pPr>
            <w:r w:rsidRPr="00340503">
              <w:rPr>
                <w:rFonts w:ascii="Times New Roman" w:hAnsi="Times New Roman" w:cs="Times New Roman"/>
                <w:b/>
                <w:bCs/>
                <w:sz w:val="24"/>
                <w:szCs w:val="24"/>
              </w:rPr>
              <w:t>Total</w:t>
            </w:r>
          </w:p>
        </w:tc>
        <w:tc>
          <w:tcPr>
            <w:tcW w:w="2160" w:type="dxa"/>
            <w:tcBorders>
              <w:top w:val="nil"/>
              <w:left w:val="nil"/>
              <w:bottom w:val="single" w:sz="18" w:space="0" w:color="auto"/>
              <w:right w:val="nil"/>
            </w:tcBorders>
            <w:noWrap/>
            <w:vAlign w:val="bottom"/>
          </w:tcPr>
          <w:p w:rsidR="00DE0748" w:rsidRPr="00340503" w:rsidRDefault="00DE0748" w:rsidP="00086C23">
            <w:pPr>
              <w:spacing w:after="0"/>
              <w:rPr>
                <w:rFonts w:ascii="Times New Roman" w:hAnsi="Times New Roman" w:cs="Times New Roman"/>
                <w:b/>
                <w:bCs/>
                <w:sz w:val="24"/>
                <w:szCs w:val="24"/>
              </w:rPr>
            </w:pPr>
            <w:r w:rsidRPr="00340503">
              <w:rPr>
                <w:rFonts w:ascii="Times New Roman" w:hAnsi="Times New Roman" w:cs="Times New Roman"/>
                <w:b/>
                <w:bCs/>
                <w:sz w:val="24"/>
                <w:szCs w:val="24"/>
              </w:rPr>
              <w:t>19</w:t>
            </w:r>
          </w:p>
        </w:tc>
        <w:tc>
          <w:tcPr>
            <w:tcW w:w="2070" w:type="dxa"/>
            <w:tcBorders>
              <w:top w:val="nil"/>
              <w:left w:val="nil"/>
              <w:bottom w:val="single" w:sz="18" w:space="0" w:color="auto"/>
              <w:right w:val="nil"/>
            </w:tcBorders>
            <w:noWrap/>
            <w:vAlign w:val="bottom"/>
          </w:tcPr>
          <w:p w:rsidR="00DE0748" w:rsidRPr="00340503" w:rsidRDefault="00DE0748" w:rsidP="00086C23">
            <w:pPr>
              <w:spacing w:after="0"/>
              <w:rPr>
                <w:rFonts w:ascii="Times New Roman" w:hAnsi="Times New Roman" w:cs="Times New Roman"/>
                <w:b/>
                <w:bCs/>
                <w:sz w:val="24"/>
                <w:szCs w:val="24"/>
              </w:rPr>
            </w:pPr>
            <w:r w:rsidRPr="00340503">
              <w:rPr>
                <w:rFonts w:ascii="Times New Roman" w:hAnsi="Times New Roman" w:cs="Times New Roman"/>
                <w:b/>
                <w:bCs/>
                <w:sz w:val="24"/>
                <w:szCs w:val="24"/>
              </w:rPr>
              <w:t>100%</w:t>
            </w:r>
          </w:p>
        </w:tc>
      </w:tr>
    </w:tbl>
    <w:p w:rsidR="00DE0748" w:rsidRPr="00340503" w:rsidRDefault="00DE0748" w:rsidP="00DE0748">
      <w:pPr>
        <w:rPr>
          <w:rFonts w:ascii="Times New Roman" w:hAnsi="Times New Roman" w:cs="Times New Roman"/>
          <w:b/>
          <w:sz w:val="24"/>
          <w:szCs w:val="24"/>
        </w:rPr>
      </w:pPr>
      <w:r w:rsidRPr="00340503">
        <w:rPr>
          <w:rFonts w:ascii="Times New Roman" w:hAnsi="Times New Roman" w:cs="Times New Roman"/>
          <w:b/>
          <w:sz w:val="24"/>
          <w:szCs w:val="24"/>
        </w:rPr>
        <w:t>Source: Author’s Field Survey (2025)</w:t>
      </w:r>
    </w:p>
    <w:p w:rsidR="00A339D8" w:rsidRDefault="00A339D8" w:rsidP="00A339D8">
      <w:pPr>
        <w:spacing w:after="8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Table1 above shows the questionnaires administered and retrieved in the study area. </w:t>
      </w:r>
      <w:r w:rsidR="00DE0748">
        <w:rPr>
          <w:rFonts w:ascii="Times New Roman" w:hAnsi="Times New Roman" w:cs="Times New Roman"/>
          <w:color w:val="000000" w:themeColor="text1"/>
          <w:sz w:val="24"/>
          <w:szCs w:val="24"/>
        </w:rPr>
        <w:t xml:space="preserve"> Out of the 19</w:t>
      </w:r>
      <w:r>
        <w:rPr>
          <w:rFonts w:ascii="Times New Roman" w:hAnsi="Times New Roman" w:cs="Times New Roman"/>
          <w:color w:val="000000" w:themeColor="text1"/>
          <w:sz w:val="24"/>
          <w:szCs w:val="24"/>
        </w:rPr>
        <w:t xml:space="preserve"> administered ques</w:t>
      </w:r>
      <w:r w:rsidR="00DE0748">
        <w:rPr>
          <w:rFonts w:ascii="Times New Roman" w:hAnsi="Times New Roman" w:cs="Times New Roman"/>
          <w:color w:val="000000" w:themeColor="text1"/>
          <w:sz w:val="24"/>
          <w:szCs w:val="24"/>
        </w:rPr>
        <w:t>tionnaires, 17</w:t>
      </w:r>
      <w:r>
        <w:rPr>
          <w:rFonts w:ascii="Times New Roman" w:hAnsi="Times New Roman" w:cs="Times New Roman"/>
          <w:color w:val="000000" w:themeColor="text1"/>
          <w:sz w:val="24"/>
          <w:szCs w:val="24"/>
        </w:rPr>
        <w:t xml:space="preserve"> were retrieved back. </w:t>
      </w:r>
      <w:r w:rsidRPr="00873780">
        <w:rPr>
          <w:rFonts w:ascii="Times New Roman" w:hAnsi="Times New Roman" w:cs="Times New Roman"/>
          <w:sz w:val="24"/>
          <w:szCs w:val="24"/>
        </w:rPr>
        <w:t>After accounting for mis</w:t>
      </w:r>
      <w:r>
        <w:rPr>
          <w:rFonts w:ascii="Times New Roman" w:hAnsi="Times New Roman" w:cs="Times New Roman"/>
          <w:sz w:val="24"/>
          <w:szCs w:val="24"/>
        </w:rPr>
        <w:t xml:space="preserve">sing information, a total of </w:t>
      </w:r>
      <w:r w:rsidR="00DE0748">
        <w:rPr>
          <w:rFonts w:ascii="Times New Roman" w:hAnsi="Times New Roman" w:cs="Times New Roman"/>
          <w:sz w:val="24"/>
          <w:szCs w:val="24"/>
        </w:rPr>
        <w:t>17</w:t>
      </w:r>
      <w:r>
        <w:rPr>
          <w:rFonts w:ascii="Times New Roman" w:hAnsi="Times New Roman" w:cs="Times New Roman"/>
          <w:sz w:val="24"/>
          <w:szCs w:val="24"/>
        </w:rPr>
        <w:t xml:space="preserve"> </w:t>
      </w:r>
      <w:r w:rsidRPr="00873780">
        <w:rPr>
          <w:rFonts w:ascii="Times New Roman" w:hAnsi="Times New Roman" w:cs="Times New Roman"/>
          <w:sz w:val="24"/>
          <w:szCs w:val="24"/>
        </w:rPr>
        <w:t>questionnaires were</w:t>
      </w:r>
      <w:r>
        <w:rPr>
          <w:rFonts w:ascii="Times New Roman" w:hAnsi="Times New Roman" w:cs="Times New Roman"/>
          <w:sz w:val="24"/>
          <w:szCs w:val="24"/>
        </w:rPr>
        <w:t xml:space="preserve"> well completed and </w:t>
      </w:r>
      <w:r w:rsidRPr="00873780">
        <w:rPr>
          <w:rFonts w:ascii="Times New Roman" w:hAnsi="Times New Roman" w:cs="Times New Roman"/>
          <w:sz w:val="24"/>
          <w:szCs w:val="24"/>
        </w:rPr>
        <w:t>found practi</w:t>
      </w:r>
      <w:r>
        <w:rPr>
          <w:rFonts w:ascii="Times New Roman" w:hAnsi="Times New Roman" w:cs="Times New Roman"/>
          <w:sz w:val="24"/>
          <w:szCs w:val="24"/>
        </w:rPr>
        <w:t xml:space="preserve">cally useful for the analysis. </w:t>
      </w:r>
      <w:r w:rsidRPr="00E36BB6">
        <w:rPr>
          <w:rFonts w:ascii="Times New Roman" w:hAnsi="Times New Roman" w:cs="Times New Roman"/>
          <w:sz w:val="24"/>
          <w:szCs w:val="24"/>
        </w:rPr>
        <w:t xml:space="preserve">The well completed questionnaires represent an overall </w:t>
      </w:r>
      <w:r w:rsidR="00DE0748">
        <w:rPr>
          <w:rFonts w:ascii="Times New Roman" w:hAnsi="Times New Roman" w:cs="Times New Roman"/>
          <w:sz w:val="24"/>
          <w:szCs w:val="24"/>
          <w:lang w:val="en-GB"/>
        </w:rPr>
        <w:t>89</w:t>
      </w:r>
      <w:r w:rsidRPr="00E36BB6">
        <w:rPr>
          <w:rFonts w:ascii="Times New Roman" w:hAnsi="Times New Roman" w:cs="Times New Roman"/>
          <w:sz w:val="24"/>
          <w:szCs w:val="24"/>
          <w:lang w:val="en-GB"/>
        </w:rPr>
        <w:t>.</w:t>
      </w:r>
      <w:r w:rsidR="00DE0748">
        <w:rPr>
          <w:rFonts w:ascii="Times New Roman" w:hAnsi="Times New Roman" w:cs="Times New Roman"/>
          <w:sz w:val="24"/>
          <w:szCs w:val="24"/>
          <w:lang w:val="en-GB"/>
        </w:rPr>
        <w:t>40</w:t>
      </w:r>
      <w:r w:rsidRPr="00E36BB6">
        <w:rPr>
          <w:rFonts w:ascii="Times New Roman" w:hAnsi="Times New Roman" w:cs="Times New Roman"/>
          <w:sz w:val="24"/>
          <w:szCs w:val="24"/>
          <w:lang w:val="en-GB"/>
        </w:rPr>
        <w:t>% response rate</w:t>
      </w:r>
      <w:r w:rsidRPr="00E36BB6">
        <w:rPr>
          <w:rFonts w:ascii="Times New Roman" w:hAnsi="Times New Roman" w:cs="Times New Roman"/>
          <w:sz w:val="24"/>
          <w:szCs w:val="24"/>
        </w:rPr>
        <w:t>.</w:t>
      </w:r>
    </w:p>
    <w:p w:rsidR="00A1338D" w:rsidRDefault="00CB250A" w:rsidP="00A339D8">
      <w:pPr>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2: Socio-Economic Characteristics of the Respondents</w:t>
      </w:r>
    </w:p>
    <w:tbl>
      <w:tblPr>
        <w:tblW w:w="8925" w:type="dxa"/>
        <w:tblInd w:w="93" w:type="dxa"/>
        <w:tblBorders>
          <w:top w:val="single" w:sz="12" w:space="0" w:color="auto"/>
        </w:tblBorders>
        <w:tblLook w:val="04A0" w:firstRow="1" w:lastRow="0" w:firstColumn="1" w:lastColumn="0" w:noHBand="0" w:noVBand="1"/>
      </w:tblPr>
      <w:tblGrid>
        <w:gridCol w:w="1545"/>
        <w:gridCol w:w="3330"/>
        <w:gridCol w:w="2610"/>
        <w:gridCol w:w="1349"/>
        <w:gridCol w:w="91"/>
      </w:tblGrid>
      <w:tr w:rsidR="00A1338D" w:rsidRPr="00A1338D" w:rsidTr="000A4CE0">
        <w:trPr>
          <w:trHeight w:val="100"/>
        </w:trPr>
        <w:tc>
          <w:tcPr>
            <w:tcW w:w="8925" w:type="dxa"/>
            <w:gridSpan w:val="5"/>
          </w:tcPr>
          <w:p w:rsidR="00A1338D" w:rsidRPr="00A1338D" w:rsidRDefault="00A1338D" w:rsidP="00A1338D">
            <w:pPr>
              <w:spacing w:after="0" w:line="240" w:lineRule="auto"/>
              <w:rPr>
                <w:rFonts w:ascii="Times New Roman" w:hAnsi="Times New Roman" w:cs="Times New Roman"/>
                <w:sz w:val="24"/>
                <w:szCs w:val="24"/>
              </w:rPr>
            </w:pPr>
          </w:p>
        </w:tc>
      </w:tr>
      <w:tr w:rsidR="00A1338D" w:rsidRPr="00A1338D" w:rsidTr="00AE5348">
        <w:tblPrEx>
          <w:tblBorders>
            <w:top w:val="none" w:sz="0" w:space="0" w:color="auto"/>
          </w:tblBorders>
        </w:tblPrEx>
        <w:trPr>
          <w:gridAfter w:val="1"/>
          <w:wAfter w:w="91" w:type="dxa"/>
          <w:trHeight w:val="315"/>
        </w:trPr>
        <w:tc>
          <w:tcPr>
            <w:tcW w:w="1545" w:type="dxa"/>
            <w:tcBorders>
              <w:top w:val="nil"/>
              <w:left w:val="nil"/>
              <w:bottom w:val="single" w:sz="12" w:space="0" w:color="auto"/>
              <w:right w:val="nil"/>
            </w:tcBorders>
            <w:noWrap/>
            <w:vAlign w:val="bottom"/>
          </w:tcPr>
          <w:p w:rsidR="00A1338D" w:rsidRPr="00A1338D" w:rsidRDefault="00A1338D" w:rsidP="00A1338D">
            <w:pPr>
              <w:spacing w:after="0" w:line="240" w:lineRule="auto"/>
              <w:rPr>
                <w:rFonts w:ascii="Times New Roman" w:hAnsi="Times New Roman" w:cs="Times New Roman"/>
                <w:b/>
                <w:sz w:val="24"/>
                <w:szCs w:val="24"/>
              </w:rPr>
            </w:pPr>
            <w:r w:rsidRPr="00A1338D">
              <w:rPr>
                <w:rFonts w:ascii="Times New Roman" w:hAnsi="Times New Roman" w:cs="Times New Roman"/>
                <w:b/>
                <w:sz w:val="24"/>
                <w:szCs w:val="24"/>
              </w:rPr>
              <w:t>S/N</w:t>
            </w:r>
          </w:p>
        </w:tc>
        <w:tc>
          <w:tcPr>
            <w:tcW w:w="3330" w:type="dxa"/>
            <w:tcBorders>
              <w:top w:val="nil"/>
              <w:left w:val="nil"/>
              <w:bottom w:val="single" w:sz="12" w:space="0" w:color="auto"/>
              <w:right w:val="nil"/>
            </w:tcBorders>
            <w:noWrap/>
            <w:vAlign w:val="bottom"/>
          </w:tcPr>
          <w:p w:rsidR="00A1338D" w:rsidRPr="00A1338D" w:rsidRDefault="00A1338D" w:rsidP="00A1338D">
            <w:pPr>
              <w:spacing w:after="0" w:line="240" w:lineRule="auto"/>
              <w:rPr>
                <w:rFonts w:ascii="Times New Roman" w:hAnsi="Times New Roman" w:cs="Times New Roman"/>
                <w:b/>
                <w:sz w:val="24"/>
                <w:szCs w:val="24"/>
              </w:rPr>
            </w:pPr>
            <w:r w:rsidRPr="00A1338D">
              <w:rPr>
                <w:rFonts w:ascii="Times New Roman" w:hAnsi="Times New Roman" w:cs="Times New Roman"/>
                <w:b/>
                <w:sz w:val="24"/>
                <w:szCs w:val="24"/>
              </w:rPr>
              <w:t>Socio-economic characteristics</w:t>
            </w:r>
          </w:p>
        </w:tc>
        <w:tc>
          <w:tcPr>
            <w:tcW w:w="2610" w:type="dxa"/>
            <w:tcBorders>
              <w:top w:val="nil"/>
              <w:left w:val="nil"/>
              <w:bottom w:val="single" w:sz="12" w:space="0" w:color="auto"/>
              <w:right w:val="nil"/>
            </w:tcBorders>
            <w:noWrap/>
            <w:vAlign w:val="bottom"/>
          </w:tcPr>
          <w:p w:rsidR="00A1338D" w:rsidRPr="00A1338D" w:rsidRDefault="00A1338D" w:rsidP="00A1338D">
            <w:pPr>
              <w:spacing w:after="0" w:line="240" w:lineRule="auto"/>
              <w:rPr>
                <w:rFonts w:ascii="Times New Roman" w:hAnsi="Times New Roman" w:cs="Times New Roman"/>
                <w:b/>
                <w:sz w:val="24"/>
                <w:szCs w:val="24"/>
              </w:rPr>
            </w:pPr>
            <w:r w:rsidRPr="00A1338D">
              <w:rPr>
                <w:rFonts w:ascii="Times New Roman" w:hAnsi="Times New Roman" w:cs="Times New Roman"/>
                <w:b/>
                <w:sz w:val="24"/>
                <w:szCs w:val="24"/>
              </w:rPr>
              <w:t>Frequency</w:t>
            </w:r>
          </w:p>
        </w:tc>
        <w:tc>
          <w:tcPr>
            <w:tcW w:w="1349" w:type="dxa"/>
            <w:tcBorders>
              <w:top w:val="nil"/>
              <w:left w:val="nil"/>
              <w:bottom w:val="single" w:sz="12" w:space="0" w:color="auto"/>
              <w:right w:val="nil"/>
            </w:tcBorders>
            <w:noWrap/>
            <w:vAlign w:val="bottom"/>
          </w:tcPr>
          <w:p w:rsidR="00A1338D" w:rsidRPr="00A1338D" w:rsidRDefault="00A1338D" w:rsidP="00A1338D">
            <w:pPr>
              <w:spacing w:after="0" w:line="240" w:lineRule="auto"/>
              <w:rPr>
                <w:rFonts w:ascii="Times New Roman" w:hAnsi="Times New Roman" w:cs="Times New Roman"/>
                <w:b/>
                <w:sz w:val="24"/>
                <w:szCs w:val="24"/>
              </w:rPr>
            </w:pPr>
            <w:r w:rsidRPr="00A1338D">
              <w:rPr>
                <w:rFonts w:ascii="Times New Roman" w:hAnsi="Times New Roman" w:cs="Times New Roman"/>
                <w:b/>
                <w:sz w:val="24"/>
                <w:szCs w:val="24"/>
              </w:rPr>
              <w:t>Percentage</w:t>
            </w:r>
          </w:p>
        </w:tc>
      </w:tr>
      <w:tr w:rsidR="00A1338D" w:rsidRPr="00A1338D" w:rsidTr="00AE5348">
        <w:tblPrEx>
          <w:tblBorders>
            <w:top w:val="none" w:sz="0" w:space="0" w:color="auto"/>
          </w:tblBorders>
        </w:tblPrEx>
        <w:trPr>
          <w:gridAfter w:val="1"/>
          <w:wAfter w:w="91" w:type="dxa"/>
          <w:trHeight w:val="184"/>
        </w:trPr>
        <w:tc>
          <w:tcPr>
            <w:tcW w:w="1545" w:type="dxa"/>
            <w:tcBorders>
              <w:top w:val="single" w:sz="12" w:space="0" w:color="auto"/>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p>
        </w:tc>
        <w:tc>
          <w:tcPr>
            <w:tcW w:w="3330" w:type="dxa"/>
            <w:tcBorders>
              <w:top w:val="single" w:sz="12" w:space="0" w:color="auto"/>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p>
        </w:tc>
        <w:tc>
          <w:tcPr>
            <w:tcW w:w="2610" w:type="dxa"/>
            <w:tcBorders>
              <w:top w:val="single" w:sz="12" w:space="0" w:color="auto"/>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p>
        </w:tc>
        <w:tc>
          <w:tcPr>
            <w:tcW w:w="1349" w:type="dxa"/>
            <w:tcBorders>
              <w:top w:val="single" w:sz="12" w:space="0" w:color="auto"/>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p>
        </w:tc>
      </w:tr>
      <w:tr w:rsidR="00A1338D" w:rsidRPr="00A1338D" w:rsidTr="00AE5348">
        <w:tblPrEx>
          <w:tblBorders>
            <w:top w:val="none" w:sz="0" w:space="0" w:color="auto"/>
          </w:tblBorders>
        </w:tblPrEx>
        <w:trPr>
          <w:gridAfter w:val="1"/>
          <w:wAfter w:w="91" w:type="dxa"/>
          <w:trHeight w:val="300"/>
        </w:trPr>
        <w:tc>
          <w:tcPr>
            <w:tcW w:w="1545"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p>
        </w:tc>
        <w:tc>
          <w:tcPr>
            <w:tcW w:w="333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b/>
                <w:sz w:val="24"/>
                <w:szCs w:val="24"/>
              </w:rPr>
            </w:pPr>
            <w:r w:rsidRPr="00A1338D">
              <w:rPr>
                <w:rFonts w:ascii="Times New Roman" w:hAnsi="Times New Roman" w:cs="Times New Roman"/>
                <w:b/>
                <w:sz w:val="24"/>
                <w:szCs w:val="24"/>
              </w:rPr>
              <w:t>Gender</w:t>
            </w:r>
          </w:p>
        </w:tc>
        <w:tc>
          <w:tcPr>
            <w:tcW w:w="261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p>
        </w:tc>
        <w:tc>
          <w:tcPr>
            <w:tcW w:w="1349"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p>
        </w:tc>
      </w:tr>
      <w:tr w:rsidR="00A1338D" w:rsidRPr="00A1338D" w:rsidTr="00AE5348">
        <w:tblPrEx>
          <w:tblBorders>
            <w:top w:val="none" w:sz="0" w:space="0" w:color="auto"/>
          </w:tblBorders>
        </w:tblPrEx>
        <w:trPr>
          <w:gridAfter w:val="1"/>
          <w:wAfter w:w="91" w:type="dxa"/>
          <w:trHeight w:val="300"/>
        </w:trPr>
        <w:tc>
          <w:tcPr>
            <w:tcW w:w="1545"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1</w:t>
            </w:r>
          </w:p>
        </w:tc>
        <w:tc>
          <w:tcPr>
            <w:tcW w:w="333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Male</w:t>
            </w:r>
          </w:p>
        </w:tc>
        <w:tc>
          <w:tcPr>
            <w:tcW w:w="261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14</w:t>
            </w:r>
          </w:p>
        </w:tc>
        <w:tc>
          <w:tcPr>
            <w:tcW w:w="1349"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82.35%</w:t>
            </w:r>
          </w:p>
        </w:tc>
      </w:tr>
      <w:tr w:rsidR="00A1338D" w:rsidRPr="00A1338D" w:rsidTr="00AE5348">
        <w:tblPrEx>
          <w:tblBorders>
            <w:top w:val="none" w:sz="0" w:space="0" w:color="auto"/>
          </w:tblBorders>
        </w:tblPrEx>
        <w:trPr>
          <w:gridAfter w:val="1"/>
          <w:wAfter w:w="91" w:type="dxa"/>
          <w:trHeight w:val="300"/>
        </w:trPr>
        <w:tc>
          <w:tcPr>
            <w:tcW w:w="1545"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2</w:t>
            </w:r>
          </w:p>
        </w:tc>
        <w:tc>
          <w:tcPr>
            <w:tcW w:w="333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 xml:space="preserve">Female </w:t>
            </w:r>
          </w:p>
        </w:tc>
        <w:tc>
          <w:tcPr>
            <w:tcW w:w="2610" w:type="dxa"/>
            <w:tcBorders>
              <w:top w:val="nil"/>
              <w:left w:val="nil"/>
              <w:bottom w:val="nil"/>
              <w:right w:val="nil"/>
            </w:tcBorders>
            <w:noWrap/>
            <w:vAlign w:val="bottom"/>
          </w:tcPr>
          <w:p w:rsidR="00A1338D" w:rsidRPr="00A1338D" w:rsidRDefault="00694AA0" w:rsidP="00A1338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49" w:type="dxa"/>
            <w:tcBorders>
              <w:top w:val="nil"/>
              <w:left w:val="nil"/>
              <w:bottom w:val="nil"/>
              <w:right w:val="nil"/>
            </w:tcBorders>
            <w:noWrap/>
            <w:vAlign w:val="bottom"/>
          </w:tcPr>
          <w:p w:rsidR="00A1338D" w:rsidRPr="00A1338D" w:rsidRDefault="00694AA0" w:rsidP="00A1338D">
            <w:pPr>
              <w:spacing w:after="0" w:line="240" w:lineRule="auto"/>
              <w:rPr>
                <w:rFonts w:ascii="Times New Roman" w:hAnsi="Times New Roman" w:cs="Times New Roman"/>
                <w:sz w:val="24"/>
                <w:szCs w:val="24"/>
              </w:rPr>
            </w:pPr>
            <w:r>
              <w:rPr>
                <w:rFonts w:ascii="Times New Roman" w:hAnsi="Times New Roman" w:cs="Times New Roman"/>
                <w:sz w:val="24"/>
                <w:szCs w:val="24"/>
              </w:rPr>
              <w:t>17.65</w:t>
            </w:r>
            <w:r w:rsidR="00A1338D" w:rsidRPr="00A1338D">
              <w:rPr>
                <w:rFonts w:ascii="Times New Roman" w:hAnsi="Times New Roman" w:cs="Times New Roman"/>
                <w:sz w:val="24"/>
                <w:szCs w:val="24"/>
              </w:rPr>
              <w:t>%</w:t>
            </w:r>
          </w:p>
        </w:tc>
      </w:tr>
      <w:tr w:rsidR="00A1338D" w:rsidRPr="00A1338D" w:rsidTr="00AE5348">
        <w:tblPrEx>
          <w:tblBorders>
            <w:top w:val="none" w:sz="0" w:space="0" w:color="auto"/>
          </w:tblBorders>
        </w:tblPrEx>
        <w:trPr>
          <w:gridAfter w:val="1"/>
          <w:wAfter w:w="91" w:type="dxa"/>
          <w:trHeight w:val="300"/>
        </w:trPr>
        <w:tc>
          <w:tcPr>
            <w:tcW w:w="1545"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p>
        </w:tc>
        <w:tc>
          <w:tcPr>
            <w:tcW w:w="3330" w:type="dxa"/>
            <w:tcBorders>
              <w:top w:val="nil"/>
              <w:left w:val="nil"/>
              <w:bottom w:val="nil"/>
              <w:right w:val="nil"/>
            </w:tcBorders>
            <w:noWrap/>
            <w:vAlign w:val="bottom"/>
          </w:tcPr>
          <w:p w:rsidR="00A1338D" w:rsidRDefault="00A1338D" w:rsidP="00A1338D">
            <w:pPr>
              <w:spacing w:after="0" w:line="240" w:lineRule="auto"/>
              <w:rPr>
                <w:rFonts w:ascii="Times New Roman" w:hAnsi="Times New Roman" w:cs="Times New Roman"/>
                <w:b/>
                <w:sz w:val="24"/>
                <w:szCs w:val="24"/>
              </w:rPr>
            </w:pPr>
          </w:p>
          <w:p w:rsidR="00A1338D" w:rsidRPr="00A1338D" w:rsidRDefault="00A1338D" w:rsidP="00A1338D">
            <w:pPr>
              <w:spacing w:after="0" w:line="240" w:lineRule="auto"/>
              <w:rPr>
                <w:rFonts w:ascii="Times New Roman" w:hAnsi="Times New Roman" w:cs="Times New Roman"/>
                <w:b/>
                <w:sz w:val="24"/>
                <w:szCs w:val="24"/>
              </w:rPr>
            </w:pPr>
            <w:r w:rsidRPr="00A1338D">
              <w:rPr>
                <w:rFonts w:ascii="Times New Roman" w:hAnsi="Times New Roman" w:cs="Times New Roman"/>
                <w:b/>
                <w:sz w:val="24"/>
                <w:szCs w:val="24"/>
              </w:rPr>
              <w:t>Academic Rank</w:t>
            </w:r>
          </w:p>
        </w:tc>
        <w:tc>
          <w:tcPr>
            <w:tcW w:w="261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p>
        </w:tc>
        <w:tc>
          <w:tcPr>
            <w:tcW w:w="1349"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p>
        </w:tc>
      </w:tr>
      <w:tr w:rsidR="00A1338D" w:rsidRPr="00A1338D" w:rsidTr="00AE5348">
        <w:tblPrEx>
          <w:tblBorders>
            <w:top w:val="none" w:sz="0" w:space="0" w:color="auto"/>
          </w:tblBorders>
        </w:tblPrEx>
        <w:trPr>
          <w:gridAfter w:val="1"/>
          <w:wAfter w:w="91" w:type="dxa"/>
          <w:trHeight w:val="300"/>
        </w:trPr>
        <w:tc>
          <w:tcPr>
            <w:tcW w:w="1545"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1</w:t>
            </w:r>
          </w:p>
        </w:tc>
        <w:tc>
          <w:tcPr>
            <w:tcW w:w="333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 xml:space="preserve">Graduate Assistant </w:t>
            </w:r>
          </w:p>
        </w:tc>
        <w:tc>
          <w:tcPr>
            <w:tcW w:w="261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2</w:t>
            </w:r>
          </w:p>
        </w:tc>
        <w:tc>
          <w:tcPr>
            <w:tcW w:w="1349"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11.76%</w:t>
            </w:r>
          </w:p>
        </w:tc>
      </w:tr>
      <w:tr w:rsidR="00A1338D" w:rsidRPr="00A1338D" w:rsidTr="00AE5348">
        <w:tblPrEx>
          <w:tblBorders>
            <w:top w:val="none" w:sz="0" w:space="0" w:color="auto"/>
          </w:tblBorders>
        </w:tblPrEx>
        <w:trPr>
          <w:gridAfter w:val="1"/>
          <w:wAfter w:w="91" w:type="dxa"/>
          <w:trHeight w:val="300"/>
        </w:trPr>
        <w:tc>
          <w:tcPr>
            <w:tcW w:w="1545"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2</w:t>
            </w:r>
          </w:p>
        </w:tc>
        <w:tc>
          <w:tcPr>
            <w:tcW w:w="333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 xml:space="preserve">Assistant Lecturer </w:t>
            </w:r>
          </w:p>
        </w:tc>
        <w:tc>
          <w:tcPr>
            <w:tcW w:w="261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3</w:t>
            </w:r>
          </w:p>
        </w:tc>
        <w:tc>
          <w:tcPr>
            <w:tcW w:w="1349"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11.76%</w:t>
            </w:r>
          </w:p>
        </w:tc>
      </w:tr>
      <w:tr w:rsidR="00A1338D" w:rsidRPr="00A1338D" w:rsidTr="00AE5348">
        <w:tblPrEx>
          <w:tblBorders>
            <w:top w:val="none" w:sz="0" w:space="0" w:color="auto"/>
          </w:tblBorders>
        </w:tblPrEx>
        <w:trPr>
          <w:gridAfter w:val="1"/>
          <w:wAfter w:w="91" w:type="dxa"/>
          <w:trHeight w:val="300"/>
        </w:trPr>
        <w:tc>
          <w:tcPr>
            <w:tcW w:w="1545"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3</w:t>
            </w:r>
          </w:p>
        </w:tc>
        <w:tc>
          <w:tcPr>
            <w:tcW w:w="333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Lecturer II</w:t>
            </w:r>
          </w:p>
        </w:tc>
        <w:tc>
          <w:tcPr>
            <w:tcW w:w="261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1</w:t>
            </w:r>
          </w:p>
        </w:tc>
        <w:tc>
          <w:tcPr>
            <w:tcW w:w="1349"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5.88%</w:t>
            </w:r>
          </w:p>
        </w:tc>
      </w:tr>
      <w:tr w:rsidR="00A1338D" w:rsidRPr="00A1338D" w:rsidTr="00AE5348">
        <w:tblPrEx>
          <w:tblBorders>
            <w:top w:val="none" w:sz="0" w:space="0" w:color="auto"/>
          </w:tblBorders>
        </w:tblPrEx>
        <w:trPr>
          <w:gridAfter w:val="1"/>
          <w:wAfter w:w="91" w:type="dxa"/>
          <w:trHeight w:val="300"/>
        </w:trPr>
        <w:tc>
          <w:tcPr>
            <w:tcW w:w="1545"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4</w:t>
            </w:r>
          </w:p>
        </w:tc>
        <w:tc>
          <w:tcPr>
            <w:tcW w:w="333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Lecturer I</w:t>
            </w:r>
          </w:p>
        </w:tc>
        <w:tc>
          <w:tcPr>
            <w:tcW w:w="261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2</w:t>
            </w:r>
          </w:p>
        </w:tc>
        <w:tc>
          <w:tcPr>
            <w:tcW w:w="1349"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11.76%</w:t>
            </w:r>
          </w:p>
        </w:tc>
      </w:tr>
      <w:tr w:rsidR="00A1338D" w:rsidRPr="00A1338D" w:rsidTr="00AE5348">
        <w:tblPrEx>
          <w:tblBorders>
            <w:top w:val="none" w:sz="0" w:space="0" w:color="auto"/>
          </w:tblBorders>
        </w:tblPrEx>
        <w:trPr>
          <w:gridAfter w:val="1"/>
          <w:wAfter w:w="91" w:type="dxa"/>
          <w:trHeight w:val="300"/>
        </w:trPr>
        <w:tc>
          <w:tcPr>
            <w:tcW w:w="1545"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lastRenderedPageBreak/>
              <w:t>5</w:t>
            </w:r>
          </w:p>
        </w:tc>
        <w:tc>
          <w:tcPr>
            <w:tcW w:w="333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 xml:space="preserve">Senior Lecturer  </w:t>
            </w:r>
          </w:p>
        </w:tc>
        <w:tc>
          <w:tcPr>
            <w:tcW w:w="261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4</w:t>
            </w:r>
          </w:p>
        </w:tc>
        <w:tc>
          <w:tcPr>
            <w:tcW w:w="1349"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23.54%</w:t>
            </w:r>
          </w:p>
        </w:tc>
      </w:tr>
      <w:tr w:rsidR="00A1338D" w:rsidRPr="00A1338D" w:rsidTr="00AE5348">
        <w:tblPrEx>
          <w:tblBorders>
            <w:top w:val="none" w:sz="0" w:space="0" w:color="auto"/>
          </w:tblBorders>
        </w:tblPrEx>
        <w:trPr>
          <w:gridAfter w:val="1"/>
          <w:wAfter w:w="91" w:type="dxa"/>
          <w:trHeight w:val="300"/>
        </w:trPr>
        <w:tc>
          <w:tcPr>
            <w:tcW w:w="1545"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6</w:t>
            </w:r>
          </w:p>
        </w:tc>
        <w:tc>
          <w:tcPr>
            <w:tcW w:w="333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Associate Professor</w:t>
            </w:r>
          </w:p>
        </w:tc>
        <w:tc>
          <w:tcPr>
            <w:tcW w:w="261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1</w:t>
            </w:r>
          </w:p>
        </w:tc>
        <w:tc>
          <w:tcPr>
            <w:tcW w:w="1349"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5.88%</w:t>
            </w:r>
          </w:p>
        </w:tc>
      </w:tr>
      <w:tr w:rsidR="00A1338D" w:rsidRPr="00A1338D" w:rsidTr="00AE5348">
        <w:tblPrEx>
          <w:tblBorders>
            <w:top w:val="none" w:sz="0" w:space="0" w:color="auto"/>
          </w:tblBorders>
        </w:tblPrEx>
        <w:trPr>
          <w:gridAfter w:val="1"/>
          <w:wAfter w:w="91" w:type="dxa"/>
          <w:trHeight w:val="300"/>
        </w:trPr>
        <w:tc>
          <w:tcPr>
            <w:tcW w:w="1545"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7</w:t>
            </w:r>
          </w:p>
        </w:tc>
        <w:tc>
          <w:tcPr>
            <w:tcW w:w="333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 xml:space="preserve">Professor </w:t>
            </w:r>
          </w:p>
        </w:tc>
        <w:tc>
          <w:tcPr>
            <w:tcW w:w="2610"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4</w:t>
            </w:r>
          </w:p>
        </w:tc>
        <w:tc>
          <w:tcPr>
            <w:tcW w:w="1349" w:type="dxa"/>
            <w:tcBorders>
              <w:top w:val="nil"/>
              <w:left w:val="nil"/>
              <w:bottom w:val="nil"/>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r w:rsidRPr="00A1338D">
              <w:rPr>
                <w:rFonts w:ascii="Times New Roman" w:hAnsi="Times New Roman" w:cs="Times New Roman"/>
                <w:sz w:val="24"/>
                <w:szCs w:val="24"/>
              </w:rPr>
              <w:t>23.54%</w:t>
            </w:r>
          </w:p>
        </w:tc>
      </w:tr>
      <w:tr w:rsidR="00A1338D" w:rsidRPr="00A1338D" w:rsidTr="00AE5348">
        <w:tblPrEx>
          <w:tblBorders>
            <w:top w:val="none" w:sz="0" w:space="0" w:color="auto"/>
          </w:tblBorders>
        </w:tblPrEx>
        <w:trPr>
          <w:gridAfter w:val="1"/>
          <w:wAfter w:w="91" w:type="dxa"/>
          <w:trHeight w:val="375"/>
        </w:trPr>
        <w:tc>
          <w:tcPr>
            <w:tcW w:w="1545" w:type="dxa"/>
            <w:tcBorders>
              <w:top w:val="nil"/>
              <w:left w:val="nil"/>
              <w:bottom w:val="single" w:sz="12" w:space="0" w:color="auto"/>
              <w:right w:val="nil"/>
            </w:tcBorders>
            <w:noWrap/>
            <w:vAlign w:val="bottom"/>
          </w:tcPr>
          <w:p w:rsidR="00A1338D" w:rsidRPr="00A1338D" w:rsidRDefault="00A1338D" w:rsidP="00A1338D">
            <w:pPr>
              <w:spacing w:after="0" w:line="240" w:lineRule="auto"/>
              <w:rPr>
                <w:rFonts w:ascii="Times New Roman" w:hAnsi="Times New Roman" w:cs="Times New Roman"/>
                <w:sz w:val="24"/>
                <w:szCs w:val="24"/>
              </w:rPr>
            </w:pPr>
          </w:p>
        </w:tc>
        <w:tc>
          <w:tcPr>
            <w:tcW w:w="3330" w:type="dxa"/>
            <w:tcBorders>
              <w:top w:val="nil"/>
              <w:left w:val="nil"/>
              <w:bottom w:val="single" w:sz="12" w:space="0" w:color="auto"/>
              <w:right w:val="nil"/>
            </w:tcBorders>
            <w:noWrap/>
            <w:vAlign w:val="bottom"/>
          </w:tcPr>
          <w:p w:rsidR="00A1338D" w:rsidRPr="00A1338D" w:rsidRDefault="00A1338D" w:rsidP="00A1338D">
            <w:pPr>
              <w:spacing w:after="0" w:line="240" w:lineRule="auto"/>
              <w:rPr>
                <w:rFonts w:ascii="Times New Roman" w:hAnsi="Times New Roman" w:cs="Times New Roman"/>
                <w:b/>
                <w:sz w:val="24"/>
                <w:szCs w:val="24"/>
              </w:rPr>
            </w:pPr>
            <w:r w:rsidRPr="00A1338D">
              <w:rPr>
                <w:rFonts w:ascii="Times New Roman" w:hAnsi="Times New Roman" w:cs="Times New Roman"/>
                <w:b/>
                <w:sz w:val="24"/>
                <w:szCs w:val="24"/>
              </w:rPr>
              <w:t xml:space="preserve">Total </w:t>
            </w:r>
          </w:p>
        </w:tc>
        <w:tc>
          <w:tcPr>
            <w:tcW w:w="2610" w:type="dxa"/>
            <w:tcBorders>
              <w:top w:val="nil"/>
              <w:left w:val="nil"/>
              <w:bottom w:val="single" w:sz="12" w:space="0" w:color="auto"/>
              <w:right w:val="nil"/>
            </w:tcBorders>
            <w:noWrap/>
            <w:vAlign w:val="bottom"/>
          </w:tcPr>
          <w:p w:rsidR="00A1338D" w:rsidRPr="00A1338D" w:rsidRDefault="00A1338D" w:rsidP="00A1338D">
            <w:pPr>
              <w:spacing w:after="0" w:line="240" w:lineRule="auto"/>
              <w:rPr>
                <w:rFonts w:ascii="Times New Roman" w:hAnsi="Times New Roman" w:cs="Times New Roman"/>
                <w:b/>
                <w:sz w:val="24"/>
                <w:szCs w:val="24"/>
              </w:rPr>
            </w:pPr>
            <w:r w:rsidRPr="00A1338D">
              <w:rPr>
                <w:rFonts w:ascii="Times New Roman" w:hAnsi="Times New Roman" w:cs="Times New Roman"/>
                <w:b/>
                <w:sz w:val="24"/>
                <w:szCs w:val="24"/>
              </w:rPr>
              <w:t>17</w:t>
            </w:r>
          </w:p>
        </w:tc>
        <w:tc>
          <w:tcPr>
            <w:tcW w:w="1349" w:type="dxa"/>
            <w:tcBorders>
              <w:top w:val="nil"/>
              <w:left w:val="nil"/>
              <w:bottom w:val="single" w:sz="12" w:space="0" w:color="auto"/>
              <w:right w:val="nil"/>
            </w:tcBorders>
            <w:noWrap/>
            <w:vAlign w:val="bottom"/>
          </w:tcPr>
          <w:p w:rsidR="00A1338D" w:rsidRPr="00A1338D" w:rsidRDefault="00A1338D" w:rsidP="00A1338D">
            <w:pPr>
              <w:spacing w:after="0" w:line="240" w:lineRule="auto"/>
              <w:rPr>
                <w:rFonts w:ascii="Times New Roman" w:hAnsi="Times New Roman" w:cs="Times New Roman"/>
                <w:b/>
                <w:sz w:val="24"/>
                <w:szCs w:val="24"/>
              </w:rPr>
            </w:pPr>
            <w:r w:rsidRPr="00A1338D">
              <w:rPr>
                <w:rFonts w:ascii="Times New Roman" w:hAnsi="Times New Roman" w:cs="Times New Roman"/>
                <w:b/>
                <w:sz w:val="24"/>
                <w:szCs w:val="24"/>
              </w:rPr>
              <w:t>100.00%</w:t>
            </w:r>
          </w:p>
        </w:tc>
      </w:tr>
    </w:tbl>
    <w:p w:rsidR="00AE5348" w:rsidRPr="00340503" w:rsidRDefault="00AE5348" w:rsidP="00AE5348">
      <w:pPr>
        <w:rPr>
          <w:rFonts w:ascii="Times New Roman" w:hAnsi="Times New Roman" w:cs="Times New Roman"/>
          <w:b/>
          <w:sz w:val="24"/>
          <w:szCs w:val="24"/>
        </w:rPr>
      </w:pPr>
      <w:r w:rsidRPr="00340503">
        <w:rPr>
          <w:rFonts w:ascii="Times New Roman" w:hAnsi="Times New Roman" w:cs="Times New Roman"/>
          <w:b/>
          <w:sz w:val="24"/>
          <w:szCs w:val="24"/>
        </w:rPr>
        <w:t>Source: Author’s Field Survey (2025)</w:t>
      </w:r>
    </w:p>
    <w:p w:rsidR="00DE0748" w:rsidRDefault="00484EEF" w:rsidP="008D55BE">
      <w:pPr>
        <w:spacing w:line="360" w:lineRule="auto"/>
        <w:jc w:val="both"/>
        <w:rPr>
          <w:rFonts w:ascii="Times New Roman" w:hAnsi="Times New Roman" w:cs="Times New Roman"/>
          <w:b/>
          <w:bCs/>
          <w:color w:val="000000" w:themeColor="text1"/>
          <w:sz w:val="24"/>
          <w:szCs w:val="24"/>
        </w:rPr>
      </w:pPr>
      <w:r w:rsidRPr="00C454B8">
        <w:rPr>
          <w:rFonts w:ascii="Times New Roman" w:hAnsi="Times New Roman" w:cs="Times New Roman"/>
          <w:color w:val="000000" w:themeColor="text1"/>
          <w:sz w:val="24"/>
          <w:szCs w:val="24"/>
        </w:rPr>
        <w:t xml:space="preserve">As revealed in </w:t>
      </w:r>
      <w:r w:rsidR="0029635F" w:rsidRPr="00C454B8">
        <w:rPr>
          <w:rFonts w:ascii="Times New Roman" w:hAnsi="Times New Roman" w:cs="Times New Roman"/>
          <w:color w:val="000000" w:themeColor="text1"/>
          <w:sz w:val="24"/>
          <w:szCs w:val="24"/>
        </w:rPr>
        <w:t>Table 2 above</w:t>
      </w:r>
      <w:r w:rsidRPr="00C454B8">
        <w:rPr>
          <w:rFonts w:ascii="Times New Roman" w:hAnsi="Times New Roman" w:cs="Times New Roman"/>
          <w:color w:val="000000" w:themeColor="text1"/>
          <w:sz w:val="24"/>
          <w:szCs w:val="24"/>
        </w:rPr>
        <w:t xml:space="preserve">, </w:t>
      </w:r>
      <w:r w:rsidR="0029635F" w:rsidRPr="00C454B8">
        <w:rPr>
          <w:rFonts w:ascii="Times New Roman" w:hAnsi="Times New Roman" w:cs="Times New Roman"/>
          <w:color w:val="000000" w:themeColor="text1"/>
          <w:sz w:val="24"/>
          <w:szCs w:val="24"/>
        </w:rPr>
        <w:t>the</w:t>
      </w:r>
      <w:bookmarkStart w:id="1" w:name="_Hlk143038826"/>
      <w:r w:rsidR="0029635F" w:rsidRPr="00C454B8">
        <w:rPr>
          <w:rFonts w:ascii="Times New Roman" w:hAnsi="Times New Roman" w:cs="Times New Roman"/>
          <w:sz w:val="24"/>
          <w:szCs w:val="24"/>
        </w:rPr>
        <w:t xml:space="preserve"> socio – economic cha</w:t>
      </w:r>
      <w:r w:rsidRPr="00C454B8">
        <w:rPr>
          <w:rFonts w:ascii="Times New Roman" w:hAnsi="Times New Roman" w:cs="Times New Roman"/>
          <w:sz w:val="24"/>
          <w:szCs w:val="24"/>
        </w:rPr>
        <w:t xml:space="preserve">racteristics of the respondents shows a workforce that is male-dominated, with males constituting 82.35% of the sample, while </w:t>
      </w:r>
      <w:r w:rsidR="00C454B8">
        <w:rPr>
          <w:rFonts w:ascii="Times New Roman" w:hAnsi="Times New Roman" w:cs="Times New Roman"/>
          <w:sz w:val="24"/>
          <w:szCs w:val="24"/>
        </w:rPr>
        <w:t>females represent only 23.53%. T</w:t>
      </w:r>
      <w:r w:rsidRPr="00C454B8">
        <w:rPr>
          <w:rFonts w:ascii="Times New Roman" w:hAnsi="Times New Roman" w:cs="Times New Roman"/>
          <w:sz w:val="24"/>
          <w:szCs w:val="24"/>
        </w:rPr>
        <w:t xml:space="preserve">his indicate a significant gender disparity within the Estate Management and Valuation department </w:t>
      </w:r>
      <w:r w:rsidR="00C454B8" w:rsidRPr="00C454B8">
        <w:rPr>
          <w:rFonts w:ascii="Times New Roman" w:hAnsi="Times New Roman" w:cs="Times New Roman"/>
          <w:sz w:val="24"/>
          <w:szCs w:val="24"/>
        </w:rPr>
        <w:t>in the study area.  In terms of academic ran</w:t>
      </w:r>
      <w:r w:rsidR="00C454B8">
        <w:rPr>
          <w:rFonts w:ascii="Times New Roman" w:hAnsi="Times New Roman" w:cs="Times New Roman"/>
          <w:sz w:val="24"/>
          <w:szCs w:val="24"/>
        </w:rPr>
        <w:t xml:space="preserve">k, the distribution reveals a </w:t>
      </w:r>
      <w:r w:rsidR="00184F6C">
        <w:rPr>
          <w:rFonts w:ascii="Times New Roman" w:hAnsi="Times New Roman" w:cs="Times New Roman"/>
          <w:sz w:val="24"/>
          <w:szCs w:val="24"/>
        </w:rPr>
        <w:t>fa</w:t>
      </w:r>
      <w:r w:rsidR="00184F6C" w:rsidRPr="00C454B8">
        <w:rPr>
          <w:rFonts w:ascii="Times New Roman" w:hAnsi="Times New Roman" w:cs="Times New Roman"/>
          <w:sz w:val="24"/>
          <w:szCs w:val="24"/>
        </w:rPr>
        <w:t>irly</w:t>
      </w:r>
      <w:r w:rsidR="00C454B8" w:rsidRPr="00C454B8">
        <w:rPr>
          <w:rFonts w:ascii="Times New Roman" w:hAnsi="Times New Roman" w:cs="Times New Roman"/>
          <w:sz w:val="24"/>
          <w:szCs w:val="24"/>
        </w:rPr>
        <w:t xml:space="preserve"> balanced spread across career levels, although with more concentration at the middle and senior ranks. </w:t>
      </w:r>
      <w:r w:rsidR="00C454B8">
        <w:rPr>
          <w:rFonts w:ascii="Times New Roman" w:hAnsi="Times New Roman" w:cs="Times New Roman"/>
          <w:sz w:val="24"/>
          <w:szCs w:val="24"/>
        </w:rPr>
        <w:t xml:space="preserve">Senior lecturers and Professors </w:t>
      </w:r>
      <w:r w:rsidR="00184F6C">
        <w:rPr>
          <w:rFonts w:ascii="Times New Roman" w:hAnsi="Times New Roman" w:cs="Times New Roman"/>
          <w:sz w:val="24"/>
          <w:szCs w:val="24"/>
        </w:rPr>
        <w:t xml:space="preserve">each account for 23.54% </w:t>
      </w:r>
      <w:r w:rsidR="00C454B8">
        <w:rPr>
          <w:rFonts w:ascii="Times New Roman" w:hAnsi="Times New Roman" w:cs="Times New Roman"/>
          <w:sz w:val="24"/>
          <w:szCs w:val="24"/>
        </w:rPr>
        <w:t>representing the two largest groups. Graduate Assistants, Assistant lecturers, and lecturer I</w:t>
      </w:r>
      <w:r w:rsidR="00184F6C">
        <w:rPr>
          <w:rFonts w:ascii="Times New Roman" w:hAnsi="Times New Roman" w:cs="Times New Roman"/>
          <w:sz w:val="24"/>
          <w:szCs w:val="24"/>
        </w:rPr>
        <w:t xml:space="preserve"> each represent 11.76% indicating a moderate presence of early-career academics. Lecturer II and Associate Professors are the least represented groups, each forming 5.88% of the sample.</w:t>
      </w:r>
      <w:bookmarkEnd w:id="1"/>
      <w:r w:rsidR="00184F6C" w:rsidRPr="00DE0748">
        <w:rPr>
          <w:rFonts w:ascii="Times New Roman" w:hAnsi="Times New Roman" w:cs="Times New Roman"/>
          <w:b/>
          <w:bCs/>
          <w:color w:val="000000" w:themeColor="text1"/>
          <w:sz w:val="24"/>
          <w:szCs w:val="24"/>
        </w:rPr>
        <w:t xml:space="preserve"> </w:t>
      </w:r>
    </w:p>
    <w:p w:rsidR="00A339D8" w:rsidRDefault="005E419A" w:rsidP="00A339D8">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3: </w:t>
      </w:r>
      <w:r w:rsidR="00A339D8" w:rsidRPr="005E419A">
        <w:rPr>
          <w:rFonts w:ascii="Times New Roman" w:hAnsi="Times New Roman" w:cs="Times New Roman"/>
          <w:b/>
          <w:color w:val="000000" w:themeColor="text1"/>
          <w:sz w:val="24"/>
          <w:szCs w:val="24"/>
        </w:rPr>
        <w:t xml:space="preserve">Mean Scores and Relative Importance Indices for </w:t>
      </w:r>
      <w:r w:rsidR="008E2E89" w:rsidRPr="005E419A">
        <w:rPr>
          <w:rFonts w:ascii="Times New Roman" w:hAnsi="Times New Roman" w:cs="Times New Roman"/>
          <w:b/>
          <w:sz w:val="24"/>
          <w:szCs w:val="24"/>
        </w:rPr>
        <w:t>ICT Proficiency Level of respondents</w:t>
      </w:r>
      <w:r w:rsidR="00F0473D" w:rsidRPr="005E419A">
        <w:rPr>
          <w:rFonts w:ascii="Times New Roman" w:hAnsi="Times New Roman" w:cs="Times New Roman"/>
          <w:b/>
          <w:sz w:val="24"/>
          <w:szCs w:val="24"/>
        </w:rPr>
        <w:t xml:space="preserve"> </w:t>
      </w:r>
      <w:r w:rsidR="008E2E89" w:rsidRPr="005E419A">
        <w:rPr>
          <w:rFonts w:ascii="Times New Roman" w:hAnsi="Times New Roman" w:cs="Times New Roman"/>
          <w:b/>
          <w:sz w:val="24"/>
          <w:szCs w:val="24"/>
        </w:rPr>
        <w:t>in the study area</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3780"/>
        <w:gridCol w:w="1170"/>
        <w:gridCol w:w="2340"/>
      </w:tblGrid>
      <w:tr w:rsidR="00A339D8" w:rsidRPr="009B7B2D" w:rsidTr="00086C23">
        <w:trPr>
          <w:trHeight w:val="657"/>
        </w:trPr>
        <w:tc>
          <w:tcPr>
            <w:tcW w:w="2988" w:type="dxa"/>
            <w:tcBorders>
              <w:top w:val="single" w:sz="18" w:space="0" w:color="auto"/>
              <w:left w:val="nil"/>
              <w:bottom w:val="single" w:sz="18" w:space="0" w:color="auto"/>
              <w:right w:val="nil"/>
            </w:tcBorders>
            <w:vAlign w:val="center"/>
          </w:tcPr>
          <w:p w:rsidR="00A339D8" w:rsidRPr="008E2E89" w:rsidRDefault="00184F6C" w:rsidP="00086C23">
            <w:pPr>
              <w:jc w:val="both"/>
              <w:rPr>
                <w:rFonts w:ascii="Times New Roman" w:hAnsi="Times New Roman" w:cs="Times New Roman"/>
                <w:b/>
                <w:color w:val="000000" w:themeColor="text1"/>
                <w:sz w:val="24"/>
                <w:szCs w:val="24"/>
              </w:rPr>
            </w:pPr>
            <w:r w:rsidRPr="008E2E89">
              <w:rPr>
                <w:rFonts w:ascii="Times New Roman" w:hAnsi="Times New Roman" w:cs="Times New Roman"/>
                <w:b/>
                <w:color w:val="000000" w:themeColor="text1"/>
                <w:sz w:val="24"/>
                <w:szCs w:val="24"/>
              </w:rPr>
              <w:t>ICT Tools</w:t>
            </w:r>
          </w:p>
        </w:tc>
        <w:tc>
          <w:tcPr>
            <w:tcW w:w="3780" w:type="dxa"/>
            <w:tcBorders>
              <w:top w:val="single" w:sz="18" w:space="0" w:color="auto"/>
              <w:left w:val="nil"/>
              <w:bottom w:val="single" w:sz="18" w:space="0" w:color="auto"/>
              <w:right w:val="nil"/>
            </w:tcBorders>
            <w:vAlign w:val="center"/>
          </w:tcPr>
          <w:p w:rsidR="00A339D8" w:rsidRPr="008E2E89" w:rsidRDefault="00A339D8" w:rsidP="00086C23">
            <w:pPr>
              <w:jc w:val="both"/>
              <w:rPr>
                <w:rFonts w:ascii="Times New Roman" w:hAnsi="Times New Roman" w:cs="Times New Roman"/>
                <w:b/>
                <w:color w:val="000000" w:themeColor="text1"/>
                <w:sz w:val="24"/>
                <w:szCs w:val="24"/>
              </w:rPr>
            </w:pPr>
            <w:r w:rsidRPr="008E2E89">
              <w:rPr>
                <w:rFonts w:ascii="Times New Roman" w:hAnsi="Times New Roman" w:cs="Times New Roman"/>
                <w:b/>
                <w:color w:val="000000" w:themeColor="text1"/>
                <w:sz w:val="24"/>
                <w:szCs w:val="24"/>
              </w:rPr>
              <w:t xml:space="preserve">   Mean            Relative Importance       </w:t>
            </w:r>
          </w:p>
          <w:p w:rsidR="00A339D8" w:rsidRPr="008E2E89" w:rsidRDefault="00A339D8" w:rsidP="00086C23">
            <w:pPr>
              <w:jc w:val="both"/>
              <w:rPr>
                <w:rFonts w:ascii="Times New Roman" w:hAnsi="Times New Roman" w:cs="Times New Roman"/>
                <w:b/>
                <w:color w:val="000000" w:themeColor="text1"/>
                <w:sz w:val="24"/>
                <w:szCs w:val="24"/>
              </w:rPr>
            </w:pPr>
            <w:r w:rsidRPr="008E2E89">
              <w:rPr>
                <w:rFonts w:ascii="Times New Roman" w:hAnsi="Times New Roman" w:cs="Times New Roman"/>
                <w:b/>
                <w:color w:val="000000" w:themeColor="text1"/>
                <w:sz w:val="24"/>
                <w:szCs w:val="24"/>
              </w:rPr>
              <w:t xml:space="preserve">    score                     Index</w:t>
            </w:r>
          </w:p>
        </w:tc>
        <w:tc>
          <w:tcPr>
            <w:tcW w:w="1170" w:type="dxa"/>
            <w:tcBorders>
              <w:top w:val="single" w:sz="18" w:space="0" w:color="auto"/>
              <w:left w:val="nil"/>
              <w:bottom w:val="single" w:sz="18" w:space="0" w:color="auto"/>
              <w:right w:val="nil"/>
            </w:tcBorders>
            <w:vAlign w:val="center"/>
          </w:tcPr>
          <w:p w:rsidR="00A339D8" w:rsidRPr="008E2E89" w:rsidRDefault="00A339D8" w:rsidP="00086C23">
            <w:pPr>
              <w:jc w:val="both"/>
              <w:rPr>
                <w:rFonts w:ascii="Times New Roman" w:hAnsi="Times New Roman" w:cs="Times New Roman"/>
                <w:b/>
                <w:bCs/>
                <w:color w:val="000000" w:themeColor="text1"/>
                <w:sz w:val="24"/>
                <w:szCs w:val="24"/>
              </w:rPr>
            </w:pPr>
            <w:r w:rsidRPr="008E2E89">
              <w:rPr>
                <w:rFonts w:ascii="Times New Roman" w:hAnsi="Times New Roman" w:cs="Times New Roman"/>
                <w:b/>
                <w:bCs/>
                <w:color w:val="000000" w:themeColor="text1"/>
                <w:sz w:val="24"/>
                <w:szCs w:val="24"/>
              </w:rPr>
              <w:t xml:space="preserve">    Deviation</w:t>
            </w:r>
          </w:p>
          <w:p w:rsidR="00A339D8" w:rsidRPr="008E2E89" w:rsidRDefault="00A339D8" w:rsidP="00086C23">
            <w:pPr>
              <w:jc w:val="both"/>
              <w:rPr>
                <w:rFonts w:ascii="Times New Roman" w:hAnsi="Times New Roman" w:cs="Times New Roman"/>
                <w:b/>
                <w:bCs/>
                <w:color w:val="000000" w:themeColor="text1"/>
                <w:sz w:val="24"/>
                <w:szCs w:val="24"/>
              </w:rPr>
            </w:pPr>
            <w:r w:rsidRPr="008E2E89">
              <w:rPr>
                <w:rFonts w:ascii="Times New Roman" w:hAnsi="Times New Roman" w:cs="Times New Roman"/>
                <w:b/>
                <w:bCs/>
                <w:color w:val="000000" w:themeColor="text1"/>
                <w:sz w:val="24"/>
                <w:szCs w:val="24"/>
              </w:rPr>
              <w:t>from Group Mean</w:t>
            </w:r>
          </w:p>
        </w:tc>
        <w:tc>
          <w:tcPr>
            <w:tcW w:w="2340" w:type="dxa"/>
            <w:tcBorders>
              <w:top w:val="single" w:sz="18" w:space="0" w:color="auto"/>
              <w:left w:val="nil"/>
              <w:bottom w:val="single" w:sz="18" w:space="0" w:color="auto"/>
              <w:right w:val="nil"/>
            </w:tcBorders>
            <w:vAlign w:val="center"/>
          </w:tcPr>
          <w:p w:rsidR="00A339D8" w:rsidRPr="008E2E89" w:rsidRDefault="00A339D8" w:rsidP="00086C23">
            <w:pPr>
              <w:jc w:val="both"/>
              <w:rPr>
                <w:rFonts w:ascii="Times New Roman" w:hAnsi="Times New Roman" w:cs="Times New Roman"/>
                <w:b/>
                <w:color w:val="000000" w:themeColor="text1"/>
                <w:sz w:val="24"/>
                <w:szCs w:val="24"/>
              </w:rPr>
            </w:pPr>
            <w:r w:rsidRPr="008E2E89">
              <w:rPr>
                <w:rFonts w:ascii="Times New Roman" w:hAnsi="Times New Roman" w:cs="Times New Roman"/>
                <w:b/>
                <w:color w:val="000000" w:themeColor="text1"/>
                <w:sz w:val="24"/>
                <w:szCs w:val="24"/>
              </w:rPr>
              <w:t xml:space="preserve">        Ranking</w:t>
            </w:r>
          </w:p>
        </w:tc>
      </w:tr>
      <w:tr w:rsidR="0005640A" w:rsidRPr="009B7B2D" w:rsidTr="00AB294A">
        <w:tc>
          <w:tcPr>
            <w:tcW w:w="2988" w:type="dxa"/>
            <w:tcBorders>
              <w:top w:val="single" w:sz="18" w:space="0" w:color="auto"/>
              <w:left w:val="nil"/>
              <w:bottom w:val="nil"/>
              <w:right w:val="nil"/>
            </w:tcBorders>
            <w:vAlign w:val="bottom"/>
          </w:tcPr>
          <w:p w:rsidR="0005640A" w:rsidRPr="005204B2" w:rsidRDefault="0005640A" w:rsidP="0005640A">
            <w:pPr>
              <w:rPr>
                <w:rFonts w:ascii="Times New Roman" w:hAnsi="Times New Roman" w:cs="Times New Roman"/>
                <w:sz w:val="24"/>
                <w:szCs w:val="24"/>
              </w:rPr>
            </w:pPr>
            <w:r w:rsidRPr="005204B2">
              <w:rPr>
                <w:rFonts w:ascii="Times New Roman" w:hAnsi="Times New Roman" w:cs="Times New Roman"/>
                <w:sz w:val="24"/>
                <w:szCs w:val="24"/>
              </w:rPr>
              <w:t>Project Management Software</w:t>
            </w:r>
          </w:p>
        </w:tc>
        <w:tc>
          <w:tcPr>
            <w:tcW w:w="3780" w:type="dxa"/>
            <w:tcBorders>
              <w:top w:val="single" w:sz="18" w:space="0" w:color="auto"/>
              <w:left w:val="nil"/>
              <w:bottom w:val="nil"/>
              <w:right w:val="nil"/>
            </w:tcBorders>
            <w:vAlign w:val="center"/>
          </w:tcPr>
          <w:p w:rsidR="0005640A" w:rsidRPr="005204B2" w:rsidRDefault="0005640A" w:rsidP="0005640A">
            <w:pPr>
              <w:jc w:val="both"/>
              <w:rPr>
                <w:rFonts w:ascii="Times New Roman" w:hAnsi="Times New Roman" w:cs="Times New Roman"/>
                <w:color w:val="000000" w:themeColor="text1"/>
                <w:sz w:val="24"/>
                <w:szCs w:val="24"/>
              </w:rPr>
            </w:pPr>
            <w:r w:rsidRPr="005204B2">
              <w:rPr>
                <w:rFonts w:ascii="Times New Roman" w:hAnsi="Times New Roman" w:cs="Times New Roman"/>
                <w:color w:val="000000" w:themeColor="text1"/>
                <w:sz w:val="24"/>
                <w:szCs w:val="24"/>
              </w:rPr>
              <w:t xml:space="preserve">    3.562</w:t>
            </w:r>
            <w:r>
              <w:rPr>
                <w:rFonts w:ascii="Times New Roman" w:hAnsi="Times New Roman" w:cs="Times New Roman"/>
                <w:color w:val="000000" w:themeColor="text1"/>
                <w:sz w:val="24"/>
                <w:szCs w:val="24"/>
              </w:rPr>
              <w:t xml:space="preserve">                     0.712</w:t>
            </w:r>
          </w:p>
        </w:tc>
        <w:tc>
          <w:tcPr>
            <w:tcW w:w="1170" w:type="dxa"/>
            <w:tcBorders>
              <w:top w:val="single" w:sz="18" w:space="0" w:color="auto"/>
              <w:left w:val="nil"/>
              <w:bottom w:val="nil"/>
              <w:right w:val="nil"/>
            </w:tcBorders>
            <w:vAlign w:val="center"/>
          </w:tcPr>
          <w:p w:rsidR="0005640A" w:rsidRPr="009B7B2D" w:rsidRDefault="0005640A" w:rsidP="0005640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+0.462</w:t>
            </w:r>
          </w:p>
        </w:tc>
        <w:tc>
          <w:tcPr>
            <w:tcW w:w="2340" w:type="dxa"/>
            <w:tcBorders>
              <w:top w:val="single" w:sz="18" w:space="0" w:color="auto"/>
              <w:left w:val="nil"/>
              <w:bottom w:val="nil"/>
              <w:right w:val="nil"/>
            </w:tcBorders>
            <w:vAlign w:val="center"/>
          </w:tcPr>
          <w:p w:rsidR="0005640A" w:rsidRPr="009B7B2D" w:rsidRDefault="008C570D" w:rsidP="0005640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p>
        </w:tc>
      </w:tr>
      <w:tr w:rsidR="0005640A" w:rsidRPr="009B7B2D" w:rsidTr="00AB294A">
        <w:tc>
          <w:tcPr>
            <w:tcW w:w="2988" w:type="dxa"/>
            <w:vAlign w:val="bottom"/>
          </w:tcPr>
          <w:p w:rsidR="0005640A" w:rsidRPr="005204B2" w:rsidRDefault="0005640A" w:rsidP="0005640A">
            <w:pPr>
              <w:rPr>
                <w:rFonts w:ascii="Times New Roman" w:hAnsi="Times New Roman" w:cs="Times New Roman"/>
                <w:sz w:val="24"/>
                <w:szCs w:val="24"/>
              </w:rPr>
            </w:pPr>
          </w:p>
        </w:tc>
        <w:tc>
          <w:tcPr>
            <w:tcW w:w="3780" w:type="dxa"/>
            <w:vAlign w:val="center"/>
          </w:tcPr>
          <w:p w:rsidR="0005640A" w:rsidRPr="005204B2" w:rsidRDefault="0005640A" w:rsidP="0005640A">
            <w:pPr>
              <w:jc w:val="both"/>
              <w:rPr>
                <w:rFonts w:ascii="Times New Roman" w:hAnsi="Times New Roman" w:cs="Times New Roman"/>
                <w:color w:val="000000" w:themeColor="text1"/>
                <w:sz w:val="24"/>
                <w:szCs w:val="24"/>
              </w:rPr>
            </w:pPr>
          </w:p>
        </w:tc>
        <w:tc>
          <w:tcPr>
            <w:tcW w:w="1170" w:type="dxa"/>
            <w:vAlign w:val="center"/>
          </w:tcPr>
          <w:p w:rsidR="0005640A" w:rsidRPr="009B7B2D" w:rsidRDefault="0005640A" w:rsidP="0005640A">
            <w:pPr>
              <w:jc w:val="both"/>
              <w:rPr>
                <w:rFonts w:ascii="Times New Roman" w:hAnsi="Times New Roman" w:cs="Times New Roman"/>
                <w:color w:val="000000" w:themeColor="text1"/>
                <w:sz w:val="24"/>
                <w:szCs w:val="24"/>
              </w:rPr>
            </w:pPr>
          </w:p>
        </w:tc>
        <w:tc>
          <w:tcPr>
            <w:tcW w:w="2340" w:type="dxa"/>
            <w:vAlign w:val="center"/>
          </w:tcPr>
          <w:p w:rsidR="0005640A" w:rsidRPr="009B7B2D" w:rsidRDefault="0005640A" w:rsidP="0005640A">
            <w:pPr>
              <w:jc w:val="both"/>
              <w:rPr>
                <w:rFonts w:ascii="Times New Roman" w:hAnsi="Times New Roman" w:cs="Times New Roman"/>
                <w:color w:val="000000" w:themeColor="text1"/>
                <w:sz w:val="24"/>
                <w:szCs w:val="24"/>
              </w:rPr>
            </w:pPr>
          </w:p>
        </w:tc>
      </w:tr>
      <w:tr w:rsidR="0005640A" w:rsidRPr="009B7B2D" w:rsidTr="00AB294A">
        <w:tc>
          <w:tcPr>
            <w:tcW w:w="2988" w:type="dxa"/>
            <w:vAlign w:val="bottom"/>
          </w:tcPr>
          <w:p w:rsidR="0005640A" w:rsidRDefault="0005640A" w:rsidP="0005640A">
            <w:pPr>
              <w:rPr>
                <w:rFonts w:ascii="Times New Roman" w:hAnsi="Times New Roman" w:cs="Times New Roman"/>
                <w:sz w:val="24"/>
                <w:szCs w:val="24"/>
              </w:rPr>
            </w:pPr>
            <w:r w:rsidRPr="005204B2">
              <w:rPr>
                <w:rFonts w:ascii="Times New Roman" w:hAnsi="Times New Roman" w:cs="Times New Roman"/>
                <w:sz w:val="24"/>
                <w:szCs w:val="24"/>
              </w:rPr>
              <w:t>Property V</w:t>
            </w:r>
            <w:r w:rsidR="00F0473D">
              <w:rPr>
                <w:rFonts w:ascii="Times New Roman" w:hAnsi="Times New Roman" w:cs="Times New Roman"/>
                <w:sz w:val="24"/>
                <w:szCs w:val="24"/>
              </w:rPr>
              <w:t xml:space="preserve">aluation Software </w:t>
            </w:r>
            <w:r w:rsidRPr="005204B2">
              <w:rPr>
                <w:rFonts w:ascii="Times New Roman" w:hAnsi="Times New Roman" w:cs="Times New Roman"/>
                <w:sz w:val="24"/>
                <w:szCs w:val="24"/>
              </w:rPr>
              <w:t xml:space="preserve"> </w:t>
            </w:r>
          </w:p>
          <w:p w:rsidR="0005640A" w:rsidRPr="005204B2" w:rsidRDefault="0005640A" w:rsidP="0005640A">
            <w:pPr>
              <w:rPr>
                <w:rFonts w:ascii="Times New Roman" w:hAnsi="Times New Roman" w:cs="Times New Roman"/>
                <w:sz w:val="24"/>
                <w:szCs w:val="24"/>
              </w:rPr>
            </w:pPr>
          </w:p>
        </w:tc>
        <w:tc>
          <w:tcPr>
            <w:tcW w:w="3780" w:type="dxa"/>
            <w:vAlign w:val="center"/>
          </w:tcPr>
          <w:p w:rsidR="0005640A" w:rsidRDefault="0005640A" w:rsidP="0005640A">
            <w:pPr>
              <w:jc w:val="both"/>
              <w:rPr>
                <w:rFonts w:ascii="Times New Roman" w:hAnsi="Times New Roman" w:cs="Times New Roman"/>
                <w:color w:val="000000" w:themeColor="text1"/>
                <w:sz w:val="24"/>
                <w:szCs w:val="24"/>
              </w:rPr>
            </w:pPr>
            <w:r w:rsidRPr="005204B2">
              <w:rPr>
                <w:rFonts w:ascii="Times New Roman" w:hAnsi="Times New Roman" w:cs="Times New Roman"/>
                <w:color w:val="000000" w:themeColor="text1"/>
                <w:sz w:val="24"/>
                <w:szCs w:val="24"/>
              </w:rPr>
              <w:t xml:space="preserve">    3.500</w:t>
            </w:r>
            <w:r>
              <w:rPr>
                <w:rFonts w:ascii="Times New Roman" w:hAnsi="Times New Roman" w:cs="Times New Roman"/>
                <w:color w:val="000000" w:themeColor="text1"/>
                <w:sz w:val="24"/>
                <w:szCs w:val="24"/>
              </w:rPr>
              <w:t xml:space="preserve">                     0.700   </w:t>
            </w:r>
            <w:r w:rsidR="008C570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05640A" w:rsidRPr="005204B2" w:rsidRDefault="0005640A" w:rsidP="0005640A">
            <w:pPr>
              <w:jc w:val="both"/>
              <w:rPr>
                <w:rFonts w:ascii="Times New Roman" w:hAnsi="Times New Roman" w:cs="Times New Roman"/>
                <w:color w:val="000000" w:themeColor="text1"/>
                <w:sz w:val="24"/>
                <w:szCs w:val="24"/>
              </w:rPr>
            </w:pPr>
          </w:p>
        </w:tc>
        <w:tc>
          <w:tcPr>
            <w:tcW w:w="1170" w:type="dxa"/>
            <w:vAlign w:val="center"/>
          </w:tcPr>
          <w:p w:rsidR="0005640A" w:rsidRPr="009B7B2D" w:rsidRDefault="008C570D" w:rsidP="0005640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+0.400                       </w:t>
            </w:r>
          </w:p>
        </w:tc>
        <w:tc>
          <w:tcPr>
            <w:tcW w:w="2340" w:type="dxa"/>
            <w:vAlign w:val="center"/>
          </w:tcPr>
          <w:p w:rsidR="0005640A" w:rsidRPr="009B7B2D" w:rsidRDefault="008C570D" w:rsidP="0005640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w:t>
            </w:r>
          </w:p>
        </w:tc>
      </w:tr>
      <w:tr w:rsidR="0005640A" w:rsidRPr="009B7B2D" w:rsidTr="00AB294A">
        <w:tc>
          <w:tcPr>
            <w:tcW w:w="2988" w:type="dxa"/>
            <w:vAlign w:val="bottom"/>
          </w:tcPr>
          <w:p w:rsidR="0005640A" w:rsidRPr="00F0473D" w:rsidRDefault="00F0473D" w:rsidP="0005640A">
            <w:pPr>
              <w:rPr>
                <w:rFonts w:ascii="Times New Roman" w:hAnsi="Times New Roman" w:cs="Times New Roman"/>
                <w:sz w:val="24"/>
                <w:szCs w:val="24"/>
              </w:rPr>
            </w:pPr>
            <w:r w:rsidRPr="00F0473D">
              <w:rPr>
                <w:rFonts w:ascii="Times New Roman" w:hAnsi="Times New Roman" w:cs="Times New Roman"/>
                <w:sz w:val="24"/>
                <w:szCs w:val="24"/>
              </w:rPr>
              <w:t xml:space="preserve">GIS </w:t>
            </w:r>
          </w:p>
          <w:p w:rsidR="0005640A" w:rsidRPr="005204B2" w:rsidRDefault="0005640A" w:rsidP="0005640A">
            <w:pPr>
              <w:rPr>
                <w:rFonts w:ascii="Times New Roman" w:hAnsi="Times New Roman" w:cs="Times New Roman"/>
                <w:sz w:val="24"/>
                <w:szCs w:val="24"/>
              </w:rPr>
            </w:pPr>
          </w:p>
        </w:tc>
        <w:tc>
          <w:tcPr>
            <w:tcW w:w="3780" w:type="dxa"/>
            <w:vAlign w:val="center"/>
          </w:tcPr>
          <w:p w:rsidR="0005640A" w:rsidRPr="005204B2" w:rsidRDefault="00F0473D" w:rsidP="0005640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5640A">
              <w:rPr>
                <w:rFonts w:ascii="Times New Roman" w:hAnsi="Times New Roman" w:cs="Times New Roman"/>
                <w:color w:val="000000" w:themeColor="text1"/>
                <w:sz w:val="24"/>
                <w:szCs w:val="24"/>
              </w:rPr>
              <w:t xml:space="preserve">3.312                   </w:t>
            </w:r>
            <w:r>
              <w:rPr>
                <w:rFonts w:ascii="Times New Roman" w:hAnsi="Times New Roman" w:cs="Times New Roman"/>
                <w:color w:val="000000" w:themeColor="text1"/>
                <w:sz w:val="24"/>
                <w:szCs w:val="24"/>
              </w:rPr>
              <w:t xml:space="preserve"> </w:t>
            </w:r>
            <w:r w:rsidR="0005640A">
              <w:rPr>
                <w:rFonts w:ascii="Times New Roman" w:hAnsi="Times New Roman" w:cs="Times New Roman"/>
                <w:color w:val="000000" w:themeColor="text1"/>
                <w:sz w:val="24"/>
                <w:szCs w:val="24"/>
              </w:rPr>
              <w:t xml:space="preserve"> </w:t>
            </w:r>
            <w:r w:rsidR="008C570D">
              <w:rPr>
                <w:rFonts w:ascii="Times New Roman" w:hAnsi="Times New Roman" w:cs="Times New Roman"/>
                <w:color w:val="000000" w:themeColor="text1"/>
                <w:sz w:val="24"/>
                <w:szCs w:val="24"/>
              </w:rPr>
              <w:t xml:space="preserve">0.662                                  </w:t>
            </w:r>
          </w:p>
        </w:tc>
        <w:tc>
          <w:tcPr>
            <w:tcW w:w="1170" w:type="dxa"/>
            <w:vAlign w:val="center"/>
          </w:tcPr>
          <w:p w:rsidR="0005640A" w:rsidRPr="009B7B2D" w:rsidRDefault="008C570D" w:rsidP="0005640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+0.212</w:t>
            </w:r>
          </w:p>
        </w:tc>
        <w:tc>
          <w:tcPr>
            <w:tcW w:w="2340" w:type="dxa"/>
            <w:vAlign w:val="center"/>
          </w:tcPr>
          <w:p w:rsidR="0005640A" w:rsidRPr="009B7B2D" w:rsidRDefault="008C570D" w:rsidP="0005640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w:t>
            </w:r>
          </w:p>
        </w:tc>
      </w:tr>
      <w:tr w:rsidR="0005640A" w:rsidRPr="009B7B2D" w:rsidTr="00AB294A">
        <w:tc>
          <w:tcPr>
            <w:tcW w:w="2988" w:type="dxa"/>
            <w:vAlign w:val="bottom"/>
          </w:tcPr>
          <w:p w:rsidR="0005640A" w:rsidRPr="005204B2" w:rsidRDefault="0005640A" w:rsidP="0005640A">
            <w:pPr>
              <w:rPr>
                <w:rFonts w:ascii="Times New Roman" w:hAnsi="Times New Roman" w:cs="Times New Roman"/>
                <w:sz w:val="24"/>
                <w:szCs w:val="24"/>
              </w:rPr>
            </w:pPr>
            <w:r w:rsidRPr="005204B2">
              <w:rPr>
                <w:rFonts w:ascii="Times New Roman" w:hAnsi="Times New Roman" w:cs="Times New Roman"/>
                <w:sz w:val="24"/>
                <w:szCs w:val="24"/>
              </w:rPr>
              <w:t>Buil</w:t>
            </w:r>
            <w:r w:rsidR="00F0473D">
              <w:rPr>
                <w:rFonts w:ascii="Times New Roman" w:hAnsi="Times New Roman" w:cs="Times New Roman"/>
                <w:sz w:val="24"/>
                <w:szCs w:val="24"/>
              </w:rPr>
              <w:t>ding Information Modeling (BIM</w:t>
            </w:r>
            <w:r w:rsidRPr="005204B2">
              <w:rPr>
                <w:rFonts w:ascii="Times New Roman" w:hAnsi="Times New Roman" w:cs="Times New Roman"/>
                <w:sz w:val="24"/>
                <w:szCs w:val="24"/>
              </w:rPr>
              <w:t>)</w:t>
            </w:r>
          </w:p>
        </w:tc>
        <w:tc>
          <w:tcPr>
            <w:tcW w:w="3780" w:type="dxa"/>
            <w:vAlign w:val="center"/>
          </w:tcPr>
          <w:p w:rsidR="0005640A" w:rsidRPr="005204B2" w:rsidRDefault="0005640A" w:rsidP="0005640A">
            <w:pPr>
              <w:jc w:val="both"/>
              <w:rPr>
                <w:rFonts w:ascii="Times New Roman" w:hAnsi="Times New Roman" w:cs="Times New Roman"/>
                <w:color w:val="000000" w:themeColor="text1"/>
                <w:sz w:val="24"/>
                <w:szCs w:val="24"/>
              </w:rPr>
            </w:pPr>
            <w:r w:rsidRPr="005204B2">
              <w:rPr>
                <w:rFonts w:ascii="Times New Roman" w:hAnsi="Times New Roman" w:cs="Times New Roman"/>
                <w:color w:val="000000" w:themeColor="text1"/>
                <w:sz w:val="24"/>
                <w:szCs w:val="24"/>
              </w:rPr>
              <w:t xml:space="preserve">   </w:t>
            </w:r>
            <w:r w:rsidR="008C570D">
              <w:rPr>
                <w:rFonts w:ascii="Times New Roman" w:hAnsi="Times New Roman" w:cs="Times New Roman"/>
                <w:color w:val="000000" w:themeColor="text1"/>
                <w:sz w:val="24"/>
                <w:szCs w:val="24"/>
              </w:rPr>
              <w:t xml:space="preserve"> </w:t>
            </w:r>
            <w:r w:rsidRPr="005204B2">
              <w:rPr>
                <w:rFonts w:ascii="Times New Roman" w:hAnsi="Times New Roman" w:cs="Times New Roman"/>
                <w:color w:val="000000" w:themeColor="text1"/>
                <w:sz w:val="24"/>
                <w:szCs w:val="24"/>
              </w:rPr>
              <w:t>3.125</w:t>
            </w:r>
            <w:r w:rsidR="008C570D">
              <w:rPr>
                <w:rFonts w:ascii="Times New Roman" w:hAnsi="Times New Roman" w:cs="Times New Roman"/>
                <w:color w:val="000000" w:themeColor="text1"/>
                <w:sz w:val="24"/>
                <w:szCs w:val="24"/>
              </w:rPr>
              <w:t xml:space="preserve">                   </w:t>
            </w:r>
            <w:r w:rsidR="00F0473D">
              <w:rPr>
                <w:rFonts w:ascii="Times New Roman" w:hAnsi="Times New Roman" w:cs="Times New Roman"/>
                <w:color w:val="000000" w:themeColor="text1"/>
                <w:sz w:val="24"/>
                <w:szCs w:val="24"/>
              </w:rPr>
              <w:t xml:space="preserve"> </w:t>
            </w:r>
            <w:r w:rsidR="008C570D">
              <w:rPr>
                <w:rFonts w:ascii="Times New Roman" w:hAnsi="Times New Roman" w:cs="Times New Roman"/>
                <w:color w:val="000000" w:themeColor="text1"/>
                <w:sz w:val="24"/>
                <w:szCs w:val="24"/>
              </w:rPr>
              <w:t xml:space="preserve"> 0.625    </w:t>
            </w:r>
          </w:p>
        </w:tc>
        <w:tc>
          <w:tcPr>
            <w:tcW w:w="1170" w:type="dxa"/>
            <w:vAlign w:val="center"/>
          </w:tcPr>
          <w:p w:rsidR="0005640A" w:rsidRPr="009B7B2D" w:rsidRDefault="008C570D" w:rsidP="0005640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+0.025</w:t>
            </w:r>
          </w:p>
        </w:tc>
        <w:tc>
          <w:tcPr>
            <w:tcW w:w="2340" w:type="dxa"/>
            <w:vAlign w:val="center"/>
          </w:tcPr>
          <w:p w:rsidR="0005640A" w:rsidRPr="009B7B2D" w:rsidRDefault="008C570D" w:rsidP="0005640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w:t>
            </w:r>
          </w:p>
        </w:tc>
      </w:tr>
      <w:tr w:rsidR="0005640A" w:rsidRPr="009B7B2D" w:rsidTr="00086C23">
        <w:tc>
          <w:tcPr>
            <w:tcW w:w="2988" w:type="dxa"/>
          </w:tcPr>
          <w:p w:rsidR="0005640A" w:rsidRPr="009B7B2D" w:rsidRDefault="0005640A" w:rsidP="0005640A">
            <w:pPr>
              <w:jc w:val="both"/>
              <w:rPr>
                <w:rFonts w:ascii="Times New Roman" w:hAnsi="Times New Roman" w:cs="Times New Roman"/>
                <w:color w:val="000000" w:themeColor="text1"/>
                <w:sz w:val="24"/>
                <w:szCs w:val="24"/>
              </w:rPr>
            </w:pPr>
          </w:p>
        </w:tc>
        <w:tc>
          <w:tcPr>
            <w:tcW w:w="3780" w:type="dxa"/>
            <w:vAlign w:val="center"/>
          </w:tcPr>
          <w:p w:rsidR="0005640A" w:rsidRPr="009B7B2D" w:rsidRDefault="0005640A" w:rsidP="0005640A">
            <w:pPr>
              <w:jc w:val="both"/>
              <w:rPr>
                <w:rFonts w:ascii="Times New Roman" w:hAnsi="Times New Roman" w:cs="Times New Roman"/>
                <w:color w:val="000000" w:themeColor="text1"/>
                <w:sz w:val="24"/>
                <w:szCs w:val="24"/>
              </w:rPr>
            </w:pPr>
          </w:p>
        </w:tc>
        <w:tc>
          <w:tcPr>
            <w:tcW w:w="1170" w:type="dxa"/>
            <w:vAlign w:val="center"/>
          </w:tcPr>
          <w:p w:rsidR="0005640A" w:rsidRPr="009B7B2D" w:rsidRDefault="0005640A" w:rsidP="0005640A">
            <w:pPr>
              <w:jc w:val="both"/>
              <w:rPr>
                <w:rFonts w:ascii="Times New Roman" w:hAnsi="Times New Roman" w:cs="Times New Roman"/>
                <w:color w:val="000000" w:themeColor="text1"/>
                <w:sz w:val="24"/>
                <w:szCs w:val="24"/>
              </w:rPr>
            </w:pPr>
          </w:p>
        </w:tc>
        <w:tc>
          <w:tcPr>
            <w:tcW w:w="2340" w:type="dxa"/>
            <w:vAlign w:val="center"/>
          </w:tcPr>
          <w:p w:rsidR="0005640A" w:rsidRPr="009B7B2D" w:rsidRDefault="008C570D" w:rsidP="0005640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r>
      <w:tr w:rsidR="0005640A" w:rsidRPr="009B7B2D" w:rsidTr="000125C4">
        <w:tc>
          <w:tcPr>
            <w:tcW w:w="2988" w:type="dxa"/>
            <w:vAlign w:val="bottom"/>
          </w:tcPr>
          <w:p w:rsidR="0005640A" w:rsidRPr="005204B2" w:rsidRDefault="00F0473D" w:rsidP="0005640A">
            <w:pPr>
              <w:rPr>
                <w:rFonts w:ascii="Times New Roman" w:hAnsi="Times New Roman" w:cs="Times New Roman"/>
                <w:sz w:val="24"/>
                <w:szCs w:val="24"/>
              </w:rPr>
            </w:pPr>
            <w:r>
              <w:rPr>
                <w:rFonts w:ascii="Times New Roman" w:hAnsi="Times New Roman" w:cs="Times New Roman"/>
                <w:sz w:val="24"/>
                <w:szCs w:val="24"/>
              </w:rPr>
              <w:t>AutoCAD</w:t>
            </w:r>
          </w:p>
        </w:tc>
        <w:tc>
          <w:tcPr>
            <w:tcW w:w="3780" w:type="dxa"/>
            <w:vAlign w:val="center"/>
          </w:tcPr>
          <w:p w:rsidR="0005640A" w:rsidRPr="005204B2" w:rsidRDefault="0005640A" w:rsidP="0005640A">
            <w:pPr>
              <w:jc w:val="both"/>
              <w:rPr>
                <w:rFonts w:ascii="Times New Roman" w:hAnsi="Times New Roman" w:cs="Times New Roman"/>
                <w:color w:val="000000" w:themeColor="text1"/>
                <w:sz w:val="24"/>
                <w:szCs w:val="24"/>
              </w:rPr>
            </w:pPr>
            <w:r w:rsidRPr="005204B2">
              <w:rPr>
                <w:rFonts w:ascii="Times New Roman" w:hAnsi="Times New Roman" w:cs="Times New Roman"/>
                <w:color w:val="000000" w:themeColor="text1"/>
                <w:sz w:val="24"/>
                <w:szCs w:val="24"/>
              </w:rPr>
              <w:t xml:space="preserve">    2.000</w:t>
            </w:r>
            <w:r>
              <w:rPr>
                <w:rFonts w:ascii="Times New Roman" w:hAnsi="Times New Roman" w:cs="Times New Roman"/>
                <w:color w:val="000000" w:themeColor="text1"/>
                <w:sz w:val="24"/>
                <w:szCs w:val="24"/>
              </w:rPr>
              <w:t xml:space="preserve">                  </w:t>
            </w:r>
            <w:r w:rsidR="008C570D">
              <w:rPr>
                <w:rFonts w:ascii="Times New Roman" w:hAnsi="Times New Roman" w:cs="Times New Roman"/>
                <w:color w:val="000000" w:themeColor="text1"/>
                <w:sz w:val="24"/>
                <w:szCs w:val="24"/>
              </w:rPr>
              <w:t xml:space="preserve">   0.400</w:t>
            </w:r>
          </w:p>
        </w:tc>
        <w:tc>
          <w:tcPr>
            <w:tcW w:w="1170" w:type="dxa"/>
            <w:vAlign w:val="center"/>
          </w:tcPr>
          <w:p w:rsidR="0005640A" w:rsidRPr="009B7B2D" w:rsidRDefault="008C570D" w:rsidP="0005640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-1.100                 </w:t>
            </w:r>
          </w:p>
        </w:tc>
        <w:tc>
          <w:tcPr>
            <w:tcW w:w="2340" w:type="dxa"/>
            <w:vAlign w:val="center"/>
          </w:tcPr>
          <w:p w:rsidR="0005640A" w:rsidRPr="009B7B2D" w:rsidRDefault="008C570D" w:rsidP="0005640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w:t>
            </w:r>
          </w:p>
        </w:tc>
      </w:tr>
      <w:tr w:rsidR="0005640A" w:rsidRPr="009B7B2D" w:rsidTr="00086C23">
        <w:tc>
          <w:tcPr>
            <w:tcW w:w="2988" w:type="dxa"/>
          </w:tcPr>
          <w:p w:rsidR="0005640A" w:rsidRPr="009B7B2D" w:rsidRDefault="0005640A" w:rsidP="0005640A">
            <w:pPr>
              <w:jc w:val="both"/>
              <w:rPr>
                <w:rFonts w:ascii="Times New Roman" w:hAnsi="Times New Roman" w:cs="Times New Roman"/>
                <w:color w:val="000000" w:themeColor="text1"/>
                <w:sz w:val="24"/>
                <w:szCs w:val="24"/>
              </w:rPr>
            </w:pPr>
          </w:p>
        </w:tc>
        <w:tc>
          <w:tcPr>
            <w:tcW w:w="3780" w:type="dxa"/>
            <w:vAlign w:val="center"/>
          </w:tcPr>
          <w:p w:rsidR="0005640A" w:rsidRPr="009B7B2D" w:rsidRDefault="0005640A" w:rsidP="0005640A">
            <w:pPr>
              <w:jc w:val="both"/>
              <w:rPr>
                <w:rFonts w:ascii="Times New Roman" w:hAnsi="Times New Roman" w:cs="Times New Roman"/>
                <w:color w:val="000000" w:themeColor="text1"/>
                <w:sz w:val="24"/>
                <w:szCs w:val="24"/>
              </w:rPr>
            </w:pPr>
          </w:p>
        </w:tc>
        <w:tc>
          <w:tcPr>
            <w:tcW w:w="1170" w:type="dxa"/>
            <w:vAlign w:val="center"/>
          </w:tcPr>
          <w:p w:rsidR="0005640A" w:rsidRPr="009B7B2D" w:rsidRDefault="0005640A" w:rsidP="0005640A">
            <w:pPr>
              <w:jc w:val="both"/>
              <w:rPr>
                <w:rFonts w:ascii="Times New Roman" w:hAnsi="Times New Roman" w:cs="Times New Roman"/>
                <w:color w:val="000000" w:themeColor="text1"/>
                <w:sz w:val="24"/>
                <w:szCs w:val="24"/>
              </w:rPr>
            </w:pPr>
          </w:p>
        </w:tc>
        <w:tc>
          <w:tcPr>
            <w:tcW w:w="2340" w:type="dxa"/>
            <w:vAlign w:val="center"/>
          </w:tcPr>
          <w:p w:rsidR="0005640A" w:rsidRPr="009B7B2D" w:rsidRDefault="0005640A" w:rsidP="0005640A">
            <w:pPr>
              <w:jc w:val="both"/>
              <w:rPr>
                <w:rFonts w:ascii="Times New Roman" w:hAnsi="Times New Roman" w:cs="Times New Roman"/>
                <w:color w:val="000000" w:themeColor="text1"/>
                <w:sz w:val="24"/>
                <w:szCs w:val="24"/>
              </w:rPr>
            </w:pPr>
          </w:p>
        </w:tc>
      </w:tr>
      <w:tr w:rsidR="0005640A" w:rsidRPr="009B7B2D" w:rsidTr="008C570D">
        <w:tc>
          <w:tcPr>
            <w:tcW w:w="2988" w:type="dxa"/>
            <w:tcBorders>
              <w:bottom w:val="single" w:sz="4" w:space="0" w:color="auto"/>
            </w:tcBorders>
          </w:tcPr>
          <w:p w:rsidR="0005640A" w:rsidRPr="009B7B2D" w:rsidRDefault="0005640A" w:rsidP="0005640A">
            <w:pPr>
              <w:jc w:val="both"/>
              <w:rPr>
                <w:rFonts w:ascii="Times New Roman" w:hAnsi="Times New Roman" w:cs="Times New Roman"/>
                <w:color w:val="000000" w:themeColor="text1"/>
                <w:sz w:val="24"/>
                <w:szCs w:val="24"/>
              </w:rPr>
            </w:pPr>
          </w:p>
        </w:tc>
        <w:tc>
          <w:tcPr>
            <w:tcW w:w="3780" w:type="dxa"/>
            <w:tcBorders>
              <w:bottom w:val="single" w:sz="4" w:space="0" w:color="auto"/>
            </w:tcBorders>
            <w:vAlign w:val="center"/>
          </w:tcPr>
          <w:p w:rsidR="0005640A" w:rsidRPr="008C570D" w:rsidRDefault="0005640A" w:rsidP="0005640A">
            <w:pPr>
              <w:jc w:val="both"/>
              <w:rPr>
                <w:rFonts w:ascii="Times New Roman" w:hAnsi="Times New Roman" w:cs="Times New Roman"/>
                <w:b/>
                <w:color w:val="000000" w:themeColor="text1"/>
                <w:sz w:val="24"/>
                <w:szCs w:val="24"/>
              </w:rPr>
            </w:pPr>
            <w:r w:rsidRPr="008C570D">
              <w:rPr>
                <w:rFonts w:ascii="Times New Roman" w:hAnsi="Times New Roman" w:cs="Times New Roman"/>
                <w:b/>
                <w:color w:val="000000" w:themeColor="text1"/>
                <w:sz w:val="24"/>
                <w:szCs w:val="24"/>
              </w:rPr>
              <w:t>Group mean 3.10</w:t>
            </w:r>
          </w:p>
        </w:tc>
        <w:tc>
          <w:tcPr>
            <w:tcW w:w="1170" w:type="dxa"/>
            <w:tcBorders>
              <w:bottom w:val="single" w:sz="4" w:space="0" w:color="auto"/>
            </w:tcBorders>
            <w:vAlign w:val="center"/>
          </w:tcPr>
          <w:p w:rsidR="0005640A" w:rsidRPr="009B7B2D" w:rsidRDefault="0005640A" w:rsidP="0005640A">
            <w:pPr>
              <w:jc w:val="both"/>
              <w:rPr>
                <w:rFonts w:ascii="Times New Roman" w:hAnsi="Times New Roman" w:cs="Times New Roman"/>
                <w:color w:val="000000" w:themeColor="text1"/>
                <w:sz w:val="24"/>
                <w:szCs w:val="24"/>
              </w:rPr>
            </w:pPr>
          </w:p>
        </w:tc>
        <w:tc>
          <w:tcPr>
            <w:tcW w:w="2340" w:type="dxa"/>
            <w:tcBorders>
              <w:bottom w:val="single" w:sz="4" w:space="0" w:color="auto"/>
            </w:tcBorders>
            <w:vAlign w:val="center"/>
          </w:tcPr>
          <w:p w:rsidR="0005640A" w:rsidRPr="009B7B2D" w:rsidRDefault="0005640A" w:rsidP="0005640A">
            <w:pPr>
              <w:jc w:val="both"/>
              <w:rPr>
                <w:rFonts w:ascii="Times New Roman" w:hAnsi="Times New Roman" w:cs="Times New Roman"/>
                <w:color w:val="000000" w:themeColor="text1"/>
                <w:sz w:val="24"/>
                <w:szCs w:val="24"/>
              </w:rPr>
            </w:pPr>
          </w:p>
        </w:tc>
      </w:tr>
      <w:tr w:rsidR="0005640A" w:rsidRPr="009B7B2D" w:rsidTr="008C570D">
        <w:tc>
          <w:tcPr>
            <w:tcW w:w="2988" w:type="dxa"/>
            <w:tcBorders>
              <w:top w:val="single" w:sz="4" w:space="0" w:color="auto"/>
            </w:tcBorders>
            <w:vAlign w:val="bottom"/>
          </w:tcPr>
          <w:p w:rsidR="00AE5348" w:rsidRPr="00340503" w:rsidRDefault="003153A6" w:rsidP="00AE5348">
            <w:pPr>
              <w:rPr>
                <w:rFonts w:ascii="Times New Roman" w:hAnsi="Times New Roman" w:cs="Times New Roman"/>
                <w:b/>
                <w:sz w:val="24"/>
                <w:szCs w:val="24"/>
              </w:rPr>
            </w:pPr>
            <w:r>
              <w:rPr>
                <w:rFonts w:ascii="Times New Roman" w:hAnsi="Times New Roman" w:cs="Times New Roman"/>
                <w:b/>
                <w:sz w:val="24"/>
                <w:szCs w:val="24"/>
              </w:rPr>
              <w:t xml:space="preserve">Source: Field </w:t>
            </w:r>
            <w:r w:rsidR="00AE5348" w:rsidRPr="00340503">
              <w:rPr>
                <w:rFonts w:ascii="Times New Roman" w:hAnsi="Times New Roman" w:cs="Times New Roman"/>
                <w:b/>
                <w:sz w:val="24"/>
                <w:szCs w:val="24"/>
              </w:rPr>
              <w:t>Survey</w:t>
            </w:r>
            <w:r>
              <w:rPr>
                <w:rFonts w:ascii="Times New Roman" w:hAnsi="Times New Roman" w:cs="Times New Roman"/>
                <w:b/>
                <w:sz w:val="24"/>
                <w:szCs w:val="24"/>
              </w:rPr>
              <w:t xml:space="preserve"> </w:t>
            </w:r>
            <w:r w:rsidR="00AE5348" w:rsidRPr="00340503">
              <w:rPr>
                <w:rFonts w:ascii="Times New Roman" w:hAnsi="Times New Roman" w:cs="Times New Roman"/>
                <w:b/>
                <w:sz w:val="24"/>
                <w:szCs w:val="24"/>
              </w:rPr>
              <w:t>(2025)</w:t>
            </w:r>
          </w:p>
          <w:p w:rsidR="0005640A" w:rsidRPr="005204B2" w:rsidRDefault="0005640A" w:rsidP="0005640A">
            <w:pPr>
              <w:rPr>
                <w:rFonts w:ascii="Times New Roman" w:hAnsi="Times New Roman" w:cs="Times New Roman"/>
                <w:sz w:val="24"/>
                <w:szCs w:val="24"/>
              </w:rPr>
            </w:pPr>
          </w:p>
        </w:tc>
        <w:tc>
          <w:tcPr>
            <w:tcW w:w="3780" w:type="dxa"/>
            <w:tcBorders>
              <w:top w:val="single" w:sz="4" w:space="0" w:color="auto"/>
            </w:tcBorders>
            <w:vAlign w:val="center"/>
          </w:tcPr>
          <w:p w:rsidR="0005640A" w:rsidRPr="005204B2" w:rsidRDefault="0005640A" w:rsidP="0005640A">
            <w:pPr>
              <w:jc w:val="both"/>
              <w:rPr>
                <w:rFonts w:ascii="Times New Roman" w:hAnsi="Times New Roman" w:cs="Times New Roman"/>
                <w:color w:val="000000" w:themeColor="text1"/>
                <w:sz w:val="24"/>
                <w:szCs w:val="24"/>
              </w:rPr>
            </w:pPr>
          </w:p>
        </w:tc>
        <w:tc>
          <w:tcPr>
            <w:tcW w:w="1170" w:type="dxa"/>
            <w:tcBorders>
              <w:top w:val="single" w:sz="4" w:space="0" w:color="auto"/>
            </w:tcBorders>
            <w:vAlign w:val="center"/>
          </w:tcPr>
          <w:p w:rsidR="0005640A" w:rsidRPr="009B7B2D" w:rsidRDefault="0005640A" w:rsidP="0005640A">
            <w:pPr>
              <w:jc w:val="both"/>
              <w:rPr>
                <w:rFonts w:ascii="Times New Roman" w:hAnsi="Times New Roman" w:cs="Times New Roman"/>
                <w:color w:val="000000" w:themeColor="text1"/>
                <w:sz w:val="24"/>
                <w:szCs w:val="24"/>
              </w:rPr>
            </w:pPr>
          </w:p>
        </w:tc>
        <w:tc>
          <w:tcPr>
            <w:tcW w:w="2340" w:type="dxa"/>
            <w:tcBorders>
              <w:top w:val="single" w:sz="4" w:space="0" w:color="auto"/>
            </w:tcBorders>
            <w:vAlign w:val="center"/>
          </w:tcPr>
          <w:p w:rsidR="0005640A" w:rsidRPr="009B7B2D" w:rsidRDefault="0005640A" w:rsidP="0005640A">
            <w:pPr>
              <w:jc w:val="both"/>
              <w:rPr>
                <w:rFonts w:ascii="Times New Roman" w:hAnsi="Times New Roman" w:cs="Times New Roman"/>
                <w:color w:val="000000" w:themeColor="text1"/>
                <w:sz w:val="24"/>
                <w:szCs w:val="24"/>
              </w:rPr>
            </w:pPr>
          </w:p>
        </w:tc>
      </w:tr>
    </w:tbl>
    <w:p w:rsidR="00990098" w:rsidRDefault="00A339D8" w:rsidP="006A3AF5">
      <w:pPr>
        <w:spacing w:after="0" w:line="360" w:lineRule="auto"/>
        <w:jc w:val="both"/>
        <w:rPr>
          <w:rFonts w:ascii="Times New Roman" w:hAnsi="Times New Roman" w:cs="Times New Roman"/>
          <w:sz w:val="24"/>
          <w:szCs w:val="24"/>
        </w:rPr>
      </w:pPr>
      <w:r w:rsidRPr="006A3AF5">
        <w:rPr>
          <w:rFonts w:ascii="Times New Roman" w:eastAsia="Times New Roman" w:hAnsi="Times New Roman" w:cs="Times New Roman"/>
          <w:bCs/>
          <w:color w:val="000000" w:themeColor="text1"/>
          <w:sz w:val="24"/>
          <w:szCs w:val="24"/>
        </w:rPr>
        <w:lastRenderedPageBreak/>
        <w:t xml:space="preserve">Table 3 depicts the result of the </w:t>
      </w:r>
      <w:r w:rsidR="00990098" w:rsidRPr="006A3AF5">
        <w:rPr>
          <w:rFonts w:ascii="Times New Roman" w:hAnsi="Times New Roman" w:cs="Times New Roman"/>
          <w:sz w:val="24"/>
          <w:szCs w:val="24"/>
        </w:rPr>
        <w:t>ICT Proficiency Level of respondents in the study area</w:t>
      </w:r>
      <w:r w:rsidR="00990098" w:rsidRPr="006A3AF5">
        <w:rPr>
          <w:rFonts w:ascii="Times New Roman" w:hAnsi="Times New Roman" w:cs="Times New Roman"/>
          <w:bCs/>
          <w:color w:val="000000" w:themeColor="text1"/>
          <w:sz w:val="24"/>
          <w:szCs w:val="24"/>
        </w:rPr>
        <w:t xml:space="preserve"> </w:t>
      </w:r>
      <w:r w:rsidRPr="006A3AF5">
        <w:rPr>
          <w:rFonts w:ascii="Times New Roman" w:eastAsia="Times New Roman" w:hAnsi="Times New Roman" w:cs="Times New Roman"/>
          <w:bCs/>
          <w:color w:val="000000" w:themeColor="text1"/>
          <w:sz w:val="24"/>
          <w:szCs w:val="24"/>
        </w:rPr>
        <w:t>b</w:t>
      </w:r>
      <w:r w:rsidR="00990098" w:rsidRPr="006A3AF5">
        <w:rPr>
          <w:rFonts w:ascii="Times New Roman" w:eastAsia="Times New Roman" w:hAnsi="Times New Roman" w:cs="Times New Roman"/>
          <w:bCs/>
          <w:color w:val="000000" w:themeColor="text1"/>
          <w:sz w:val="24"/>
          <w:szCs w:val="24"/>
        </w:rPr>
        <w:t xml:space="preserve">ased on the perception of the 17 academic </w:t>
      </w:r>
      <w:r w:rsidRPr="006A3AF5">
        <w:rPr>
          <w:rFonts w:ascii="Times New Roman" w:eastAsia="Times New Roman" w:hAnsi="Times New Roman" w:cs="Times New Roman"/>
          <w:bCs/>
          <w:color w:val="000000" w:themeColor="text1"/>
          <w:sz w:val="24"/>
          <w:szCs w:val="24"/>
        </w:rPr>
        <w:t xml:space="preserve">Staff.  </w:t>
      </w:r>
      <w:r w:rsidR="00990098" w:rsidRPr="006A3AF5">
        <w:rPr>
          <w:rFonts w:ascii="Times New Roman" w:eastAsia="Times New Roman" w:hAnsi="Times New Roman" w:cs="Times New Roman"/>
          <w:bCs/>
          <w:color w:val="000000" w:themeColor="text1"/>
          <w:sz w:val="24"/>
          <w:szCs w:val="24"/>
        </w:rPr>
        <w:t xml:space="preserve">It was revealed that </w:t>
      </w:r>
      <w:r w:rsidR="00990098" w:rsidRPr="006A3AF5">
        <w:rPr>
          <w:rFonts w:ascii="Times New Roman" w:hAnsi="Times New Roman" w:cs="Times New Roman"/>
          <w:sz w:val="24"/>
          <w:szCs w:val="24"/>
        </w:rPr>
        <w:t>the most proficiency in ICT tools among Estate Management and Valuation lecturers are Project Management Software and Property Valuation Software which ranked 1</w:t>
      </w:r>
      <w:r w:rsidR="00990098" w:rsidRPr="006A3AF5">
        <w:rPr>
          <w:rFonts w:ascii="Times New Roman" w:hAnsi="Times New Roman" w:cs="Times New Roman"/>
          <w:sz w:val="24"/>
          <w:szCs w:val="24"/>
          <w:vertAlign w:val="superscript"/>
        </w:rPr>
        <w:t>st</w:t>
      </w:r>
      <w:r w:rsidR="00990098" w:rsidRPr="006A3AF5">
        <w:rPr>
          <w:rFonts w:ascii="Times New Roman" w:hAnsi="Times New Roman" w:cs="Times New Roman"/>
          <w:sz w:val="24"/>
          <w:szCs w:val="24"/>
        </w:rPr>
        <w:t xml:space="preserve"> and 2</w:t>
      </w:r>
      <w:r w:rsidR="00990098" w:rsidRPr="006A3AF5">
        <w:rPr>
          <w:rFonts w:ascii="Times New Roman" w:hAnsi="Times New Roman" w:cs="Times New Roman"/>
          <w:sz w:val="24"/>
          <w:szCs w:val="24"/>
          <w:vertAlign w:val="superscript"/>
        </w:rPr>
        <w:t>nd</w:t>
      </w:r>
      <w:r w:rsidR="00990098" w:rsidRPr="006A3AF5">
        <w:rPr>
          <w:rFonts w:ascii="Times New Roman" w:hAnsi="Times New Roman" w:cs="Times New Roman"/>
          <w:sz w:val="24"/>
          <w:szCs w:val="24"/>
        </w:rPr>
        <w:t xml:space="preserve"> with mean score 3.562 and 3,500 respectively. </w:t>
      </w:r>
      <w:r w:rsidR="00F0473D" w:rsidRPr="006A3AF5">
        <w:rPr>
          <w:rFonts w:ascii="Times New Roman" w:hAnsi="Times New Roman" w:cs="Times New Roman"/>
          <w:sz w:val="24"/>
          <w:szCs w:val="24"/>
        </w:rPr>
        <w:t>This means lecturers are most proficient in this area.</w:t>
      </w:r>
      <w:r w:rsidR="006A3AF5" w:rsidRPr="006A3AF5">
        <w:rPr>
          <w:rFonts w:ascii="Times New Roman" w:hAnsi="Times New Roman" w:cs="Times New Roman"/>
          <w:sz w:val="24"/>
          <w:szCs w:val="24"/>
        </w:rPr>
        <w:t xml:space="preserve"> </w:t>
      </w:r>
      <w:r w:rsidR="006A3AF5">
        <w:rPr>
          <w:rFonts w:ascii="Times New Roman" w:hAnsi="Times New Roman" w:cs="Times New Roman"/>
          <w:sz w:val="24"/>
          <w:szCs w:val="24"/>
        </w:rPr>
        <w:t>Other ICT Tools that the E</w:t>
      </w:r>
      <w:r w:rsidR="00990098" w:rsidRPr="006A3AF5">
        <w:rPr>
          <w:rFonts w:ascii="Times New Roman" w:hAnsi="Times New Roman" w:cs="Times New Roman"/>
          <w:sz w:val="24"/>
          <w:szCs w:val="24"/>
        </w:rPr>
        <w:t>state</w:t>
      </w:r>
      <w:r w:rsidR="006A3AF5">
        <w:rPr>
          <w:rFonts w:ascii="Times New Roman" w:hAnsi="Times New Roman" w:cs="Times New Roman"/>
          <w:sz w:val="24"/>
          <w:szCs w:val="24"/>
        </w:rPr>
        <w:t xml:space="preserve"> Management and V</w:t>
      </w:r>
      <w:r w:rsidR="00990098" w:rsidRPr="006A3AF5">
        <w:rPr>
          <w:rFonts w:ascii="Times New Roman" w:hAnsi="Times New Roman" w:cs="Times New Roman"/>
          <w:sz w:val="24"/>
          <w:szCs w:val="24"/>
        </w:rPr>
        <w:t>aluation lecturer has proficiency in are Geographic Information Systems (GIS) and Building Information Modelling (BIM) and which ranked 3</w:t>
      </w:r>
      <w:r w:rsidR="00990098" w:rsidRPr="006A3AF5">
        <w:rPr>
          <w:rFonts w:ascii="Times New Roman" w:hAnsi="Times New Roman" w:cs="Times New Roman"/>
          <w:sz w:val="24"/>
          <w:szCs w:val="24"/>
          <w:vertAlign w:val="superscript"/>
        </w:rPr>
        <w:t>rd</w:t>
      </w:r>
      <w:r w:rsidR="00990098" w:rsidRPr="006A3AF5">
        <w:rPr>
          <w:rFonts w:ascii="Times New Roman" w:hAnsi="Times New Roman" w:cs="Times New Roman"/>
          <w:sz w:val="24"/>
          <w:szCs w:val="24"/>
        </w:rPr>
        <w:t xml:space="preserve"> and 4</w:t>
      </w:r>
      <w:r w:rsidR="00990098" w:rsidRPr="006A3AF5">
        <w:rPr>
          <w:rFonts w:ascii="Times New Roman" w:hAnsi="Times New Roman" w:cs="Times New Roman"/>
          <w:sz w:val="24"/>
          <w:szCs w:val="24"/>
          <w:vertAlign w:val="superscript"/>
        </w:rPr>
        <w:t>th</w:t>
      </w:r>
      <w:r w:rsidR="00990098" w:rsidRPr="006A3AF5">
        <w:rPr>
          <w:rFonts w:ascii="Times New Roman" w:hAnsi="Times New Roman" w:cs="Times New Roman"/>
          <w:sz w:val="24"/>
          <w:szCs w:val="24"/>
        </w:rPr>
        <w:t xml:space="preserve"> with mean score 3.312 and 3</w:t>
      </w:r>
      <w:r w:rsidR="006A3AF5">
        <w:rPr>
          <w:rFonts w:ascii="Times New Roman" w:hAnsi="Times New Roman" w:cs="Times New Roman"/>
          <w:sz w:val="24"/>
          <w:szCs w:val="24"/>
        </w:rPr>
        <w:t>.125 respectively. In contrast Estate M</w:t>
      </w:r>
      <w:r w:rsidR="00990098" w:rsidRPr="006A3AF5">
        <w:rPr>
          <w:rFonts w:ascii="Times New Roman" w:hAnsi="Times New Roman" w:cs="Times New Roman"/>
          <w:sz w:val="24"/>
          <w:szCs w:val="24"/>
        </w:rPr>
        <w:t>anagement lecturer has a basic proficiency in AutoCAD which ranked 5</w:t>
      </w:r>
      <w:r w:rsidR="00990098" w:rsidRPr="006A3AF5">
        <w:rPr>
          <w:rFonts w:ascii="Times New Roman" w:hAnsi="Times New Roman" w:cs="Times New Roman"/>
          <w:sz w:val="24"/>
          <w:szCs w:val="24"/>
          <w:vertAlign w:val="superscript"/>
        </w:rPr>
        <w:t>th</w:t>
      </w:r>
      <w:r w:rsidR="00990098" w:rsidRPr="006A3AF5">
        <w:rPr>
          <w:rFonts w:ascii="Times New Roman" w:hAnsi="Times New Roman" w:cs="Times New Roman"/>
          <w:sz w:val="24"/>
          <w:szCs w:val="24"/>
        </w:rPr>
        <w:t xml:space="preserve"> and least with mean score 2.000.</w:t>
      </w:r>
      <w:r w:rsidR="006A3AF5" w:rsidRPr="006A3AF5">
        <w:rPr>
          <w:rFonts w:ascii="Times New Roman" w:hAnsi="Times New Roman" w:cs="Times New Roman"/>
          <w:sz w:val="24"/>
          <w:szCs w:val="24"/>
        </w:rPr>
        <w:t xml:space="preserve"> AutoCAD ranked lowest, indicating the least proficiency. </w:t>
      </w:r>
      <w:r w:rsidR="00F0473D" w:rsidRPr="006A3AF5">
        <w:rPr>
          <w:rFonts w:ascii="Times New Roman" w:hAnsi="Times New Roman" w:cs="Times New Roman"/>
          <w:sz w:val="24"/>
          <w:szCs w:val="24"/>
        </w:rPr>
        <w:t xml:space="preserve">Overall, the </w:t>
      </w:r>
      <w:proofErr w:type="spellStart"/>
      <w:r w:rsidR="00F0473D" w:rsidRPr="006A3AF5">
        <w:rPr>
          <w:rFonts w:ascii="Times New Roman" w:hAnsi="Times New Roman" w:cs="Times New Roman"/>
          <w:sz w:val="24"/>
          <w:szCs w:val="24"/>
        </w:rPr>
        <w:t>lecturers’ICT</w:t>
      </w:r>
      <w:proofErr w:type="spellEnd"/>
      <w:r w:rsidR="00F0473D" w:rsidRPr="006A3AF5">
        <w:rPr>
          <w:rFonts w:ascii="Times New Roman" w:hAnsi="Times New Roman" w:cs="Times New Roman"/>
          <w:sz w:val="24"/>
          <w:szCs w:val="24"/>
        </w:rPr>
        <w:t xml:space="preserve"> proficiency level is moderate to advanced, particularly in </w:t>
      </w:r>
      <w:r w:rsidR="006A3AF5" w:rsidRPr="006A3AF5">
        <w:rPr>
          <w:rFonts w:ascii="Times New Roman" w:hAnsi="Times New Roman" w:cs="Times New Roman"/>
          <w:sz w:val="24"/>
          <w:szCs w:val="24"/>
        </w:rPr>
        <w:t>Project Management Software.</w:t>
      </w:r>
    </w:p>
    <w:p w:rsidR="00A339D8" w:rsidRDefault="00A339D8" w:rsidP="009C5F93">
      <w:pPr>
        <w:spacing w:after="0" w:line="360" w:lineRule="auto"/>
        <w:jc w:val="both"/>
        <w:rPr>
          <w:rFonts w:ascii="Times New Roman" w:hAnsi="Times New Roman" w:cs="Times New Roman"/>
          <w:b/>
          <w:color w:val="000000" w:themeColor="text1"/>
          <w:sz w:val="24"/>
          <w:szCs w:val="24"/>
        </w:rPr>
      </w:pPr>
      <w:r w:rsidRPr="00F04B5A">
        <w:rPr>
          <w:rFonts w:ascii="Times New Roman" w:hAnsi="Times New Roman" w:cs="Times New Roman"/>
          <w:b/>
          <w:color w:val="000000" w:themeColor="text1"/>
          <w:sz w:val="24"/>
          <w:szCs w:val="24"/>
        </w:rPr>
        <w:t>CONCLUSION AND RECOMMENDATION</w:t>
      </w:r>
    </w:p>
    <w:p w:rsidR="00FE3A65" w:rsidRPr="00FE3A65" w:rsidRDefault="00FE3A65" w:rsidP="00FE3A65">
      <w:pPr>
        <w:spacing w:line="360" w:lineRule="auto"/>
        <w:jc w:val="both"/>
        <w:rPr>
          <w:rFonts w:ascii="Times New Roman" w:hAnsi="Times New Roman" w:cs="Times New Roman"/>
          <w:b/>
          <w:bCs/>
          <w:color w:val="000000" w:themeColor="text1"/>
          <w:sz w:val="24"/>
          <w:szCs w:val="24"/>
        </w:rPr>
      </w:pPr>
      <w:r w:rsidRPr="00A339D8">
        <w:rPr>
          <w:rFonts w:ascii="Times New Roman" w:hAnsi="Times New Roman" w:cs="Times New Roman"/>
          <w:sz w:val="24"/>
          <w:szCs w:val="24"/>
        </w:rPr>
        <w:t>This study assesses the ICT skills of Estate Management lecturers</w:t>
      </w:r>
      <w:r w:rsidR="00EA6EF1">
        <w:rPr>
          <w:rFonts w:ascii="Times New Roman" w:hAnsi="Times New Roman" w:cs="Times New Roman"/>
          <w:sz w:val="24"/>
          <w:szCs w:val="24"/>
        </w:rPr>
        <w:t xml:space="preserve"> in Federal University of Technology</w:t>
      </w:r>
      <w:r w:rsidRPr="00A339D8">
        <w:rPr>
          <w:rFonts w:ascii="Times New Roman" w:hAnsi="Times New Roman" w:cs="Times New Roman"/>
          <w:sz w:val="24"/>
          <w:szCs w:val="24"/>
        </w:rPr>
        <w:t xml:space="preserve"> </w:t>
      </w:r>
      <w:proofErr w:type="spellStart"/>
      <w:r w:rsidRPr="00A339D8">
        <w:rPr>
          <w:rFonts w:ascii="Times New Roman" w:hAnsi="Times New Roman" w:cs="Times New Roman"/>
          <w:sz w:val="24"/>
          <w:szCs w:val="24"/>
        </w:rPr>
        <w:t>Minna</w:t>
      </w:r>
      <w:proofErr w:type="spellEnd"/>
      <w:r w:rsidRPr="00A339D8">
        <w:rPr>
          <w:rFonts w:ascii="Times New Roman" w:hAnsi="Times New Roman" w:cs="Times New Roman"/>
          <w:sz w:val="24"/>
          <w:szCs w:val="24"/>
        </w:rPr>
        <w:t>, Nigeria, with the aim of enhancing the integration of digital technologies into Estate Management education.</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w:t>
      </w:r>
      <w:r w:rsidRPr="00C454B8">
        <w:rPr>
          <w:rFonts w:ascii="Times New Roman" w:hAnsi="Times New Roman" w:cs="Times New Roman"/>
          <w:color w:val="000000" w:themeColor="text1"/>
          <w:sz w:val="24"/>
          <w:szCs w:val="24"/>
        </w:rPr>
        <w:t>he</w:t>
      </w:r>
      <w:r>
        <w:rPr>
          <w:rFonts w:ascii="Times New Roman" w:hAnsi="Times New Roman" w:cs="Times New Roman"/>
          <w:sz w:val="24"/>
          <w:szCs w:val="24"/>
        </w:rPr>
        <w:t xml:space="preserve"> socio–</w:t>
      </w:r>
      <w:r w:rsidRPr="00C454B8">
        <w:rPr>
          <w:rFonts w:ascii="Times New Roman" w:hAnsi="Times New Roman" w:cs="Times New Roman"/>
          <w:sz w:val="24"/>
          <w:szCs w:val="24"/>
        </w:rPr>
        <w:t xml:space="preserve">economic characteristics of the respondents shows a workforce that is male-dominated, with males constituting 82.35% of the sample, while </w:t>
      </w:r>
      <w:r>
        <w:rPr>
          <w:rFonts w:ascii="Times New Roman" w:hAnsi="Times New Roman" w:cs="Times New Roman"/>
          <w:sz w:val="24"/>
          <w:szCs w:val="24"/>
        </w:rPr>
        <w:t>females represent only 23.53%. T</w:t>
      </w:r>
      <w:r w:rsidRPr="00C454B8">
        <w:rPr>
          <w:rFonts w:ascii="Times New Roman" w:hAnsi="Times New Roman" w:cs="Times New Roman"/>
          <w:sz w:val="24"/>
          <w:szCs w:val="24"/>
        </w:rPr>
        <w:t>his indicate a significant gender disparity within the Estate Management and Valuation department in the study area.  In terms of academic ran</w:t>
      </w:r>
      <w:r>
        <w:rPr>
          <w:rFonts w:ascii="Times New Roman" w:hAnsi="Times New Roman" w:cs="Times New Roman"/>
          <w:sz w:val="24"/>
          <w:szCs w:val="24"/>
        </w:rPr>
        <w:t>k, the distribution reveals a fa</w:t>
      </w:r>
      <w:r w:rsidRPr="00C454B8">
        <w:rPr>
          <w:rFonts w:ascii="Times New Roman" w:hAnsi="Times New Roman" w:cs="Times New Roman"/>
          <w:sz w:val="24"/>
          <w:szCs w:val="24"/>
        </w:rPr>
        <w:t xml:space="preserve">irly balanced spread across career levels, although with more concentration at the middle and senior ranks. </w:t>
      </w:r>
      <w:r>
        <w:rPr>
          <w:rFonts w:ascii="Times New Roman" w:hAnsi="Times New Roman" w:cs="Times New Roman"/>
          <w:sz w:val="24"/>
          <w:szCs w:val="24"/>
        </w:rPr>
        <w:t>Senior lecturers and Professors each account for 23.54% representing the two largest groups. Graduate Assistants, Assistant lecturers, and lecturer I each represent 11.76% indicating a moderate presence of early-career academics. Lecturer II and Associate Professors are the least represented groups, each forming 5.88% of the sample.</w:t>
      </w:r>
      <w:r w:rsidRPr="00DE0748">
        <w:rPr>
          <w:rFonts w:ascii="Times New Roman" w:hAnsi="Times New Roman" w:cs="Times New Roman"/>
          <w:b/>
          <w:bCs/>
          <w:color w:val="000000" w:themeColor="text1"/>
          <w:sz w:val="24"/>
          <w:szCs w:val="24"/>
        </w:rPr>
        <w:t xml:space="preserve"> </w:t>
      </w:r>
      <w:r w:rsidRPr="00A339D8">
        <w:rPr>
          <w:rFonts w:ascii="Times New Roman" w:hAnsi="Times New Roman" w:cs="Times New Roman"/>
          <w:sz w:val="24"/>
          <w:szCs w:val="24"/>
        </w:rPr>
        <w:t>The study</w:t>
      </w:r>
      <w:r>
        <w:rPr>
          <w:rFonts w:ascii="Times New Roman" w:hAnsi="Times New Roman" w:cs="Times New Roman"/>
          <w:sz w:val="24"/>
          <w:szCs w:val="24"/>
        </w:rPr>
        <w:t xml:space="preserve"> further</w:t>
      </w:r>
      <w:r w:rsidRPr="00A339D8">
        <w:rPr>
          <w:rFonts w:ascii="Times New Roman" w:hAnsi="Times New Roman" w:cs="Times New Roman"/>
          <w:sz w:val="24"/>
          <w:szCs w:val="24"/>
        </w:rPr>
        <w:t xml:space="preserve"> indicates that the most proficiency in ICT tools among Estate Management and Valuation lecturers are Project Management Software and Property Valuation Software which ranked 1</w:t>
      </w:r>
      <w:r w:rsidRPr="00A339D8">
        <w:rPr>
          <w:rFonts w:ascii="Times New Roman" w:hAnsi="Times New Roman" w:cs="Times New Roman"/>
          <w:sz w:val="24"/>
          <w:szCs w:val="24"/>
          <w:vertAlign w:val="superscript"/>
        </w:rPr>
        <w:t>st</w:t>
      </w:r>
      <w:r w:rsidRPr="00A339D8">
        <w:rPr>
          <w:rFonts w:ascii="Times New Roman" w:hAnsi="Times New Roman" w:cs="Times New Roman"/>
          <w:sz w:val="24"/>
          <w:szCs w:val="24"/>
        </w:rPr>
        <w:t xml:space="preserve"> and 2</w:t>
      </w:r>
      <w:r w:rsidRPr="00A339D8">
        <w:rPr>
          <w:rFonts w:ascii="Times New Roman" w:hAnsi="Times New Roman" w:cs="Times New Roman"/>
          <w:sz w:val="24"/>
          <w:szCs w:val="24"/>
          <w:vertAlign w:val="superscript"/>
        </w:rPr>
        <w:t>nd</w:t>
      </w:r>
      <w:r w:rsidRPr="00A339D8">
        <w:rPr>
          <w:rFonts w:ascii="Times New Roman" w:hAnsi="Times New Roman" w:cs="Times New Roman"/>
          <w:sz w:val="24"/>
          <w:szCs w:val="24"/>
        </w:rPr>
        <w:t xml:space="preserve"> with mean score 3.562 and 3,500 respectively. Other ICT Tools that the estate management and valuation lecturer has proficiency in are Geographic Information Systems (GIS) and Building Information Modelling (BIM) and which ranked 3</w:t>
      </w:r>
      <w:r w:rsidRPr="00A339D8">
        <w:rPr>
          <w:rFonts w:ascii="Times New Roman" w:hAnsi="Times New Roman" w:cs="Times New Roman"/>
          <w:sz w:val="24"/>
          <w:szCs w:val="24"/>
          <w:vertAlign w:val="superscript"/>
        </w:rPr>
        <w:t>rd</w:t>
      </w:r>
      <w:r w:rsidRPr="00A339D8">
        <w:rPr>
          <w:rFonts w:ascii="Times New Roman" w:hAnsi="Times New Roman" w:cs="Times New Roman"/>
          <w:sz w:val="24"/>
          <w:szCs w:val="24"/>
        </w:rPr>
        <w:t xml:space="preserve"> and 4</w:t>
      </w:r>
      <w:r w:rsidRPr="00A339D8">
        <w:rPr>
          <w:rFonts w:ascii="Times New Roman" w:hAnsi="Times New Roman" w:cs="Times New Roman"/>
          <w:sz w:val="24"/>
          <w:szCs w:val="24"/>
          <w:vertAlign w:val="superscript"/>
        </w:rPr>
        <w:t>th</w:t>
      </w:r>
      <w:r w:rsidRPr="00A339D8">
        <w:rPr>
          <w:rFonts w:ascii="Times New Roman" w:hAnsi="Times New Roman" w:cs="Times New Roman"/>
          <w:sz w:val="24"/>
          <w:szCs w:val="24"/>
        </w:rPr>
        <w:t xml:space="preserve"> with mean score 3.312 and 3.125 respectively. In contrast estate management lecturer has a basic proficiency in AutoCAD which ranked 5</w:t>
      </w:r>
      <w:r w:rsidRPr="00A339D8">
        <w:rPr>
          <w:rFonts w:ascii="Times New Roman" w:hAnsi="Times New Roman" w:cs="Times New Roman"/>
          <w:sz w:val="24"/>
          <w:szCs w:val="24"/>
          <w:vertAlign w:val="superscript"/>
        </w:rPr>
        <w:t>th</w:t>
      </w:r>
      <w:r w:rsidRPr="00A339D8">
        <w:rPr>
          <w:rFonts w:ascii="Times New Roman" w:hAnsi="Times New Roman" w:cs="Times New Roman"/>
          <w:sz w:val="24"/>
          <w:szCs w:val="24"/>
        </w:rPr>
        <w:t xml:space="preserve"> and least with mean score 2.000. The study recommends that the institution should organize specialized workshops and certification programs in CAD and building information modelling to improve </w:t>
      </w:r>
      <w:r w:rsidRPr="00A339D8">
        <w:rPr>
          <w:rFonts w:ascii="Times New Roman" w:hAnsi="Times New Roman" w:cs="Times New Roman"/>
          <w:sz w:val="24"/>
          <w:szCs w:val="24"/>
        </w:rPr>
        <w:lastRenderedPageBreak/>
        <w:t>lecturer’s ability to teach and apply these tools effectively in estate management and construction related courses.</w:t>
      </w:r>
    </w:p>
    <w:p w:rsidR="00FE3A65" w:rsidRDefault="00FE3A65" w:rsidP="00FE3A65">
      <w:pPr>
        <w:spacing w:after="80" w:line="360" w:lineRule="auto"/>
        <w:jc w:val="both"/>
        <w:rPr>
          <w:rFonts w:ascii="Times New Roman" w:hAnsi="Times New Roman" w:cs="Times New Roman"/>
          <w:b/>
          <w:color w:val="000000" w:themeColor="text1"/>
          <w:sz w:val="24"/>
          <w:szCs w:val="24"/>
        </w:rPr>
      </w:pPr>
      <w:r w:rsidRPr="00A339D8">
        <w:rPr>
          <w:rFonts w:ascii="Times New Roman" w:hAnsi="Times New Roman" w:cs="Times New Roman"/>
          <w:sz w:val="24"/>
          <w:szCs w:val="24"/>
        </w:rPr>
        <w:t>They should also integrate project management and property valuation software into the curriculum since the lecturers has high proficiency in these tools and encourage their use in research and student projects.</w:t>
      </w:r>
    </w:p>
    <w:p w:rsidR="00972A76" w:rsidRDefault="00972A76" w:rsidP="00A339D8">
      <w:pPr>
        <w:spacing w:after="0" w:line="276" w:lineRule="auto"/>
        <w:jc w:val="both"/>
        <w:rPr>
          <w:rFonts w:ascii="Times New Roman" w:hAnsi="Times New Roman" w:cs="Times New Roman"/>
          <w:b/>
          <w:color w:val="000000" w:themeColor="text1"/>
          <w:sz w:val="24"/>
          <w:szCs w:val="24"/>
        </w:rPr>
      </w:pPr>
    </w:p>
    <w:p w:rsidR="00A339D8" w:rsidRDefault="00A339D8" w:rsidP="00A339D8">
      <w:pPr>
        <w:spacing w:after="0" w:line="276" w:lineRule="auto"/>
        <w:jc w:val="both"/>
        <w:rPr>
          <w:rFonts w:ascii="Times New Roman" w:hAnsi="Times New Roman" w:cs="Times New Roman"/>
          <w:b/>
          <w:color w:val="000000" w:themeColor="text1"/>
          <w:sz w:val="24"/>
          <w:szCs w:val="24"/>
        </w:rPr>
      </w:pPr>
      <w:r w:rsidRPr="001834C4">
        <w:rPr>
          <w:rFonts w:ascii="Times New Roman" w:hAnsi="Times New Roman" w:cs="Times New Roman"/>
          <w:b/>
          <w:color w:val="000000" w:themeColor="text1"/>
          <w:sz w:val="24"/>
          <w:szCs w:val="24"/>
        </w:rPr>
        <w:t xml:space="preserve">REFERENCES </w:t>
      </w:r>
    </w:p>
    <w:p w:rsidR="008109A2" w:rsidRDefault="00285FE0" w:rsidP="00A72721">
      <w:pPr>
        <w:spacing w:after="0" w:line="240" w:lineRule="auto"/>
        <w:jc w:val="both"/>
        <w:rPr>
          <w:rFonts w:ascii="Times New Roman" w:hAnsi="Times New Roman" w:cs="Times New Roman"/>
          <w:color w:val="000000" w:themeColor="text1"/>
          <w:sz w:val="24"/>
          <w:szCs w:val="24"/>
        </w:rPr>
      </w:pPr>
      <w:r w:rsidRPr="008109A2">
        <w:rPr>
          <w:rFonts w:ascii="Times New Roman" w:hAnsi="Times New Roman" w:cs="Times New Roman"/>
          <w:color w:val="000000" w:themeColor="text1"/>
          <w:sz w:val="24"/>
          <w:szCs w:val="24"/>
        </w:rPr>
        <w:t xml:space="preserve">Adebayo, T. O., &amp; Musa, H. (2021). Digital competence and instructional delivery among lecturers </w:t>
      </w:r>
      <w:r w:rsidR="008109A2">
        <w:rPr>
          <w:rFonts w:ascii="Times New Roman" w:hAnsi="Times New Roman" w:cs="Times New Roman"/>
          <w:color w:val="000000" w:themeColor="text1"/>
          <w:sz w:val="24"/>
          <w:szCs w:val="24"/>
        </w:rPr>
        <w:t xml:space="preserve"> </w:t>
      </w:r>
    </w:p>
    <w:p w:rsidR="00285FE0" w:rsidRPr="008109A2" w:rsidRDefault="008109A2" w:rsidP="00A72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285FE0" w:rsidRPr="008109A2">
        <w:rPr>
          <w:rFonts w:ascii="Times New Roman" w:hAnsi="Times New Roman" w:cs="Times New Roman"/>
          <w:color w:val="000000" w:themeColor="text1"/>
          <w:sz w:val="24"/>
          <w:szCs w:val="24"/>
        </w:rPr>
        <w:t>in</w:t>
      </w:r>
      <w:proofErr w:type="gramEnd"/>
      <w:r w:rsidR="00285FE0" w:rsidRPr="008109A2">
        <w:rPr>
          <w:rFonts w:ascii="Times New Roman" w:hAnsi="Times New Roman" w:cs="Times New Roman"/>
          <w:color w:val="000000" w:themeColor="text1"/>
          <w:sz w:val="24"/>
          <w:szCs w:val="24"/>
        </w:rPr>
        <w:t xml:space="preserve"> Nigerian universities. Journal of Educational Innovation, 9(2), 101-115.</w:t>
      </w:r>
    </w:p>
    <w:p w:rsidR="00285FE0" w:rsidRPr="008109A2" w:rsidRDefault="009D6677" w:rsidP="00A72721">
      <w:pPr>
        <w:spacing w:after="0" w:line="240" w:lineRule="auto"/>
        <w:jc w:val="both"/>
        <w:rPr>
          <w:rFonts w:ascii="Times New Roman" w:hAnsi="Times New Roman" w:cs="Times New Roman"/>
          <w:color w:val="000000" w:themeColor="text1"/>
          <w:sz w:val="24"/>
          <w:szCs w:val="24"/>
        </w:rPr>
      </w:pPr>
      <w:r w:rsidRPr="008109A2">
        <w:rPr>
          <w:rFonts w:ascii="Times New Roman" w:hAnsi="Times New Roman" w:cs="Times New Roman"/>
          <w:color w:val="000000" w:themeColor="text1"/>
          <w:sz w:val="24"/>
          <w:szCs w:val="24"/>
        </w:rPr>
        <w:t xml:space="preserve"> </w:t>
      </w:r>
    </w:p>
    <w:p w:rsidR="008109A2" w:rsidRDefault="009D6677" w:rsidP="00A72721">
      <w:pPr>
        <w:spacing w:after="0" w:line="240" w:lineRule="auto"/>
        <w:jc w:val="both"/>
        <w:rPr>
          <w:rFonts w:ascii="Times New Roman" w:hAnsi="Times New Roman" w:cs="Times New Roman"/>
          <w:color w:val="000000" w:themeColor="text1"/>
          <w:sz w:val="24"/>
          <w:szCs w:val="24"/>
        </w:rPr>
      </w:pPr>
      <w:r w:rsidRPr="008109A2">
        <w:rPr>
          <w:rFonts w:ascii="Times New Roman" w:hAnsi="Times New Roman" w:cs="Times New Roman"/>
          <w:color w:val="000000" w:themeColor="text1"/>
          <w:sz w:val="24"/>
          <w:szCs w:val="24"/>
        </w:rPr>
        <w:t xml:space="preserve">Adigun, O. T., </w:t>
      </w:r>
      <w:proofErr w:type="spellStart"/>
      <w:r w:rsidRPr="008109A2">
        <w:rPr>
          <w:rFonts w:ascii="Times New Roman" w:hAnsi="Times New Roman" w:cs="Times New Roman"/>
          <w:color w:val="000000" w:themeColor="text1"/>
          <w:sz w:val="24"/>
          <w:szCs w:val="24"/>
        </w:rPr>
        <w:t>Adewale</w:t>
      </w:r>
      <w:proofErr w:type="spellEnd"/>
      <w:r w:rsidRPr="008109A2">
        <w:rPr>
          <w:rFonts w:ascii="Times New Roman" w:hAnsi="Times New Roman" w:cs="Times New Roman"/>
          <w:color w:val="000000" w:themeColor="text1"/>
          <w:sz w:val="24"/>
          <w:szCs w:val="24"/>
        </w:rPr>
        <w:t xml:space="preserve">, S., &amp; </w:t>
      </w:r>
      <w:proofErr w:type="spellStart"/>
      <w:r w:rsidRPr="008109A2">
        <w:rPr>
          <w:rFonts w:ascii="Times New Roman" w:hAnsi="Times New Roman" w:cs="Times New Roman"/>
          <w:color w:val="000000" w:themeColor="text1"/>
          <w:sz w:val="24"/>
          <w:szCs w:val="24"/>
        </w:rPr>
        <w:t>Ogunyemi</w:t>
      </w:r>
      <w:proofErr w:type="spellEnd"/>
      <w:r w:rsidRPr="008109A2">
        <w:rPr>
          <w:rFonts w:ascii="Times New Roman" w:hAnsi="Times New Roman" w:cs="Times New Roman"/>
          <w:color w:val="000000" w:themeColor="text1"/>
          <w:sz w:val="24"/>
          <w:szCs w:val="24"/>
        </w:rPr>
        <w:t xml:space="preserve">, B. (2024). ICT adoption and digital pedagogy readiness </w:t>
      </w:r>
    </w:p>
    <w:p w:rsidR="008109A2" w:rsidRDefault="008109A2" w:rsidP="00A72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9D6677" w:rsidRPr="008109A2">
        <w:rPr>
          <w:rFonts w:ascii="Times New Roman" w:hAnsi="Times New Roman" w:cs="Times New Roman"/>
          <w:color w:val="000000" w:themeColor="text1"/>
          <w:sz w:val="24"/>
          <w:szCs w:val="24"/>
        </w:rPr>
        <w:t>among</w:t>
      </w:r>
      <w:proofErr w:type="gramEnd"/>
      <w:r w:rsidR="009D6677" w:rsidRPr="008109A2">
        <w:rPr>
          <w:rFonts w:ascii="Times New Roman" w:hAnsi="Times New Roman" w:cs="Times New Roman"/>
          <w:color w:val="000000" w:themeColor="text1"/>
          <w:sz w:val="24"/>
          <w:szCs w:val="24"/>
        </w:rPr>
        <w:t xml:space="preserve"> university lecturers in Nigeria. African Journal of</w:t>
      </w:r>
      <w:r w:rsidR="00A72721">
        <w:rPr>
          <w:rFonts w:ascii="Times New Roman" w:hAnsi="Times New Roman" w:cs="Times New Roman"/>
          <w:color w:val="000000" w:themeColor="text1"/>
          <w:sz w:val="24"/>
          <w:szCs w:val="24"/>
        </w:rPr>
        <w:t xml:space="preserve"> Educational Technology, 12(1), </w:t>
      </w:r>
      <w:r w:rsidR="009D6677" w:rsidRPr="008109A2">
        <w:rPr>
          <w:rFonts w:ascii="Times New Roman" w:hAnsi="Times New Roman" w:cs="Times New Roman"/>
          <w:color w:val="000000" w:themeColor="text1"/>
          <w:sz w:val="24"/>
          <w:szCs w:val="24"/>
        </w:rPr>
        <w:t>55-</w:t>
      </w:r>
      <w:r>
        <w:rPr>
          <w:rFonts w:ascii="Times New Roman" w:hAnsi="Times New Roman" w:cs="Times New Roman"/>
          <w:color w:val="000000" w:themeColor="text1"/>
          <w:sz w:val="24"/>
          <w:szCs w:val="24"/>
        </w:rPr>
        <w:t xml:space="preserve"> </w:t>
      </w:r>
    </w:p>
    <w:p w:rsidR="009D6677" w:rsidRPr="008109A2" w:rsidRDefault="008109A2" w:rsidP="00A72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D6677" w:rsidRPr="008109A2">
        <w:rPr>
          <w:rFonts w:ascii="Times New Roman" w:hAnsi="Times New Roman" w:cs="Times New Roman"/>
          <w:color w:val="000000" w:themeColor="text1"/>
          <w:sz w:val="24"/>
          <w:szCs w:val="24"/>
        </w:rPr>
        <w:t>69.</w:t>
      </w:r>
    </w:p>
    <w:p w:rsidR="009D6677" w:rsidRPr="008109A2" w:rsidRDefault="009D6677" w:rsidP="00A72721">
      <w:pPr>
        <w:spacing w:after="0" w:line="240" w:lineRule="auto"/>
        <w:jc w:val="both"/>
        <w:rPr>
          <w:rFonts w:ascii="Times New Roman" w:hAnsi="Times New Roman" w:cs="Times New Roman"/>
          <w:color w:val="000000" w:themeColor="text1"/>
          <w:sz w:val="24"/>
          <w:szCs w:val="24"/>
        </w:rPr>
      </w:pPr>
    </w:p>
    <w:p w:rsidR="008109A2" w:rsidRDefault="009D6677" w:rsidP="00A72721">
      <w:pPr>
        <w:spacing w:after="0" w:line="240" w:lineRule="auto"/>
        <w:jc w:val="both"/>
        <w:rPr>
          <w:rFonts w:ascii="Times New Roman" w:hAnsi="Times New Roman" w:cs="Times New Roman"/>
          <w:color w:val="000000" w:themeColor="text1"/>
          <w:sz w:val="24"/>
          <w:szCs w:val="24"/>
        </w:rPr>
      </w:pPr>
      <w:proofErr w:type="spellStart"/>
      <w:r w:rsidRPr="008109A2">
        <w:rPr>
          <w:rFonts w:ascii="Times New Roman" w:hAnsi="Times New Roman" w:cs="Times New Roman"/>
          <w:color w:val="000000" w:themeColor="text1"/>
          <w:sz w:val="24"/>
          <w:szCs w:val="24"/>
        </w:rPr>
        <w:t>Nwosu</w:t>
      </w:r>
      <w:proofErr w:type="spellEnd"/>
      <w:r w:rsidRPr="008109A2">
        <w:rPr>
          <w:rFonts w:ascii="Times New Roman" w:hAnsi="Times New Roman" w:cs="Times New Roman"/>
          <w:color w:val="000000" w:themeColor="text1"/>
          <w:sz w:val="24"/>
          <w:szCs w:val="24"/>
        </w:rPr>
        <w:t xml:space="preserve">, C., &amp; </w:t>
      </w:r>
      <w:proofErr w:type="spellStart"/>
      <w:r w:rsidRPr="008109A2">
        <w:rPr>
          <w:rFonts w:ascii="Times New Roman" w:hAnsi="Times New Roman" w:cs="Times New Roman"/>
          <w:color w:val="000000" w:themeColor="text1"/>
          <w:sz w:val="24"/>
          <w:szCs w:val="24"/>
        </w:rPr>
        <w:t>Abdulrahman</w:t>
      </w:r>
      <w:proofErr w:type="spellEnd"/>
      <w:r w:rsidRPr="008109A2">
        <w:rPr>
          <w:rFonts w:ascii="Times New Roman" w:hAnsi="Times New Roman" w:cs="Times New Roman"/>
          <w:color w:val="000000" w:themeColor="text1"/>
          <w:sz w:val="24"/>
          <w:szCs w:val="24"/>
        </w:rPr>
        <w:t xml:space="preserve">, L. (2020). Challenges of ICT use in teaching and learning in Nigerian </w:t>
      </w:r>
    </w:p>
    <w:p w:rsidR="009D6677" w:rsidRPr="008109A2" w:rsidRDefault="008109A2" w:rsidP="00A72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9D6677" w:rsidRPr="008109A2">
        <w:rPr>
          <w:rFonts w:ascii="Times New Roman" w:hAnsi="Times New Roman" w:cs="Times New Roman"/>
          <w:color w:val="000000" w:themeColor="text1"/>
          <w:sz w:val="24"/>
          <w:szCs w:val="24"/>
        </w:rPr>
        <w:t>tertiary</w:t>
      </w:r>
      <w:proofErr w:type="gramEnd"/>
      <w:r w:rsidR="009D6677" w:rsidRPr="008109A2">
        <w:rPr>
          <w:rFonts w:ascii="Times New Roman" w:hAnsi="Times New Roman" w:cs="Times New Roman"/>
          <w:color w:val="000000" w:themeColor="text1"/>
          <w:sz w:val="24"/>
          <w:szCs w:val="24"/>
        </w:rPr>
        <w:t xml:space="preserve"> institutions. Nigerian Journal of Educational Management, 14(1), 87-98.</w:t>
      </w:r>
    </w:p>
    <w:p w:rsidR="00173CE7" w:rsidRPr="008109A2" w:rsidRDefault="00173CE7" w:rsidP="00A72721">
      <w:pPr>
        <w:spacing w:after="0" w:line="240" w:lineRule="auto"/>
        <w:jc w:val="both"/>
        <w:rPr>
          <w:rFonts w:ascii="Times New Roman" w:hAnsi="Times New Roman" w:cs="Times New Roman"/>
          <w:color w:val="000000" w:themeColor="text1"/>
          <w:sz w:val="24"/>
          <w:szCs w:val="24"/>
        </w:rPr>
      </w:pPr>
    </w:p>
    <w:p w:rsidR="008109A2" w:rsidRDefault="00173CE7" w:rsidP="00A72721">
      <w:pPr>
        <w:spacing w:after="0" w:line="240" w:lineRule="auto"/>
        <w:jc w:val="both"/>
        <w:rPr>
          <w:rFonts w:ascii="Times New Roman" w:hAnsi="Times New Roman" w:cs="Times New Roman"/>
          <w:color w:val="000000" w:themeColor="text1"/>
          <w:sz w:val="24"/>
          <w:szCs w:val="24"/>
        </w:rPr>
      </w:pPr>
      <w:proofErr w:type="spellStart"/>
      <w:r w:rsidRPr="008109A2">
        <w:rPr>
          <w:rFonts w:ascii="Times New Roman" w:hAnsi="Times New Roman" w:cs="Times New Roman"/>
          <w:color w:val="000000" w:themeColor="text1"/>
          <w:sz w:val="24"/>
          <w:szCs w:val="24"/>
        </w:rPr>
        <w:t>Okafor</w:t>
      </w:r>
      <w:proofErr w:type="spellEnd"/>
      <w:r w:rsidRPr="008109A2">
        <w:rPr>
          <w:rFonts w:ascii="Times New Roman" w:hAnsi="Times New Roman" w:cs="Times New Roman"/>
          <w:color w:val="000000" w:themeColor="text1"/>
          <w:sz w:val="24"/>
          <w:szCs w:val="24"/>
        </w:rPr>
        <w:t xml:space="preserve">, I. C. (2003). Integrating digital tools into real estate education: A review of emerging </w:t>
      </w:r>
    </w:p>
    <w:p w:rsidR="00173CE7" w:rsidRPr="008109A2" w:rsidRDefault="008109A2" w:rsidP="00A72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173CE7" w:rsidRPr="008109A2">
        <w:rPr>
          <w:rFonts w:ascii="Times New Roman" w:hAnsi="Times New Roman" w:cs="Times New Roman"/>
          <w:color w:val="000000" w:themeColor="text1"/>
          <w:sz w:val="24"/>
          <w:szCs w:val="24"/>
        </w:rPr>
        <w:t>trends</w:t>
      </w:r>
      <w:proofErr w:type="gramEnd"/>
      <w:r w:rsidR="00173CE7" w:rsidRPr="008109A2">
        <w:rPr>
          <w:rFonts w:ascii="Times New Roman" w:hAnsi="Times New Roman" w:cs="Times New Roman"/>
          <w:color w:val="000000" w:themeColor="text1"/>
          <w:sz w:val="24"/>
          <w:szCs w:val="24"/>
        </w:rPr>
        <w:t>. Journal of Built Environment Studies, 5(3), 44-58.</w:t>
      </w:r>
    </w:p>
    <w:p w:rsidR="009D6677" w:rsidRPr="008109A2" w:rsidRDefault="009D6677" w:rsidP="00A72721">
      <w:pPr>
        <w:spacing w:after="0" w:line="240" w:lineRule="auto"/>
        <w:jc w:val="both"/>
        <w:rPr>
          <w:rFonts w:ascii="Times New Roman" w:hAnsi="Times New Roman" w:cs="Times New Roman"/>
          <w:color w:val="000000" w:themeColor="text1"/>
          <w:sz w:val="24"/>
          <w:szCs w:val="24"/>
        </w:rPr>
      </w:pPr>
    </w:p>
    <w:p w:rsidR="008109A2" w:rsidRDefault="009D6677" w:rsidP="00A72721">
      <w:pPr>
        <w:spacing w:after="0" w:line="240" w:lineRule="auto"/>
        <w:jc w:val="both"/>
        <w:rPr>
          <w:rFonts w:ascii="Times New Roman" w:hAnsi="Times New Roman" w:cs="Times New Roman"/>
          <w:color w:val="000000" w:themeColor="text1"/>
          <w:sz w:val="24"/>
          <w:szCs w:val="24"/>
        </w:rPr>
      </w:pPr>
      <w:proofErr w:type="spellStart"/>
      <w:r w:rsidRPr="008109A2">
        <w:rPr>
          <w:rFonts w:ascii="Times New Roman" w:hAnsi="Times New Roman" w:cs="Times New Roman"/>
          <w:color w:val="000000" w:themeColor="text1"/>
          <w:sz w:val="24"/>
          <w:szCs w:val="24"/>
        </w:rPr>
        <w:t>Owolabi</w:t>
      </w:r>
      <w:proofErr w:type="spellEnd"/>
      <w:r w:rsidRPr="008109A2">
        <w:rPr>
          <w:rFonts w:ascii="Times New Roman" w:hAnsi="Times New Roman" w:cs="Times New Roman"/>
          <w:color w:val="000000" w:themeColor="text1"/>
          <w:sz w:val="24"/>
          <w:szCs w:val="24"/>
        </w:rPr>
        <w:t xml:space="preserve">, R. A., &amp; </w:t>
      </w:r>
      <w:proofErr w:type="spellStart"/>
      <w:r w:rsidRPr="008109A2">
        <w:rPr>
          <w:rFonts w:ascii="Times New Roman" w:hAnsi="Times New Roman" w:cs="Times New Roman"/>
          <w:color w:val="000000" w:themeColor="text1"/>
          <w:sz w:val="24"/>
          <w:szCs w:val="24"/>
        </w:rPr>
        <w:t>Fatokun</w:t>
      </w:r>
      <w:proofErr w:type="spellEnd"/>
      <w:r w:rsidRPr="008109A2">
        <w:rPr>
          <w:rFonts w:ascii="Times New Roman" w:hAnsi="Times New Roman" w:cs="Times New Roman"/>
          <w:color w:val="000000" w:themeColor="text1"/>
          <w:sz w:val="24"/>
          <w:szCs w:val="24"/>
        </w:rPr>
        <w:t xml:space="preserve">, T. (2021). Barriers to ICT integration in Nigerian higher education: A </w:t>
      </w:r>
      <w:r w:rsidR="008109A2">
        <w:rPr>
          <w:rFonts w:ascii="Times New Roman" w:hAnsi="Times New Roman" w:cs="Times New Roman"/>
          <w:color w:val="000000" w:themeColor="text1"/>
          <w:sz w:val="24"/>
          <w:szCs w:val="24"/>
        </w:rPr>
        <w:t xml:space="preserve"> </w:t>
      </w:r>
    </w:p>
    <w:p w:rsidR="009D6677" w:rsidRPr="008109A2" w:rsidRDefault="008109A2" w:rsidP="00A72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9D6677" w:rsidRPr="008109A2">
        <w:rPr>
          <w:rFonts w:ascii="Times New Roman" w:hAnsi="Times New Roman" w:cs="Times New Roman"/>
          <w:color w:val="000000" w:themeColor="text1"/>
          <w:sz w:val="24"/>
          <w:szCs w:val="24"/>
        </w:rPr>
        <w:t>systematic</w:t>
      </w:r>
      <w:proofErr w:type="gramEnd"/>
      <w:r w:rsidR="009D6677" w:rsidRPr="008109A2">
        <w:rPr>
          <w:rFonts w:ascii="Times New Roman" w:hAnsi="Times New Roman" w:cs="Times New Roman"/>
          <w:color w:val="000000" w:themeColor="text1"/>
          <w:sz w:val="24"/>
          <w:szCs w:val="24"/>
        </w:rPr>
        <w:t xml:space="preserve"> review. Journal of </w:t>
      </w:r>
      <w:r w:rsidR="00ED511C" w:rsidRPr="008109A2">
        <w:rPr>
          <w:rFonts w:ascii="Times New Roman" w:hAnsi="Times New Roman" w:cs="Times New Roman"/>
          <w:color w:val="000000" w:themeColor="text1"/>
          <w:sz w:val="24"/>
          <w:szCs w:val="24"/>
        </w:rPr>
        <w:t>Digital Learning and Development, 3(1), 1-14.</w:t>
      </w:r>
    </w:p>
    <w:p w:rsidR="00ED511C" w:rsidRPr="008109A2" w:rsidRDefault="00ED511C" w:rsidP="00A72721">
      <w:pPr>
        <w:spacing w:after="0" w:line="240" w:lineRule="auto"/>
        <w:jc w:val="both"/>
        <w:rPr>
          <w:rFonts w:ascii="Times New Roman" w:hAnsi="Times New Roman" w:cs="Times New Roman"/>
          <w:color w:val="000000" w:themeColor="text1"/>
          <w:sz w:val="24"/>
          <w:szCs w:val="24"/>
        </w:rPr>
      </w:pPr>
    </w:p>
    <w:p w:rsidR="008109A2" w:rsidRDefault="00ED511C" w:rsidP="00A72721">
      <w:pPr>
        <w:spacing w:after="0" w:line="240" w:lineRule="auto"/>
        <w:jc w:val="both"/>
        <w:rPr>
          <w:rFonts w:ascii="Times New Roman" w:hAnsi="Times New Roman" w:cs="Times New Roman"/>
          <w:color w:val="000000" w:themeColor="text1"/>
          <w:sz w:val="24"/>
          <w:szCs w:val="24"/>
        </w:rPr>
      </w:pPr>
      <w:r w:rsidRPr="008109A2">
        <w:rPr>
          <w:rFonts w:ascii="Times New Roman" w:hAnsi="Times New Roman" w:cs="Times New Roman"/>
          <w:color w:val="000000" w:themeColor="text1"/>
          <w:sz w:val="24"/>
          <w:szCs w:val="24"/>
        </w:rPr>
        <w:t xml:space="preserve">UNESCO. (2022). Digital Learning and higher education transformation in African. Paris: </w:t>
      </w:r>
    </w:p>
    <w:p w:rsidR="00ED511C" w:rsidRPr="008109A2" w:rsidRDefault="008109A2" w:rsidP="00A72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D511C" w:rsidRPr="008109A2">
        <w:rPr>
          <w:rFonts w:ascii="Times New Roman" w:hAnsi="Times New Roman" w:cs="Times New Roman"/>
          <w:color w:val="000000" w:themeColor="text1"/>
          <w:sz w:val="24"/>
          <w:szCs w:val="24"/>
        </w:rPr>
        <w:t>UNESCO Publishing.</w:t>
      </w:r>
    </w:p>
    <w:p w:rsidR="00ED511C" w:rsidRPr="008109A2" w:rsidRDefault="00ED511C" w:rsidP="00A72721">
      <w:pPr>
        <w:spacing w:after="0" w:line="240" w:lineRule="auto"/>
        <w:jc w:val="both"/>
        <w:rPr>
          <w:rFonts w:ascii="Times New Roman" w:hAnsi="Times New Roman" w:cs="Times New Roman"/>
          <w:color w:val="000000" w:themeColor="text1"/>
          <w:sz w:val="24"/>
          <w:szCs w:val="24"/>
        </w:rPr>
      </w:pPr>
    </w:p>
    <w:p w:rsidR="008109A2" w:rsidRDefault="00ED511C" w:rsidP="00A72721">
      <w:pPr>
        <w:spacing w:after="0" w:line="240" w:lineRule="auto"/>
        <w:jc w:val="both"/>
        <w:rPr>
          <w:rFonts w:ascii="Times New Roman" w:hAnsi="Times New Roman" w:cs="Times New Roman"/>
          <w:color w:val="000000" w:themeColor="text1"/>
          <w:sz w:val="24"/>
          <w:szCs w:val="24"/>
        </w:rPr>
      </w:pPr>
      <w:r w:rsidRPr="008109A2">
        <w:rPr>
          <w:rFonts w:ascii="Times New Roman" w:hAnsi="Times New Roman" w:cs="Times New Roman"/>
          <w:color w:val="000000" w:themeColor="text1"/>
          <w:sz w:val="24"/>
          <w:szCs w:val="24"/>
        </w:rPr>
        <w:t xml:space="preserve">Usman, K., &amp; </w:t>
      </w:r>
      <w:proofErr w:type="spellStart"/>
      <w:r w:rsidRPr="008109A2">
        <w:rPr>
          <w:rFonts w:ascii="Times New Roman" w:hAnsi="Times New Roman" w:cs="Times New Roman"/>
          <w:color w:val="000000" w:themeColor="text1"/>
          <w:sz w:val="24"/>
          <w:szCs w:val="24"/>
        </w:rPr>
        <w:t>Sule</w:t>
      </w:r>
      <w:proofErr w:type="spellEnd"/>
      <w:r w:rsidRPr="008109A2">
        <w:rPr>
          <w:rFonts w:ascii="Times New Roman" w:hAnsi="Times New Roman" w:cs="Times New Roman"/>
          <w:color w:val="000000" w:themeColor="text1"/>
          <w:sz w:val="24"/>
          <w:szCs w:val="24"/>
        </w:rPr>
        <w:t xml:space="preserve">, A. (2022). Utilization of GIS and BIM technologies in Estate Management </w:t>
      </w:r>
    </w:p>
    <w:p w:rsidR="00ED511C" w:rsidRPr="008109A2" w:rsidRDefault="008109A2" w:rsidP="00A72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ED511C" w:rsidRPr="008109A2">
        <w:rPr>
          <w:rFonts w:ascii="Times New Roman" w:hAnsi="Times New Roman" w:cs="Times New Roman"/>
          <w:color w:val="000000" w:themeColor="text1"/>
          <w:sz w:val="24"/>
          <w:szCs w:val="24"/>
        </w:rPr>
        <w:t>education</w:t>
      </w:r>
      <w:proofErr w:type="gramEnd"/>
      <w:r w:rsidR="00ED511C" w:rsidRPr="008109A2">
        <w:rPr>
          <w:rFonts w:ascii="Times New Roman" w:hAnsi="Times New Roman" w:cs="Times New Roman"/>
          <w:color w:val="000000" w:themeColor="text1"/>
          <w:sz w:val="24"/>
          <w:szCs w:val="24"/>
        </w:rPr>
        <w:t xml:space="preserve"> in Nigeria. International Journal of Real Estate and Land Studies, 7(2), 65-78.</w:t>
      </w:r>
    </w:p>
    <w:p w:rsidR="0014094D" w:rsidRPr="008109A2" w:rsidRDefault="0014094D" w:rsidP="008109A2">
      <w:pPr>
        <w:jc w:val="both"/>
      </w:pPr>
    </w:p>
    <w:sectPr w:rsidR="0014094D" w:rsidRPr="00810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D8"/>
    <w:rsid w:val="0005640A"/>
    <w:rsid w:val="0014094D"/>
    <w:rsid w:val="00173CE7"/>
    <w:rsid w:val="00184F6C"/>
    <w:rsid w:val="00285FE0"/>
    <w:rsid w:val="0029635F"/>
    <w:rsid w:val="003153A6"/>
    <w:rsid w:val="00340503"/>
    <w:rsid w:val="00484EEF"/>
    <w:rsid w:val="004C0ACD"/>
    <w:rsid w:val="005204B2"/>
    <w:rsid w:val="005E419A"/>
    <w:rsid w:val="00626160"/>
    <w:rsid w:val="006647C6"/>
    <w:rsid w:val="00694AA0"/>
    <w:rsid w:val="006A3AF5"/>
    <w:rsid w:val="007D379B"/>
    <w:rsid w:val="008109A2"/>
    <w:rsid w:val="008C570D"/>
    <w:rsid w:val="008D55BE"/>
    <w:rsid w:val="008E2E89"/>
    <w:rsid w:val="00942F98"/>
    <w:rsid w:val="00972A76"/>
    <w:rsid w:val="00990098"/>
    <w:rsid w:val="009B3FC3"/>
    <w:rsid w:val="009C5F93"/>
    <w:rsid w:val="009D6677"/>
    <w:rsid w:val="00A1338D"/>
    <w:rsid w:val="00A339D8"/>
    <w:rsid w:val="00A72721"/>
    <w:rsid w:val="00AE5348"/>
    <w:rsid w:val="00B61B18"/>
    <w:rsid w:val="00C36A7C"/>
    <w:rsid w:val="00C454B8"/>
    <w:rsid w:val="00CB250A"/>
    <w:rsid w:val="00D80AB9"/>
    <w:rsid w:val="00DE0748"/>
    <w:rsid w:val="00EA6EF1"/>
    <w:rsid w:val="00ED511C"/>
    <w:rsid w:val="00F0473D"/>
    <w:rsid w:val="00F069C1"/>
    <w:rsid w:val="00F85BAE"/>
    <w:rsid w:val="00FE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574C8-0ACD-4390-A105-7323D6B0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348"/>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39D8"/>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339D8"/>
    <w:rPr>
      <w:b/>
      <w:bCs/>
    </w:rPr>
  </w:style>
  <w:style w:type="paragraph" w:styleId="BodyText">
    <w:name w:val="Body Text"/>
    <w:basedOn w:val="Normal"/>
    <w:link w:val="BodyTextChar1"/>
    <w:uiPriority w:val="99"/>
    <w:unhideWhenUsed/>
    <w:rsid w:val="00A339D8"/>
    <w:pPr>
      <w:spacing w:after="120"/>
    </w:pPr>
    <w:rPr>
      <w:rFonts w:asciiTheme="minorHAnsi" w:eastAsiaTheme="minorHAnsi" w:hAnsiTheme="minorHAnsi" w:cstheme="minorBidi"/>
    </w:rPr>
  </w:style>
  <w:style w:type="character" w:customStyle="1" w:styleId="BodyTextChar">
    <w:name w:val="Body Text Char"/>
    <w:basedOn w:val="DefaultParagraphFont"/>
    <w:uiPriority w:val="99"/>
    <w:semiHidden/>
    <w:rsid w:val="00A339D8"/>
    <w:rPr>
      <w:rFonts w:ascii="Calibri" w:eastAsia="Calibri" w:hAnsi="Calibri" w:cs="SimSun"/>
    </w:rPr>
  </w:style>
  <w:style w:type="character" w:customStyle="1" w:styleId="BodyTextChar1">
    <w:name w:val="Body Text Char1"/>
    <w:basedOn w:val="DefaultParagraphFont"/>
    <w:link w:val="BodyText"/>
    <w:uiPriority w:val="99"/>
    <w:rsid w:val="00A339D8"/>
  </w:style>
  <w:style w:type="character" w:styleId="Hyperlink">
    <w:name w:val="Hyperlink"/>
    <w:basedOn w:val="DefaultParagraphFont"/>
    <w:uiPriority w:val="99"/>
    <w:unhideWhenUsed/>
    <w:rsid w:val="00A339D8"/>
    <w:rPr>
      <w:color w:val="0000FF"/>
      <w:u w:val="single"/>
    </w:rPr>
  </w:style>
  <w:style w:type="paragraph" w:styleId="Caption">
    <w:name w:val="caption"/>
    <w:basedOn w:val="Normal"/>
    <w:next w:val="Normal"/>
    <w:uiPriority w:val="35"/>
    <w:unhideWhenUsed/>
    <w:qFormat/>
    <w:rsid w:val="00D80AB9"/>
    <w:pPr>
      <w:spacing w:after="200" w:line="240" w:lineRule="auto"/>
      <w:jc w:val="both"/>
    </w:pPr>
    <w:rPr>
      <w:rFonts w:ascii="Times New Roman" w:hAnsi="Times New Roman" w:cs="Times New Roman"/>
      <w:i/>
      <w:iCs/>
      <w:color w:val="44546A" w:themeColor="text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2-4995-0029" TargetMode="External"/><Relationship Id="rId4" Type="http://schemas.openxmlformats.org/officeDocument/2006/relationships/hyperlink" Target="mailto:sekinat.abdul@futminna.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7</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2025-11-23T04:01:00Z</dcterms:created>
  <dcterms:modified xsi:type="dcterms:W3CDTF">2026-05-09T14:29:00Z</dcterms:modified>
</cp:coreProperties>
</file>