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6D" w:rsidRDefault="00BC25F5">
      <w:pPr>
        <w:spacing w:after="180"/>
        <w:jc w:val="center"/>
      </w:pPr>
      <w:r>
        <w:rPr>
          <w:b/>
          <w:bCs/>
          <w:sz w:val="32"/>
          <w:szCs w:val="32"/>
        </w:rPr>
        <w:t>Residents' Satisfacti</w:t>
      </w:r>
      <w:r w:rsidR="002F5C03">
        <w:rPr>
          <w:b/>
          <w:bCs/>
          <w:sz w:val="32"/>
          <w:szCs w:val="32"/>
        </w:rPr>
        <w:t>on with Solid Waste Management s</w:t>
      </w:r>
      <w:r>
        <w:rPr>
          <w:b/>
          <w:bCs/>
          <w:sz w:val="32"/>
          <w:szCs w:val="32"/>
        </w:rPr>
        <w:t xml:space="preserve">ervices in Abuja Municipal Area Council, </w:t>
      </w:r>
      <w:r w:rsidR="00D937AD">
        <w:rPr>
          <w:b/>
          <w:bCs/>
          <w:sz w:val="32"/>
          <w:szCs w:val="32"/>
        </w:rPr>
        <w:t>“</w:t>
      </w:r>
      <w:r>
        <w:rPr>
          <w:b/>
          <w:bCs/>
          <w:sz w:val="32"/>
          <w:szCs w:val="32"/>
        </w:rPr>
        <w:t>Nigeria</w:t>
      </w:r>
      <w:r w:rsidR="00680C0F">
        <w:rPr>
          <w:b/>
          <w:bCs/>
          <w:sz w:val="32"/>
          <w:szCs w:val="32"/>
        </w:rPr>
        <w:t>”</w:t>
      </w:r>
      <w:r>
        <w:rPr>
          <w:b/>
          <w:bCs/>
          <w:sz w:val="32"/>
          <w:szCs w:val="32"/>
        </w:rPr>
        <w:t xml:space="preserve">: Evidence from the </w:t>
      </w:r>
      <w:proofErr w:type="spellStart"/>
      <w:r>
        <w:rPr>
          <w:b/>
          <w:bCs/>
          <w:sz w:val="32"/>
          <w:szCs w:val="32"/>
        </w:rPr>
        <w:t>Garki</w:t>
      </w:r>
      <w:proofErr w:type="spellEnd"/>
      <w:r>
        <w:rPr>
          <w:b/>
          <w:bCs/>
          <w:sz w:val="32"/>
          <w:szCs w:val="32"/>
        </w:rPr>
        <w:t xml:space="preserve"> District</w:t>
      </w:r>
    </w:p>
    <w:p w:rsidR="003C296D" w:rsidRDefault="002B447E">
      <w:pPr>
        <w:spacing w:after="100"/>
        <w:jc w:val="center"/>
      </w:pPr>
      <w:proofErr w:type="spellStart"/>
      <w:r>
        <w:rPr>
          <w:b/>
          <w:bCs/>
        </w:rPr>
        <w:t>Sekinat</w:t>
      </w:r>
      <w:proofErr w:type="spellEnd"/>
      <w:r>
        <w:rPr>
          <w:b/>
          <w:bCs/>
        </w:rPr>
        <w:t xml:space="preserve"> </w:t>
      </w:r>
      <w:proofErr w:type="spellStart"/>
      <w:r>
        <w:rPr>
          <w:b/>
          <w:bCs/>
        </w:rPr>
        <w:t>Abdulkareem</w:t>
      </w:r>
      <w:proofErr w:type="spellEnd"/>
    </w:p>
    <w:p w:rsidR="003C296D" w:rsidRDefault="00BC25F5">
      <w:pPr>
        <w:spacing w:after="100"/>
        <w:jc w:val="center"/>
      </w:pPr>
      <w:r>
        <w:rPr>
          <w:i/>
          <w:iCs/>
          <w:sz w:val="22"/>
          <w:szCs w:val="22"/>
        </w:rPr>
        <w:t xml:space="preserve">Department of Estate Management and Valuation, Federal University of Technology </w:t>
      </w:r>
      <w:proofErr w:type="spellStart"/>
      <w:r>
        <w:rPr>
          <w:i/>
          <w:iCs/>
          <w:sz w:val="22"/>
          <w:szCs w:val="22"/>
        </w:rPr>
        <w:t>Minna</w:t>
      </w:r>
      <w:proofErr w:type="spellEnd"/>
      <w:r>
        <w:rPr>
          <w:i/>
          <w:iCs/>
          <w:sz w:val="22"/>
          <w:szCs w:val="22"/>
        </w:rPr>
        <w:t>, Nigeria</w:t>
      </w:r>
    </w:p>
    <w:p w:rsidR="003C296D" w:rsidRDefault="00831FEF">
      <w:pPr>
        <w:spacing w:after="320"/>
        <w:jc w:val="center"/>
      </w:pPr>
      <w:r>
        <w:rPr>
          <w:i/>
          <w:iCs/>
          <w:sz w:val="22"/>
          <w:szCs w:val="22"/>
        </w:rPr>
        <w:t>Correspondence: sekinat.abdul</w:t>
      </w:r>
      <w:r w:rsidR="00BC25F5">
        <w:rPr>
          <w:i/>
          <w:iCs/>
          <w:sz w:val="22"/>
          <w:szCs w:val="22"/>
        </w:rPr>
        <w:t>@futminna.edu.ng</w:t>
      </w:r>
    </w:p>
    <w:p w:rsidR="003C296D" w:rsidRDefault="00BC25F5">
      <w:pPr>
        <w:spacing w:after="80"/>
      </w:pPr>
      <w:r>
        <w:rPr>
          <w:b/>
          <w:bCs/>
        </w:rPr>
        <w:t>Abstract</w:t>
      </w:r>
    </w:p>
    <w:p w:rsidR="003C296D" w:rsidRDefault="000D0FA7">
      <w:pPr>
        <w:spacing w:after="200" w:line="480" w:lineRule="auto"/>
        <w:jc w:val="both"/>
      </w:pPr>
      <w:r>
        <w:rPr>
          <w:sz w:val="22"/>
          <w:szCs w:val="22"/>
        </w:rPr>
        <w:t>Resident dissatisfaction with Solid Waste M</w:t>
      </w:r>
      <w:r w:rsidR="00BC25F5">
        <w:rPr>
          <w:sz w:val="22"/>
          <w:szCs w:val="22"/>
        </w:rPr>
        <w:t xml:space="preserve">anagement (SWM) services remains a critical urban governance challenge in developing countries, where collection systems are overstretched, open dumping is prevalent, and institutional responsiveness is weak. This study assessed residents' satisfaction with SWM services in the </w:t>
      </w:r>
      <w:proofErr w:type="spellStart"/>
      <w:r w:rsidR="00BC25F5">
        <w:rPr>
          <w:sz w:val="22"/>
          <w:szCs w:val="22"/>
        </w:rPr>
        <w:t>Garki</w:t>
      </w:r>
      <w:proofErr w:type="spellEnd"/>
      <w:r w:rsidR="00BC25F5">
        <w:rPr>
          <w:sz w:val="22"/>
          <w:szCs w:val="22"/>
        </w:rPr>
        <w:t xml:space="preserve"> district of Abuja Municipal Area Council (AMAC), Nigeria, with the aim of identifying key factors influencing satisfaction and proposing evidence-based improvements. A quantitative survey design was emp</w:t>
      </w:r>
      <w:r w:rsidR="00D937AD">
        <w:rPr>
          <w:sz w:val="22"/>
          <w:szCs w:val="22"/>
        </w:rPr>
        <w:t xml:space="preserve">loyed, and structured </w:t>
      </w:r>
      <w:proofErr w:type="spellStart"/>
      <w:r w:rsidR="00D937AD">
        <w:rPr>
          <w:sz w:val="22"/>
          <w:szCs w:val="22"/>
        </w:rPr>
        <w:t>Likert</w:t>
      </w:r>
      <w:proofErr w:type="spellEnd"/>
      <w:r w:rsidR="00BC25F5">
        <w:rPr>
          <w:sz w:val="22"/>
          <w:szCs w:val="22"/>
        </w:rPr>
        <w:t xml:space="preserve"> scale questionnaires were administered to 360 household heads selected through a multi-stage sampling approach across seven </w:t>
      </w:r>
      <w:proofErr w:type="spellStart"/>
      <w:r w:rsidR="00BC25F5">
        <w:rPr>
          <w:sz w:val="22"/>
          <w:szCs w:val="22"/>
        </w:rPr>
        <w:t>Garki</w:t>
      </w:r>
      <w:proofErr w:type="spellEnd"/>
      <w:r w:rsidR="00BC25F5">
        <w:rPr>
          <w:sz w:val="22"/>
          <w:szCs w:val="22"/>
        </w:rPr>
        <w:t xml:space="preserve"> sub-areas. Data were </w:t>
      </w:r>
      <w:proofErr w:type="spellStart"/>
      <w:r w:rsidR="00BC25F5">
        <w:rPr>
          <w:sz w:val="22"/>
          <w:szCs w:val="22"/>
        </w:rPr>
        <w:t>analysed</w:t>
      </w:r>
      <w:proofErr w:type="spellEnd"/>
      <w:r w:rsidR="00BC25F5">
        <w:rPr>
          <w:sz w:val="22"/>
          <w:szCs w:val="22"/>
        </w:rPr>
        <w:t xml:space="preserve"> using descriptive statistics (mean ranking and standard deviation) and exploratory factor analysis (Principal Component Analysis). Results revealed that waste receptacles and collection vehicles were the only service components rated as effective, while collection frequency, geographical coverage, site sanitation, and schedule predictability were only partially or moderately available. Residents expressed satisfaction with collection frequency (mean = 3.588) and punctuality (mean = 3.559) but registered low satisfaction with odor and pest control (mean = 2.433), complaint responsiveness (mean = 2.103), and public awareness campaigns (mean = 2.063). Factor analysis extracted two principal components explaining 85.80% of total variance: Component 1 (72.05%) captured systemic service performance dimensions, while Component 2 (13.75%) reflected operational and environmental hygiene concerns. The study concludes that AMAC's SWM system is operationally functional but structurally inadequate, with critical gaps in environmental hygiene, communication, and citizen engagement. It recommends expanding infrastructure coverage, strengthening complaint-response mechanisms, and </w:t>
      </w:r>
      <w:proofErr w:type="spellStart"/>
      <w:r w:rsidR="00BC25F5">
        <w:rPr>
          <w:sz w:val="22"/>
          <w:szCs w:val="22"/>
        </w:rPr>
        <w:t>revitalising</w:t>
      </w:r>
      <w:proofErr w:type="spellEnd"/>
      <w:r w:rsidR="00BC25F5">
        <w:rPr>
          <w:sz w:val="22"/>
          <w:szCs w:val="22"/>
        </w:rPr>
        <w:t xml:space="preserve"> community education on waste management.</w:t>
      </w:r>
    </w:p>
    <w:p w:rsidR="003C296D" w:rsidRDefault="00BC25F5">
      <w:pPr>
        <w:spacing w:after="360"/>
      </w:pPr>
      <w:r>
        <w:rPr>
          <w:i/>
          <w:iCs/>
          <w:sz w:val="22"/>
          <w:szCs w:val="22"/>
        </w:rPr>
        <w:lastRenderedPageBreak/>
        <w:t>Keywords: solid waste management, residents' satisfaction, service effectiveness, factor analysis, Abuja Municipal Area Council, urban sanitation, Nigeria</w:t>
      </w:r>
    </w:p>
    <w:p w:rsidR="003C296D" w:rsidRDefault="00BC25F5">
      <w:pPr>
        <w:pStyle w:val="Heading1"/>
      </w:pPr>
      <w:r>
        <w:t>1. Introduction</w:t>
      </w:r>
    </w:p>
    <w:p w:rsidR="003C296D" w:rsidRDefault="00310A61">
      <w:pPr>
        <w:spacing w:after="160" w:line="480" w:lineRule="auto"/>
        <w:jc w:val="both"/>
      </w:pPr>
      <w:r>
        <w:t>Solid Waste M</w:t>
      </w:r>
      <w:r w:rsidR="00BC25F5">
        <w:t xml:space="preserve">anagement (SWM) has emerged as one of the most pressing environmental governance challenges of the twenty-first century. Globally, over two billion </w:t>
      </w:r>
      <w:proofErr w:type="spellStart"/>
      <w:r w:rsidR="00BC25F5">
        <w:t>tonnes</w:t>
      </w:r>
      <w:proofErr w:type="spellEnd"/>
      <w:r w:rsidR="00BC25F5">
        <w:t xml:space="preserve"> of municipal solid waste are generated annually, a figure projected to reach 3.8 billion </w:t>
      </w:r>
      <w:proofErr w:type="spellStart"/>
      <w:r w:rsidR="00BC25F5">
        <w:t>tonnes</w:t>
      </w:r>
      <w:proofErr w:type="spellEnd"/>
      <w:r w:rsidR="00BC25F5">
        <w:t xml:space="preserve"> by 2050 (Shah </w:t>
      </w:r>
      <w:r w:rsidR="00BC25F5" w:rsidRPr="007646A2">
        <w:rPr>
          <w:i/>
        </w:rPr>
        <w:t>et al.</w:t>
      </w:r>
      <w:r w:rsidR="00E60AC0">
        <w:t>, 2021</w:t>
      </w:r>
      <w:r w:rsidR="00BC25F5">
        <w:t xml:space="preserve">; </w:t>
      </w:r>
      <w:proofErr w:type="spellStart"/>
      <w:r w:rsidR="00BC25F5">
        <w:t>Voukkali</w:t>
      </w:r>
      <w:proofErr w:type="spellEnd"/>
      <w:r w:rsidR="00BC25F5">
        <w:t xml:space="preserve"> </w:t>
      </w:r>
      <w:r w:rsidR="00BC25F5" w:rsidRPr="007646A2">
        <w:rPr>
          <w:i/>
        </w:rPr>
        <w:t>et al</w:t>
      </w:r>
      <w:r w:rsidR="00BC25F5">
        <w:t xml:space="preserve">., 2024). This escalating waste burden falls disproportionately on cities in the Global South, where population growth, </w:t>
      </w:r>
      <w:proofErr w:type="spellStart"/>
      <w:r w:rsidR="00BC25F5">
        <w:t>urbanisation</w:t>
      </w:r>
      <w:proofErr w:type="spellEnd"/>
      <w:r w:rsidR="00BC25F5">
        <w:t>, and consumption pattern shifts are outpacing institutional capacity for waste handling. In sub-Saharan Africa, the challenge is particularly acute: collection coverage is uneven, open dumping remains widespread, recycling and treatment infrastructure is minimal, and enforcement of environmental regulations is weak (</w:t>
      </w:r>
      <w:proofErr w:type="spellStart"/>
      <w:r w:rsidR="00BC25F5">
        <w:t>Abdulfatah</w:t>
      </w:r>
      <w:proofErr w:type="spellEnd"/>
      <w:r w:rsidR="00BC25F5">
        <w:t xml:space="preserve">, 2023; </w:t>
      </w:r>
      <w:proofErr w:type="spellStart"/>
      <w:r w:rsidR="00BC25F5">
        <w:t>Ezeudu</w:t>
      </w:r>
      <w:proofErr w:type="spellEnd"/>
      <w:r w:rsidR="00BC25F5">
        <w:t xml:space="preserve"> &amp; </w:t>
      </w:r>
      <w:proofErr w:type="spellStart"/>
      <w:r w:rsidR="00BC25F5">
        <w:t>Ugochukwu</w:t>
      </w:r>
      <w:proofErr w:type="spellEnd"/>
      <w:r w:rsidR="00BC25F5">
        <w:t>, 2024).</w:t>
      </w:r>
    </w:p>
    <w:p w:rsidR="003C296D" w:rsidRDefault="00BC25F5">
      <w:pPr>
        <w:spacing w:after="160" w:line="480" w:lineRule="auto"/>
        <w:jc w:val="both"/>
      </w:pPr>
      <w:r>
        <w:t>Nigeria exemplifies these continental trends. Rapid urban population growth, limited public finance, and fragmented governance structures have produced SWM systems that consistently underperform relative to resident expectations (</w:t>
      </w:r>
      <w:proofErr w:type="spellStart"/>
      <w:r>
        <w:t>Abila</w:t>
      </w:r>
      <w:proofErr w:type="spellEnd"/>
      <w:r>
        <w:t xml:space="preserve"> &amp; </w:t>
      </w:r>
      <w:proofErr w:type="spellStart"/>
      <w:r>
        <w:t>Kantola</w:t>
      </w:r>
      <w:proofErr w:type="spellEnd"/>
      <w:r>
        <w:t>, 2013). Studies across Nigerian cities document widespread dissatisfaction: residents report irregular collection schedules, uncollected waste heaps in public spaces, inadequate bin coverage, and the absence of functional feedback channels (</w:t>
      </w:r>
      <w:proofErr w:type="spellStart"/>
      <w:r>
        <w:t>Kassah</w:t>
      </w:r>
      <w:proofErr w:type="spellEnd"/>
      <w:r>
        <w:t xml:space="preserve">, 2020; </w:t>
      </w:r>
      <w:proofErr w:type="spellStart"/>
      <w:r>
        <w:t>Irowarisima</w:t>
      </w:r>
      <w:proofErr w:type="spellEnd"/>
      <w:r>
        <w:t xml:space="preserve">, 2023; </w:t>
      </w:r>
      <w:proofErr w:type="spellStart"/>
      <w:r>
        <w:t>Eshiett</w:t>
      </w:r>
      <w:proofErr w:type="spellEnd"/>
      <w:r>
        <w:t xml:space="preserve"> &amp; </w:t>
      </w:r>
      <w:proofErr w:type="spellStart"/>
      <w:r>
        <w:t>Eshiett</w:t>
      </w:r>
      <w:proofErr w:type="spellEnd"/>
      <w:r>
        <w:t>, 2024). Beyond inconvenience, these failures carry tangible consequences — increased environmental degradation, public health risks, depressed property values, and growing distrust in municipal governance (</w:t>
      </w:r>
      <w:proofErr w:type="spellStart"/>
      <w:r>
        <w:t>Onokohwomomo</w:t>
      </w:r>
      <w:proofErr w:type="spellEnd"/>
      <w:r>
        <w:t xml:space="preserve"> &amp; </w:t>
      </w:r>
      <w:proofErr w:type="spellStart"/>
      <w:r>
        <w:t>Ekene</w:t>
      </w:r>
      <w:proofErr w:type="spellEnd"/>
      <w:r>
        <w:t>, 2023).</w:t>
      </w:r>
    </w:p>
    <w:p w:rsidR="00A261BE" w:rsidRDefault="00BC25F5">
      <w:pPr>
        <w:spacing w:after="160" w:line="480" w:lineRule="auto"/>
        <w:jc w:val="both"/>
        <w:rPr>
          <w:color w:val="0070C0"/>
        </w:rPr>
      </w:pPr>
      <w:r>
        <w:t xml:space="preserve">Abuja, Nigeria's federal capital, is not immune to these dynamics despite its planned urban character and comparatively higher public investment. The Abuja Municipal Area Council (AMAC), which contains the city's core residential and commercial zones, has experienced rapid </w:t>
      </w:r>
      <w:r>
        <w:lastRenderedPageBreak/>
        <w:t xml:space="preserve">densification that has progressively strained the SWM infrastructure managed by the Abuja Environmental Protection Board (AEPB). </w:t>
      </w:r>
      <w:r w:rsidR="00A261BE" w:rsidRPr="00A261BE">
        <w:rPr>
          <w:color w:val="0070C0"/>
        </w:rPr>
        <w:t>While several studies have examined Solid Waste Management (SWM) in Abuja  from technical and institutional perspectives (</w:t>
      </w:r>
      <w:proofErr w:type="spellStart"/>
      <w:r w:rsidR="00A261BE" w:rsidRPr="00A261BE">
        <w:rPr>
          <w:color w:val="0070C0"/>
        </w:rPr>
        <w:t>Adama</w:t>
      </w:r>
      <w:proofErr w:type="spellEnd"/>
      <w:r w:rsidR="00A261BE" w:rsidRPr="00A261BE">
        <w:rPr>
          <w:color w:val="0070C0"/>
        </w:rPr>
        <w:t xml:space="preserve">, 2019; Joseph et al., 2020; </w:t>
      </w:r>
      <w:proofErr w:type="spellStart"/>
      <w:r w:rsidR="00A261BE" w:rsidRPr="00A261BE">
        <w:rPr>
          <w:color w:val="0070C0"/>
        </w:rPr>
        <w:t>Aderoju</w:t>
      </w:r>
      <w:proofErr w:type="spellEnd"/>
      <w:r w:rsidR="00A261BE" w:rsidRPr="00A261BE">
        <w:rPr>
          <w:color w:val="0070C0"/>
        </w:rPr>
        <w:t xml:space="preserve"> &amp; Dias, 2020; </w:t>
      </w:r>
      <w:proofErr w:type="spellStart"/>
      <w:r w:rsidR="00A261BE" w:rsidRPr="00A261BE">
        <w:rPr>
          <w:color w:val="0070C0"/>
        </w:rPr>
        <w:t>Adeiza</w:t>
      </w:r>
      <w:proofErr w:type="spellEnd"/>
      <w:r w:rsidR="00A261BE" w:rsidRPr="00A261BE">
        <w:rPr>
          <w:color w:val="0070C0"/>
        </w:rPr>
        <w:t xml:space="preserve"> </w:t>
      </w:r>
      <w:r w:rsidR="00A261BE" w:rsidRPr="00E60AC0">
        <w:rPr>
          <w:i/>
          <w:color w:val="0070C0"/>
        </w:rPr>
        <w:t>et al.,</w:t>
      </w:r>
      <w:r w:rsidR="00A261BE" w:rsidRPr="00A261BE">
        <w:rPr>
          <w:color w:val="0070C0"/>
        </w:rPr>
        <w:t xml:space="preserve"> 2024), evidence on how residents perceive and evaluate the quality of these services—particularly within specific, heterogeneous residential districts—remains sparse and empirically underdeveloped, despite a growing body of perception-based studies in broader Nigerian contexts (</w:t>
      </w:r>
      <w:proofErr w:type="spellStart"/>
      <w:r w:rsidR="00A261BE" w:rsidRPr="00A261BE">
        <w:rPr>
          <w:color w:val="0070C0"/>
        </w:rPr>
        <w:t>Olukanni</w:t>
      </w:r>
      <w:proofErr w:type="spellEnd"/>
      <w:r w:rsidR="00A261BE" w:rsidRPr="00A261BE">
        <w:rPr>
          <w:color w:val="0070C0"/>
        </w:rPr>
        <w:t xml:space="preserve"> </w:t>
      </w:r>
      <w:r w:rsidR="00A261BE" w:rsidRPr="00E60AC0">
        <w:rPr>
          <w:i/>
          <w:color w:val="0070C0"/>
        </w:rPr>
        <w:t>et al.,</w:t>
      </w:r>
      <w:r w:rsidR="00A261BE" w:rsidRPr="00A261BE">
        <w:rPr>
          <w:color w:val="0070C0"/>
        </w:rPr>
        <w:t xml:space="preserve"> 2020; </w:t>
      </w:r>
      <w:proofErr w:type="spellStart"/>
      <w:r w:rsidR="00A261BE" w:rsidRPr="00A261BE">
        <w:rPr>
          <w:color w:val="0070C0"/>
        </w:rPr>
        <w:t>Irikefe</w:t>
      </w:r>
      <w:proofErr w:type="spellEnd"/>
      <w:r w:rsidR="00A261BE" w:rsidRPr="00A261BE">
        <w:rPr>
          <w:color w:val="0070C0"/>
        </w:rPr>
        <w:t xml:space="preserve"> </w:t>
      </w:r>
      <w:r w:rsidR="00A261BE" w:rsidRPr="00E60AC0">
        <w:rPr>
          <w:i/>
          <w:color w:val="0070C0"/>
        </w:rPr>
        <w:t>et al.,</w:t>
      </w:r>
      <w:r w:rsidR="00A261BE" w:rsidRPr="00A261BE">
        <w:rPr>
          <w:color w:val="0070C0"/>
        </w:rPr>
        <w:t xml:space="preserve"> 2024).</w:t>
      </w:r>
    </w:p>
    <w:p w:rsidR="003C296D" w:rsidRDefault="00BC25F5">
      <w:pPr>
        <w:spacing w:after="160" w:line="480" w:lineRule="auto"/>
        <w:jc w:val="both"/>
      </w:pPr>
      <w:r>
        <w:t xml:space="preserve">The </w:t>
      </w:r>
      <w:proofErr w:type="spellStart"/>
      <w:r>
        <w:t>Garki</w:t>
      </w:r>
      <w:proofErr w:type="spellEnd"/>
      <w:r>
        <w:t xml:space="preserve"> district of AMAC presents an analytically valuable context for this assessment. Its mix of high-rise apartments, detached residential dwellings, and semi-detached housing across seven sub-areas (</w:t>
      </w:r>
      <w:proofErr w:type="spellStart"/>
      <w:r>
        <w:t>Garki</w:t>
      </w:r>
      <w:proofErr w:type="spellEnd"/>
      <w:r>
        <w:t xml:space="preserve"> Areas 1, 2, 3, 7, 8, 10, and 11) creates a socio-economically diverse population whose experiences of SWM services capture both the strengths and limitations of the current municipal system. This study assesses residents' satisfaction with SWM services in </w:t>
      </w:r>
      <w:proofErr w:type="spellStart"/>
      <w:r>
        <w:t>Garki</w:t>
      </w:r>
      <w:proofErr w:type="spellEnd"/>
      <w:r>
        <w:t>, AMAC, examining four dimensions: the nature and scope of services rendered, the effectiveness of service delivery, the level of resident satisfaction, and the key factors shaping that satisfaction. The findings contribute empirical evidence for improving SWM policy and service design in Abuja and comparable urban settings across Nigeria.</w:t>
      </w:r>
    </w:p>
    <w:p w:rsidR="003C296D" w:rsidRDefault="00BC25F5">
      <w:pPr>
        <w:pStyle w:val="Heading2"/>
      </w:pPr>
      <w:r>
        <w:t>1.1 Research Objectives</w:t>
      </w:r>
    </w:p>
    <w:p w:rsidR="003C296D" w:rsidRDefault="00BC25F5">
      <w:pPr>
        <w:spacing w:after="160" w:line="480" w:lineRule="auto"/>
        <w:jc w:val="both"/>
      </w:pPr>
      <w:r>
        <w:t xml:space="preserve">The study pursued four specific objectives: to examine the nature and scope of </w:t>
      </w:r>
      <w:r w:rsidR="00310A61">
        <w:rPr>
          <w:sz w:val="22"/>
          <w:szCs w:val="22"/>
        </w:rPr>
        <w:t>Solid Waste Management (</w:t>
      </w:r>
      <w:r>
        <w:t>SWM</w:t>
      </w:r>
      <w:r w:rsidR="00310A61">
        <w:t>)</w:t>
      </w:r>
      <w:r>
        <w:t xml:space="preserve"> services rendered to residents in </w:t>
      </w:r>
      <w:r w:rsidR="00310A61">
        <w:rPr>
          <w:sz w:val="22"/>
          <w:szCs w:val="22"/>
        </w:rPr>
        <w:t>Abuja Municipal Area Council (</w:t>
      </w:r>
      <w:r>
        <w:t>AMAC</w:t>
      </w:r>
      <w:r w:rsidR="00310A61">
        <w:t>)</w:t>
      </w:r>
      <w:r>
        <w:t>; to assess the effectiveness of those services; to determine residents' level of satisfaction with SWM services; and to examine the factors influencing residents' satisfaction.</w:t>
      </w:r>
    </w:p>
    <w:p w:rsidR="003C296D" w:rsidRDefault="00BC25F5">
      <w:pPr>
        <w:pStyle w:val="Heading1"/>
      </w:pPr>
      <w:r>
        <w:t>2. Literature Review</w:t>
      </w:r>
    </w:p>
    <w:p w:rsidR="003C296D" w:rsidRDefault="00BC25F5">
      <w:pPr>
        <w:pStyle w:val="Heading2"/>
      </w:pPr>
      <w:r>
        <w:t>2.1 Concept and Dimensions of Solid Waste Management</w:t>
      </w:r>
    </w:p>
    <w:p w:rsidR="003C296D" w:rsidRDefault="00310A61">
      <w:pPr>
        <w:spacing w:after="160" w:line="480" w:lineRule="auto"/>
        <w:jc w:val="both"/>
      </w:pPr>
      <w:r>
        <w:lastRenderedPageBreak/>
        <w:t>Solid Waste M</w:t>
      </w:r>
      <w:r w:rsidR="00BC25F5">
        <w:t>anagement</w:t>
      </w:r>
      <w:r>
        <w:t xml:space="preserve"> (SWM)</w:t>
      </w:r>
      <w:r w:rsidR="00BC25F5">
        <w:t xml:space="preserve"> encompasses the strategic combination of techniques used to control waste from point of generation to final disposal with the overarching goal of maintaining environmental safety at the lowest cost (</w:t>
      </w:r>
      <w:proofErr w:type="spellStart"/>
      <w:r w:rsidR="00BC25F5">
        <w:t>Igbinomwanhia</w:t>
      </w:r>
      <w:proofErr w:type="spellEnd"/>
      <w:r w:rsidR="00BC25F5">
        <w:t>, 2011). Effective SWM requires an integrated approach that includes waste generation reduction, collection, transportation, processing, recycling, and disposal, supported by appropriate technology, finance, and governance (</w:t>
      </w:r>
      <w:proofErr w:type="spellStart"/>
      <w:r w:rsidR="00BC25F5">
        <w:t>Oteng-Ababio</w:t>
      </w:r>
      <w:proofErr w:type="spellEnd"/>
      <w:r w:rsidR="00BC25F5">
        <w:t>, 2011). In developing nations, the attainment of sustainable SWM efficiency is hampered by funding deficits, weak institutional frameworks, limited access to technology, and fluctuating consumption patterns (</w:t>
      </w:r>
      <w:proofErr w:type="spellStart"/>
      <w:r w:rsidR="00BC25F5">
        <w:t>Oteng-Ababio</w:t>
      </w:r>
      <w:proofErr w:type="spellEnd"/>
      <w:r w:rsidR="00BC25F5">
        <w:t xml:space="preserve">, 2011; </w:t>
      </w:r>
      <w:proofErr w:type="spellStart"/>
      <w:r w:rsidR="00BC25F5">
        <w:t>Jalil</w:t>
      </w:r>
      <w:proofErr w:type="spellEnd"/>
      <w:r w:rsidR="00BC25F5">
        <w:t>, 2010).</w:t>
      </w:r>
    </w:p>
    <w:p w:rsidR="003C296D" w:rsidRDefault="00BC25F5">
      <w:pPr>
        <w:spacing w:after="160" w:line="480" w:lineRule="auto"/>
        <w:jc w:val="both"/>
      </w:pPr>
      <w:r>
        <w:t>The dimensions of SWM service quality that shape resident perceptions span several categories: infrastructure adequacy (availability and condition of waste bins and collection vehicles), collection logistics (frequency, punctuality, and geographical coverage), environmental hygiene (pest and odor control, cleanliness of collection sites), institutional responsiveness (complaint handling, communication), and community engagement (public education on waste disposal and recycling). Research consistently shows that resident satisfaction is a multi-dimensional construct that cannot be reduced to collection frequency alone (</w:t>
      </w:r>
      <w:proofErr w:type="spellStart"/>
      <w:r>
        <w:t>Ikiriko</w:t>
      </w:r>
      <w:proofErr w:type="spellEnd"/>
      <w:r>
        <w:t xml:space="preserve"> </w:t>
      </w:r>
      <w:r w:rsidRPr="007646A2">
        <w:rPr>
          <w:i/>
        </w:rPr>
        <w:t>et al</w:t>
      </w:r>
      <w:r>
        <w:t xml:space="preserve">., 2023; </w:t>
      </w:r>
      <w:proofErr w:type="spellStart"/>
      <w:r>
        <w:t>Aminu</w:t>
      </w:r>
      <w:proofErr w:type="spellEnd"/>
      <w:r>
        <w:t xml:space="preserve"> </w:t>
      </w:r>
      <w:r w:rsidRPr="007646A2">
        <w:rPr>
          <w:i/>
        </w:rPr>
        <w:t>et al.,</w:t>
      </w:r>
      <w:r>
        <w:t xml:space="preserve"> 2022).</w:t>
      </w:r>
    </w:p>
    <w:p w:rsidR="003C296D" w:rsidRDefault="00BC25F5">
      <w:pPr>
        <w:pStyle w:val="Heading2"/>
      </w:pPr>
      <w:r>
        <w:t>2.2 Residents' Satisfaction as a Performance Measure</w:t>
      </w:r>
    </w:p>
    <w:p w:rsidR="003C296D" w:rsidRDefault="00BC25F5">
      <w:pPr>
        <w:spacing w:after="160" w:line="480" w:lineRule="auto"/>
        <w:jc w:val="both"/>
      </w:pPr>
      <w:r>
        <w:t xml:space="preserve">Resident satisfaction with public services has gained traction as a critical accountability metric in urban governance, reflecting the degree to which service delivery meets user expectations (Abbas, 2023; Bertram </w:t>
      </w:r>
      <w:r w:rsidRPr="007646A2">
        <w:rPr>
          <w:i/>
        </w:rPr>
        <w:t>et al</w:t>
      </w:r>
      <w:r>
        <w:t>., 2024). In the context of</w:t>
      </w:r>
      <w:r w:rsidR="00310A61">
        <w:t xml:space="preserve"> Solid Waste Management</w:t>
      </w:r>
      <w:r>
        <w:t xml:space="preserve"> </w:t>
      </w:r>
      <w:r w:rsidR="00310A61">
        <w:t>(</w:t>
      </w:r>
      <w:r>
        <w:t>SWM</w:t>
      </w:r>
      <w:r w:rsidR="00310A61">
        <w:t>)</w:t>
      </w:r>
      <w:r>
        <w:t>, satisfaction encompasses residents' cumulative assessments of infrastructure provision, service reliability, environmental outcomes, and the responsiveness of service providers to complaints and feedback. High satisfaction levels generally correlate with greater compliance with disposal norms, reduced illegal dumping, and stronger community participation in sanitation activities (</w:t>
      </w:r>
      <w:proofErr w:type="spellStart"/>
      <w:r>
        <w:t>Ikiriko</w:t>
      </w:r>
      <w:proofErr w:type="spellEnd"/>
      <w:r>
        <w:t xml:space="preserve"> </w:t>
      </w:r>
      <w:r w:rsidRPr="007646A2">
        <w:rPr>
          <w:i/>
        </w:rPr>
        <w:t>et al.,</w:t>
      </w:r>
      <w:r>
        <w:t xml:space="preserve"> 2023).</w:t>
      </w:r>
    </w:p>
    <w:p w:rsidR="003C296D" w:rsidRDefault="00BC25F5">
      <w:pPr>
        <w:spacing w:after="160" w:line="480" w:lineRule="auto"/>
        <w:jc w:val="both"/>
      </w:pPr>
      <w:r>
        <w:lastRenderedPageBreak/>
        <w:t xml:space="preserve">Several studies across Nigerian cities have applied </w:t>
      </w:r>
      <w:proofErr w:type="spellStart"/>
      <w:r>
        <w:t>Likert</w:t>
      </w:r>
      <w:proofErr w:type="spellEnd"/>
      <w:r>
        <w:t xml:space="preserve">-scale surveys and mean-score analyses to quantify SWM satisfaction levels. </w:t>
      </w:r>
      <w:proofErr w:type="spellStart"/>
      <w:r>
        <w:t>Kassah</w:t>
      </w:r>
      <w:proofErr w:type="spellEnd"/>
      <w:r>
        <w:t xml:space="preserve"> (2020) found widespread dissatisfaction with irregular collection schedules and the prevalence of illegal dumping. </w:t>
      </w:r>
      <w:proofErr w:type="spellStart"/>
      <w:r>
        <w:t>Irowarisima</w:t>
      </w:r>
      <w:proofErr w:type="spellEnd"/>
      <w:r>
        <w:t xml:space="preserve"> (2023) highlighted gaps in service coverage in </w:t>
      </w:r>
      <w:proofErr w:type="spellStart"/>
      <w:r>
        <w:t>peri</w:t>
      </w:r>
      <w:proofErr w:type="spellEnd"/>
      <w:r>
        <w:t xml:space="preserve">-urban and low-income areas, while </w:t>
      </w:r>
      <w:proofErr w:type="spellStart"/>
      <w:r>
        <w:t>Eshiett</w:t>
      </w:r>
      <w:proofErr w:type="spellEnd"/>
      <w:r>
        <w:t xml:space="preserve"> and </w:t>
      </w:r>
      <w:proofErr w:type="spellStart"/>
      <w:r>
        <w:t>Eshiett</w:t>
      </w:r>
      <w:proofErr w:type="spellEnd"/>
      <w:r>
        <w:t xml:space="preserve"> (2024) identified poor complaint responsiveness as a core driver of dissatisfaction. These findings collectively point to a persistent service quality deficit in Nigerian urban SWM systems, one that is structural rather than episodic.</w:t>
      </w:r>
    </w:p>
    <w:p w:rsidR="003C296D" w:rsidRDefault="00BC25F5">
      <w:pPr>
        <w:pStyle w:val="Heading2"/>
      </w:pPr>
      <w:r>
        <w:t xml:space="preserve">2.3 Factors Influencing </w:t>
      </w:r>
      <w:r w:rsidR="000D0FA7">
        <w:t>Solid Waste Management (</w:t>
      </w:r>
      <w:r>
        <w:t>SWM</w:t>
      </w:r>
      <w:r w:rsidR="000D0FA7">
        <w:t>)</w:t>
      </w:r>
      <w:r>
        <w:t xml:space="preserve"> Satisfaction</w:t>
      </w:r>
    </w:p>
    <w:p w:rsidR="003C296D" w:rsidRDefault="00BC25F5">
      <w:pPr>
        <w:spacing w:after="160" w:line="480" w:lineRule="auto"/>
        <w:jc w:val="both"/>
      </w:pPr>
      <w:r>
        <w:t xml:space="preserve">The determinants of resident satisfaction with </w:t>
      </w:r>
      <w:r w:rsidR="00310A61">
        <w:t>Solid Waste Management (</w:t>
      </w:r>
      <w:r>
        <w:t>SWM</w:t>
      </w:r>
      <w:r w:rsidR="00310A61">
        <w:t>)</w:t>
      </w:r>
      <w:r>
        <w:t xml:space="preserve"> services operate across technical, environmental, administrative, and social dimensions. Infrastructural factors — particularly the condition and proximity of waste bins, the availability of collection vehicles, and the adequacy of collection sites — are consistently identified as primary drivers (</w:t>
      </w:r>
      <w:proofErr w:type="spellStart"/>
      <w:r>
        <w:t>Ikiriko</w:t>
      </w:r>
      <w:proofErr w:type="spellEnd"/>
      <w:r>
        <w:t xml:space="preserve"> </w:t>
      </w:r>
      <w:r w:rsidRPr="007646A2">
        <w:rPr>
          <w:i/>
        </w:rPr>
        <w:t>et al.,</w:t>
      </w:r>
      <w:r>
        <w:t xml:space="preserve"> 2023; </w:t>
      </w:r>
      <w:proofErr w:type="spellStart"/>
      <w:r>
        <w:t>Aminu</w:t>
      </w:r>
      <w:proofErr w:type="spellEnd"/>
      <w:r>
        <w:t xml:space="preserve"> </w:t>
      </w:r>
      <w:r w:rsidRPr="007646A2">
        <w:rPr>
          <w:i/>
        </w:rPr>
        <w:t>et al.,</w:t>
      </w:r>
      <w:r>
        <w:t xml:space="preserve"> 2022). Environmental factors, including the presence of illegal dumpsites, litter, overflowing bins, and inadequate pest and odor control, directly affect quality of life and strongly influence perceptions of service adequacy (</w:t>
      </w:r>
      <w:proofErr w:type="spellStart"/>
      <w:r>
        <w:t>Eshiett</w:t>
      </w:r>
      <w:proofErr w:type="spellEnd"/>
      <w:r>
        <w:t xml:space="preserve"> &amp; </w:t>
      </w:r>
      <w:proofErr w:type="spellStart"/>
      <w:r>
        <w:t>Eshiett</w:t>
      </w:r>
      <w:proofErr w:type="spellEnd"/>
      <w:r>
        <w:t>, 2024).</w:t>
      </w:r>
    </w:p>
    <w:p w:rsidR="003C296D" w:rsidRDefault="00BC25F5">
      <w:pPr>
        <w:spacing w:after="160" w:line="480" w:lineRule="auto"/>
        <w:jc w:val="both"/>
      </w:pPr>
      <w:r>
        <w:t xml:space="preserve">Administrative and communicative factors — such as the professionalism of waste management personnel, the responsiveness of municipal authorities to complaints, and the availability of public information on waste disposal — also shape satisfaction, though their relative importance varies by context (Abbas, 2023; </w:t>
      </w:r>
      <w:proofErr w:type="spellStart"/>
      <w:r>
        <w:t>Bhuian</w:t>
      </w:r>
      <w:proofErr w:type="spellEnd"/>
      <w:r>
        <w:t xml:space="preserve">, 2021). The cost-quality ratio of services has been found to moderate satisfaction particularly among higher-income residents who are more likely to perceive low-quality services as poor value for money (Bertram </w:t>
      </w:r>
      <w:r w:rsidRPr="007646A2">
        <w:rPr>
          <w:i/>
        </w:rPr>
        <w:t>et al.,</w:t>
      </w:r>
      <w:r>
        <w:t xml:space="preserve"> 2024). In Nigeria, weak institutional mechanisms for community feedback and limited investment in pub</w:t>
      </w:r>
      <w:r w:rsidR="00310A61">
        <w:t xml:space="preserve">lic education on </w:t>
      </w:r>
      <w:r>
        <w:t xml:space="preserve">SWM </w:t>
      </w:r>
      <w:r>
        <w:lastRenderedPageBreak/>
        <w:t>practices have been persistently identified as gaps that constrain satisfaction (</w:t>
      </w:r>
      <w:proofErr w:type="spellStart"/>
      <w:r>
        <w:t>Abdulfatah</w:t>
      </w:r>
      <w:proofErr w:type="spellEnd"/>
      <w:r>
        <w:t xml:space="preserve">, 2023; </w:t>
      </w:r>
      <w:proofErr w:type="spellStart"/>
      <w:r>
        <w:t>Abdullahi</w:t>
      </w:r>
      <w:proofErr w:type="spellEnd"/>
      <w:r>
        <w:t xml:space="preserve"> &amp; Mohammed, 2020).</w:t>
      </w:r>
    </w:p>
    <w:p w:rsidR="003C296D" w:rsidRDefault="00BC25F5">
      <w:pPr>
        <w:pStyle w:val="Heading2"/>
      </w:pPr>
      <w:r>
        <w:t xml:space="preserve">2.4 </w:t>
      </w:r>
      <w:r w:rsidR="00310A61">
        <w:t xml:space="preserve">Solid Waste Management </w:t>
      </w:r>
      <w:r w:rsidR="000D0FA7">
        <w:t xml:space="preserve">(SWM) </w:t>
      </w:r>
      <w:r>
        <w:t>in Abuja: Contextual Background</w:t>
      </w:r>
    </w:p>
    <w:p w:rsidR="003C296D" w:rsidRDefault="00BC25F5">
      <w:pPr>
        <w:spacing w:after="160" w:line="480" w:lineRule="auto"/>
        <w:jc w:val="both"/>
      </w:pPr>
      <w:r>
        <w:t xml:space="preserve">Abuja has operated as Nigeria's federal capital since 1991 and is managed administratively across six area councils, with AMAC encompassing the core urban zone. The Abuja Environmental Protection Board (AEPB) oversees SWM operations including city cleaning (through </w:t>
      </w:r>
      <w:proofErr w:type="spellStart"/>
      <w:r>
        <w:t>concessioned</w:t>
      </w:r>
      <w:proofErr w:type="spellEnd"/>
      <w:r>
        <w:t xml:space="preserve"> local contractors in a public-private arrangement), street sweeping, litter control, solid waste collection and transfer, and vegetation management (</w:t>
      </w:r>
      <w:proofErr w:type="spellStart"/>
      <w:r>
        <w:t>Akoni</w:t>
      </w:r>
      <w:proofErr w:type="spellEnd"/>
      <w:r>
        <w:t>, 2020). Despite this structured governance framework, empirical evidence on resident satisfaction specifically within AMAC sub-districts is limited.</w:t>
      </w:r>
    </w:p>
    <w:p w:rsidR="003C296D" w:rsidRDefault="00BC25F5">
      <w:pPr>
        <w:spacing w:after="160" w:line="480" w:lineRule="auto"/>
        <w:jc w:val="both"/>
      </w:pPr>
      <w:r>
        <w:t xml:space="preserve">Existing studies on Abuja's SWM have primarily addressed technical logistics and institutional </w:t>
      </w:r>
      <w:r w:rsidR="003805AD">
        <w:t>frameworks (</w:t>
      </w:r>
      <w:proofErr w:type="spellStart"/>
      <w:r w:rsidR="003805AD">
        <w:t>Adeiza</w:t>
      </w:r>
      <w:proofErr w:type="spellEnd"/>
      <w:r w:rsidR="003805AD">
        <w:t xml:space="preserve"> </w:t>
      </w:r>
      <w:r w:rsidR="003805AD" w:rsidRPr="003805AD">
        <w:rPr>
          <w:i/>
        </w:rPr>
        <w:t>et al</w:t>
      </w:r>
      <w:r w:rsidR="003805AD">
        <w:t>.</w:t>
      </w:r>
      <w:r w:rsidR="003805AD" w:rsidRPr="003805AD">
        <w:t xml:space="preserve"> 2024</w:t>
      </w:r>
      <w:r>
        <w:t xml:space="preserve">; </w:t>
      </w:r>
      <w:proofErr w:type="spellStart"/>
      <w:r>
        <w:t>Adama</w:t>
      </w:r>
      <w:proofErr w:type="spellEnd"/>
      <w:r>
        <w:t xml:space="preserve">, 2019) or broad satisfaction assessments without disaggregating findings by housing type, residential density, or service dimension (Yusuf </w:t>
      </w:r>
      <w:r w:rsidRPr="006C369E">
        <w:rPr>
          <w:i/>
        </w:rPr>
        <w:t>et al</w:t>
      </w:r>
      <w:r>
        <w:t xml:space="preserve">., 2019). This study fills that gap by focusing on the </w:t>
      </w:r>
      <w:proofErr w:type="spellStart"/>
      <w:r>
        <w:t>Garki</w:t>
      </w:r>
      <w:proofErr w:type="spellEnd"/>
      <w:r>
        <w:t xml:space="preserve"> district, a heterogeneous residential area that offers analytical tractability while reflecting the service challenges typical of urban AMAC.</w:t>
      </w:r>
    </w:p>
    <w:p w:rsidR="003C296D" w:rsidRDefault="00BC25F5">
      <w:pPr>
        <w:pStyle w:val="Heading1"/>
      </w:pPr>
      <w:r>
        <w:t>3. Methodology and Study Area</w:t>
      </w:r>
    </w:p>
    <w:p w:rsidR="003C296D" w:rsidRDefault="00BC25F5">
      <w:pPr>
        <w:pStyle w:val="Heading2"/>
      </w:pPr>
      <w:r>
        <w:t>3.1 Study Area</w:t>
      </w:r>
    </w:p>
    <w:p w:rsidR="003C296D" w:rsidRDefault="00BC25F5">
      <w:pPr>
        <w:spacing w:after="160" w:line="480" w:lineRule="auto"/>
        <w:jc w:val="both"/>
      </w:pPr>
      <w:r>
        <w:t xml:space="preserve">The study was conducted in the </w:t>
      </w:r>
      <w:proofErr w:type="spellStart"/>
      <w:r>
        <w:t>Garki</w:t>
      </w:r>
      <w:proofErr w:type="spellEnd"/>
      <w:r>
        <w:t xml:space="preserve"> district of </w:t>
      </w:r>
      <w:r w:rsidR="000D0FA7">
        <w:rPr>
          <w:sz w:val="22"/>
          <w:szCs w:val="22"/>
        </w:rPr>
        <w:t>Abuja Municipal Area Council (</w:t>
      </w:r>
      <w:r>
        <w:t>AMAC</w:t>
      </w:r>
      <w:r w:rsidR="000D0FA7">
        <w:t>)</w:t>
      </w:r>
      <w:r>
        <w:t xml:space="preserve">, FCT Abuja, covering seven sub-areas: </w:t>
      </w:r>
      <w:proofErr w:type="spellStart"/>
      <w:r>
        <w:t>Garki</w:t>
      </w:r>
      <w:proofErr w:type="spellEnd"/>
      <w:r>
        <w:t xml:space="preserve"> Areas 1, 2, 3, 7, 8, 10, and 11. The district was selected because it encompasses a range of housing typologies — from high-rise apartment blocks to individual detached and semi-detached dwellings — and diverse socio-economic groups, providing a representative cross-section of urban residential experience in AMAC. The total number of residential buildings across the seven sub-areas was 8,947, according to Abuja </w:t>
      </w:r>
      <w:r>
        <w:lastRenderedPageBreak/>
        <w:t xml:space="preserve">Electricity Distribution Company (AEDC) data (2025). </w:t>
      </w:r>
      <w:r w:rsidR="000D0FA7">
        <w:t>Solid Waste Management (</w:t>
      </w:r>
      <w:r>
        <w:t>SWM</w:t>
      </w:r>
      <w:r w:rsidR="000D0FA7">
        <w:t>)</w:t>
      </w:r>
      <w:r>
        <w:t xml:space="preserve"> services in </w:t>
      </w:r>
      <w:proofErr w:type="spellStart"/>
      <w:r>
        <w:t>Garki</w:t>
      </w:r>
      <w:proofErr w:type="spellEnd"/>
      <w:r>
        <w:t xml:space="preserve"> are delivered through AEPB's concession arrangements and include household waste collection, communal bin provision, and periodic site sanitation.</w:t>
      </w:r>
    </w:p>
    <w:p w:rsidR="003C296D" w:rsidRDefault="00BC25F5">
      <w:pPr>
        <w:pStyle w:val="Heading2"/>
      </w:pPr>
      <w:r>
        <w:t>3.2 Research Design and Data Collection</w:t>
      </w:r>
    </w:p>
    <w:p w:rsidR="003C296D" w:rsidRDefault="00BC25F5">
      <w:pPr>
        <w:spacing w:after="160" w:line="480" w:lineRule="auto"/>
        <w:jc w:val="both"/>
      </w:pPr>
      <w:r>
        <w:t xml:space="preserve">A quantitative survey research design was adopted. Primary data were collected using a structured, closed-ended questionnaire based on a five-point </w:t>
      </w:r>
      <w:proofErr w:type="spellStart"/>
      <w:r>
        <w:t>Likert</w:t>
      </w:r>
      <w:proofErr w:type="spellEnd"/>
      <w:r>
        <w:t xml:space="preserve"> scale. The instrument covered four thematic sections: socio-demographic characteristics of respondents; nature and scope of </w:t>
      </w:r>
      <w:r w:rsidR="000D0FA7">
        <w:t>Solid Waste Management (</w:t>
      </w:r>
      <w:r>
        <w:t>SWM</w:t>
      </w:r>
      <w:r w:rsidR="000D0FA7">
        <w:t>)</w:t>
      </w:r>
      <w:r>
        <w:t xml:space="preserve"> services; effectiveness of SWM services; level of resident satisfaction; and factors influencing satisfaction. Respondents were household heads or their adult representatives, selected as the most informed evaluators of household and </w:t>
      </w:r>
      <w:proofErr w:type="spellStart"/>
      <w:r>
        <w:t>neighbourhood</w:t>
      </w:r>
      <w:proofErr w:type="spellEnd"/>
      <w:r>
        <w:t xml:space="preserve"> waste service experiences.</w:t>
      </w:r>
    </w:p>
    <w:p w:rsidR="003C296D" w:rsidRDefault="00BC25F5">
      <w:pPr>
        <w:pStyle w:val="Heading2"/>
      </w:pPr>
      <w:r>
        <w:t>3.3 Population, Sampling Frame, and Sample Size</w:t>
      </w:r>
    </w:p>
    <w:p w:rsidR="003C296D" w:rsidRDefault="00BC25F5">
      <w:pPr>
        <w:spacing w:after="160" w:line="480" w:lineRule="auto"/>
        <w:jc w:val="both"/>
      </w:pPr>
      <w:r>
        <w:t xml:space="preserve">The target population comprised all household heads within the seven </w:t>
      </w:r>
      <w:proofErr w:type="spellStart"/>
      <w:r>
        <w:t>Garki</w:t>
      </w:r>
      <w:proofErr w:type="spellEnd"/>
      <w:r>
        <w:t xml:space="preserve"> sub-areas, with a sampling frame of 8,947 residential buildings (AEDC, 2025). The required sample size was determined using the Yamane (1967) formula: n = N / (1 + </w:t>
      </w:r>
      <w:proofErr w:type="gramStart"/>
      <w:r>
        <w:t>N(</w:t>
      </w:r>
      <w:proofErr w:type="gramEnd"/>
      <w:r>
        <w:t>e²)), where N = 8,947 and e = 0.05, yielding n ≈ 383. To account for anticipated non-responses and damaged returns, the administered sample was expanded to 420, distributed proportionally across the seven sub-areas (Table 1 in supplementary material). Stratified random sampling was applied at the first stage to ensure sub-area representation; cluster sampling was used within each sub-area to select streets; and systematic random sampling was applied at household level to select every nth household until the sub-area quota was achieved. A total of 360 questionnaires were returned usable, representing an overall response rate of 85.7%.</w:t>
      </w:r>
    </w:p>
    <w:p w:rsidR="003C296D" w:rsidRDefault="00BC25F5">
      <w:pPr>
        <w:pStyle w:val="Heading2"/>
      </w:pPr>
      <w:r>
        <w:t>3.4 Data Analysis</w:t>
      </w:r>
    </w:p>
    <w:p w:rsidR="003C296D" w:rsidRDefault="00BC25F5">
      <w:pPr>
        <w:spacing w:after="160" w:line="480" w:lineRule="auto"/>
        <w:jc w:val="both"/>
      </w:pPr>
      <w:r>
        <w:lastRenderedPageBreak/>
        <w:t xml:space="preserve">Descriptive statistics — specifically mean scores, standard deviations, and mean ranking — were computed for all variables. Decision-rule intervals adapted from Jenkins (2020) and </w:t>
      </w:r>
      <w:proofErr w:type="spellStart"/>
      <w:r>
        <w:t>Heo</w:t>
      </w:r>
      <w:proofErr w:type="spellEnd"/>
      <w:r>
        <w:t xml:space="preserve"> et al. (2022) were applied to interpret mean values across three scales: nature and scope (1.00–1.80 = Not Available; 1.81–2.60 = Scarcely Available; 2.61–3.40 = Partially Available; 3.41–4.20 = Available; 4.21–5.00 = Very Available); effectiveness (equivalent intervals from Less Effective to Very Effective); and satisfaction (1.00–2.49 = Less Satisfied; 2.50–3.49 = Moderate; 3.50–5.00 = Satisfied). Exploratory factor analysis (Principal Component Analysis, PCA) was applied to the 14-item scale measuring factors influencing satisfaction, following confirmation of dataset suitability through the Kaiser-Meyer-</w:t>
      </w:r>
      <w:proofErr w:type="spellStart"/>
      <w:r>
        <w:t>Olkin</w:t>
      </w:r>
      <w:proofErr w:type="spellEnd"/>
      <w:r>
        <w:t xml:space="preserve"> (KMO) measure (0.884) and Bartlett's Test of </w:t>
      </w:r>
      <w:proofErr w:type="spellStart"/>
      <w:r>
        <w:t>Sphericity</w:t>
      </w:r>
      <w:proofErr w:type="spellEnd"/>
      <w:r>
        <w:t xml:space="preserve"> (χ² = 1625.73, </w:t>
      </w:r>
      <w:proofErr w:type="spellStart"/>
      <w:r>
        <w:t>df</w:t>
      </w:r>
      <w:proofErr w:type="spellEnd"/>
      <w:r>
        <w:t xml:space="preserve"> = 91, p &lt; 0.001). The scale achieved excellent internal consistency (</w:t>
      </w:r>
      <w:proofErr w:type="spellStart"/>
      <w:r>
        <w:t>Cronbach's</w:t>
      </w:r>
      <w:proofErr w:type="spellEnd"/>
      <w:r>
        <w:t xml:space="preserve"> alpha = 0.967, n = 14 items). Factors with eigenvalues greater than 1 were retained per Kaiser's criterion.</w:t>
      </w:r>
    </w:p>
    <w:p w:rsidR="003C296D" w:rsidRDefault="00BC25F5">
      <w:pPr>
        <w:pStyle w:val="Heading1"/>
      </w:pPr>
      <w:r>
        <w:t>4. Results and Discussion</w:t>
      </w:r>
    </w:p>
    <w:p w:rsidR="003C296D" w:rsidRDefault="00BC25F5">
      <w:pPr>
        <w:pStyle w:val="Heading2"/>
      </w:pPr>
      <w:r>
        <w:t>4.1 Socio-Demographic Profile of Respondents</w:t>
      </w:r>
    </w:p>
    <w:p w:rsidR="003C296D" w:rsidRDefault="00BC25F5">
      <w:pPr>
        <w:spacing w:after="160" w:line="480" w:lineRule="auto"/>
        <w:jc w:val="both"/>
      </w:pPr>
      <w:r>
        <w:t xml:space="preserve">Of the 360 respondents, 64.4% were male and 35.6% female. The majority (72.3%) had resided in </w:t>
      </w:r>
      <w:r w:rsidR="000D0FA7">
        <w:rPr>
          <w:sz w:val="22"/>
          <w:szCs w:val="22"/>
        </w:rPr>
        <w:t>Abuja Municipal Area Council (</w:t>
      </w:r>
      <w:r>
        <w:t>AMAC</w:t>
      </w:r>
      <w:r w:rsidR="000D0FA7">
        <w:t>)</w:t>
      </w:r>
      <w:r>
        <w:t xml:space="preserve"> for more than two years — 28.7% for 4–6 years and 39.6% for seven or more years — lending credibility to their evaluations as long-term service users. Most respondents (56.4%) lived in apartments or flats, reflecting the high-density residential character of </w:t>
      </w:r>
      <w:proofErr w:type="spellStart"/>
      <w:r>
        <w:t>Garki</w:t>
      </w:r>
      <w:proofErr w:type="spellEnd"/>
      <w:r>
        <w:t>. Educational attainment was high: 68.3% held a tertiary-level qualification and 14.9% held postgraduate degrees, indicating a well-informed respondent population likely capable of nuanced service evaluation. Household size was predominantly moderate, with 44.6% in households of 3–4 persons and 32.7% in households of 1–2 persons.</w:t>
      </w:r>
    </w:p>
    <w:p w:rsidR="003C296D" w:rsidRDefault="00BC25F5">
      <w:pPr>
        <w:pStyle w:val="Heading2"/>
      </w:pPr>
      <w:r>
        <w:t>4.2 Nature and Scope of SWM Services in AMAC</w:t>
      </w:r>
    </w:p>
    <w:p w:rsidR="003C296D" w:rsidRDefault="00BC25F5">
      <w:pPr>
        <w:spacing w:after="160" w:line="480" w:lineRule="auto"/>
        <w:jc w:val="both"/>
      </w:pPr>
      <w:r>
        <w:lastRenderedPageBreak/>
        <w:t xml:space="preserve">Table 1 presents the mean scores and interpretations for twelve </w:t>
      </w:r>
      <w:r w:rsidR="000D0FA7">
        <w:t>Solid Waste Management (</w:t>
      </w:r>
      <w:r>
        <w:t>SWM</w:t>
      </w:r>
      <w:r w:rsidR="000D0FA7">
        <w:t>)</w:t>
      </w:r>
      <w:r>
        <w:t xml:space="preserve"> service components assessing the nature and scope of service provision. The benchmark intervals range from 'Not Available' (1.00–1.80) to 'Very Available' (4.21–5.00), adapted from Jenkins (2020) and </w:t>
      </w:r>
      <w:proofErr w:type="spellStart"/>
      <w:r>
        <w:t>Heo</w:t>
      </w:r>
      <w:proofErr w:type="spellEnd"/>
      <w:r>
        <w:t xml:space="preserve"> </w:t>
      </w:r>
      <w:r w:rsidRPr="007646A2">
        <w:rPr>
          <w:i/>
        </w:rPr>
        <w:t>et al.</w:t>
      </w:r>
      <w:r>
        <w:t xml:space="preserve"> (2022).</w:t>
      </w:r>
    </w:p>
    <w:p w:rsidR="003C296D" w:rsidRDefault="00BC25F5">
      <w:pPr>
        <w:spacing w:before="160" w:after="80"/>
      </w:pPr>
      <w:r>
        <w:rPr>
          <w:b/>
          <w:bCs/>
          <w:sz w:val="22"/>
          <w:szCs w:val="22"/>
        </w:rPr>
        <w:t xml:space="preserve">Table 1: Nature and Scope of </w:t>
      </w:r>
      <w:r w:rsidR="000D0FA7" w:rsidRPr="000D0FA7">
        <w:rPr>
          <w:b/>
        </w:rPr>
        <w:t>Solid Waste Management</w:t>
      </w:r>
      <w:r w:rsidR="000D0FA7">
        <w:t xml:space="preserve"> (</w:t>
      </w:r>
      <w:r>
        <w:rPr>
          <w:b/>
          <w:bCs/>
          <w:sz w:val="22"/>
          <w:szCs w:val="22"/>
        </w:rPr>
        <w:t>SWM</w:t>
      </w:r>
      <w:r w:rsidR="000D0FA7">
        <w:rPr>
          <w:b/>
          <w:bCs/>
          <w:sz w:val="22"/>
          <w:szCs w:val="22"/>
        </w:rPr>
        <w:t>)</w:t>
      </w:r>
      <w:r>
        <w:rPr>
          <w:b/>
          <w:bCs/>
          <w:sz w:val="22"/>
          <w:szCs w:val="22"/>
        </w:rPr>
        <w:t xml:space="preserve"> Services in AMAC (n = 360)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0"/>
        <w:gridCol w:w="1300"/>
        <w:gridCol w:w="1500"/>
        <w:gridCol w:w="2460"/>
      </w:tblGrid>
      <w:tr w:rsidR="003C296D">
        <w:tc>
          <w:tcPr>
            <w:tcW w:w="41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SWM Service Variable</w:t>
            </w:r>
          </w:p>
        </w:tc>
        <w:tc>
          <w:tcPr>
            <w:tcW w:w="13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Mean</w:t>
            </w:r>
          </w:p>
        </w:tc>
        <w:tc>
          <w:tcPr>
            <w:tcW w:w="15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Std. Dev.</w:t>
            </w:r>
          </w:p>
        </w:tc>
        <w:tc>
          <w:tcPr>
            <w:tcW w:w="24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Interpretation</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Provision of waste receptacles (bins)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3.483</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0.802</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Availability of collection vehicles in residential areas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3.367</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0.890</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Frequency of household waste collection</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3.088</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0.767</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Geographical coverage of collection services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2.959</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0.800</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Presence of adequate bin collection points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2.879</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0.865</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Sanitation of collection sites post-waste pickup</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2.687</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0.836</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Predictability of scheduled collection</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2.619</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0.853</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Partially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Communication and responsiveness from AMAC</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2.554</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0.924</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Scarcely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Activities to eliminate illegal dumpsites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2.391</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0.929</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Scarcely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Public education on waste management</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2.233</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0.958</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Scarcely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Pest control at collection points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2.023</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0.816</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Scarcely Available</w:t>
            </w:r>
          </w:p>
        </w:tc>
      </w:tr>
      <w:tr w:rsidR="003C296D">
        <w:tc>
          <w:tcPr>
            <w:tcW w:w="41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Odor control at waste sites</w:t>
            </w:r>
          </w:p>
        </w:tc>
        <w:tc>
          <w:tcPr>
            <w:tcW w:w="1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2.022</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0.852</w:t>
            </w:r>
          </w:p>
        </w:tc>
        <w:tc>
          <w:tcPr>
            <w:tcW w:w="24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Scarcely Available</w:t>
            </w:r>
          </w:p>
        </w:tc>
      </w:tr>
    </w:tbl>
    <w:p w:rsidR="003C296D" w:rsidRDefault="00BC25F5">
      <w:pPr>
        <w:spacing w:before="60" w:after="200"/>
      </w:pPr>
      <w:r w:rsidRPr="002B447E">
        <w:rPr>
          <w:b/>
          <w:iCs/>
          <w:sz w:val="20"/>
          <w:szCs w:val="20"/>
        </w:rPr>
        <w:t>Sour</w:t>
      </w:r>
      <w:r w:rsidR="002F5C03">
        <w:rPr>
          <w:b/>
          <w:iCs/>
          <w:sz w:val="20"/>
          <w:szCs w:val="20"/>
        </w:rPr>
        <w:t xml:space="preserve">ce: </w:t>
      </w:r>
      <w:r w:rsidR="00D508D8" w:rsidRPr="002B447E">
        <w:rPr>
          <w:b/>
          <w:iCs/>
          <w:sz w:val="20"/>
          <w:szCs w:val="20"/>
        </w:rPr>
        <w:t>Field Survey</w:t>
      </w:r>
      <w:r w:rsidR="006C369E">
        <w:rPr>
          <w:b/>
          <w:iCs/>
          <w:sz w:val="20"/>
          <w:szCs w:val="20"/>
        </w:rPr>
        <w:t xml:space="preserve">, </w:t>
      </w:r>
      <w:r w:rsidR="00D508D8" w:rsidRPr="002B447E">
        <w:rPr>
          <w:b/>
          <w:iCs/>
          <w:sz w:val="20"/>
          <w:szCs w:val="20"/>
        </w:rPr>
        <w:t>(</w:t>
      </w:r>
      <w:r w:rsidR="00831FEF" w:rsidRPr="002B447E">
        <w:rPr>
          <w:b/>
          <w:iCs/>
          <w:sz w:val="20"/>
          <w:szCs w:val="20"/>
        </w:rPr>
        <w:t>2025)</w:t>
      </w:r>
      <w:r w:rsidR="00D508D8">
        <w:rPr>
          <w:i/>
          <w:iCs/>
          <w:sz w:val="20"/>
          <w:szCs w:val="20"/>
        </w:rPr>
        <w:t xml:space="preserve">. </w:t>
      </w:r>
      <w:r>
        <w:rPr>
          <w:i/>
          <w:iCs/>
          <w:sz w:val="20"/>
          <w:szCs w:val="20"/>
        </w:rPr>
        <w:t xml:space="preserve"> Decision rule adapted from Jenkins (2020) and </w:t>
      </w:r>
      <w:proofErr w:type="spellStart"/>
      <w:r>
        <w:rPr>
          <w:i/>
          <w:iCs/>
          <w:sz w:val="20"/>
          <w:szCs w:val="20"/>
        </w:rPr>
        <w:t>Heo</w:t>
      </w:r>
      <w:proofErr w:type="spellEnd"/>
      <w:r>
        <w:rPr>
          <w:i/>
          <w:iCs/>
          <w:sz w:val="20"/>
          <w:szCs w:val="20"/>
        </w:rPr>
        <w:t xml:space="preserve"> et al. (2022).</w:t>
      </w:r>
    </w:p>
    <w:p w:rsidR="005354FA" w:rsidRPr="005354FA" w:rsidRDefault="005354FA" w:rsidP="005354FA">
      <w:pPr>
        <w:spacing w:after="160" w:line="480" w:lineRule="auto"/>
        <w:jc w:val="both"/>
        <w:rPr>
          <w:color w:val="5B9BD5" w:themeColor="accent1"/>
        </w:rPr>
      </w:pPr>
      <w:r w:rsidRPr="005354FA">
        <w:rPr>
          <w:color w:val="5B9BD5" w:themeColor="accent1"/>
        </w:rPr>
        <w:t xml:space="preserve">Table 1 shows that only one service component—provision of waste receptacles (mean = 3.483)—was rated </w:t>
      </w:r>
      <w:r w:rsidRPr="005354FA">
        <w:rPr>
          <w:b/>
          <w:bCs/>
          <w:color w:val="5B9BD5" w:themeColor="accent1"/>
        </w:rPr>
        <w:t>“Available.”</w:t>
      </w:r>
      <w:r w:rsidRPr="005354FA">
        <w:rPr>
          <w:color w:val="5B9BD5" w:themeColor="accent1"/>
        </w:rPr>
        <w:t xml:space="preserve"> This indicates a reasonable baseline distribution of waste bins in AMAC. However, this does not extend to other service areas.</w:t>
      </w:r>
    </w:p>
    <w:p w:rsidR="005354FA" w:rsidRPr="005354FA" w:rsidRDefault="005354FA" w:rsidP="005354FA">
      <w:pPr>
        <w:spacing w:after="160" w:line="480" w:lineRule="auto"/>
        <w:jc w:val="both"/>
        <w:rPr>
          <w:color w:val="5B9BD5" w:themeColor="accent1"/>
        </w:rPr>
      </w:pPr>
      <w:r w:rsidRPr="005354FA">
        <w:rPr>
          <w:color w:val="5B9BD5" w:themeColor="accent1"/>
        </w:rPr>
        <w:t xml:space="preserve">Availability of collection vehicles (mean = 3.367) and frequency of household collection (mean = 3.088) were rated </w:t>
      </w:r>
      <w:r w:rsidRPr="005354FA">
        <w:rPr>
          <w:b/>
          <w:bCs/>
          <w:color w:val="5B9BD5" w:themeColor="accent1"/>
        </w:rPr>
        <w:t>“Partially Available.”</w:t>
      </w:r>
      <w:r w:rsidRPr="005354FA">
        <w:rPr>
          <w:color w:val="5B9BD5" w:themeColor="accent1"/>
        </w:rPr>
        <w:t xml:space="preserve"> This suggests that although services exist, their reach and regularity are insufficient. Other partially available components include geographical coverage (mean = 2.959), adequacy of bin collection points (mean = 2.879), post-pickup sanitation (mean = 2.687), and schedule predictability (mean = 2.619). These point to operational and planning gaps.</w:t>
      </w:r>
    </w:p>
    <w:p w:rsidR="005354FA" w:rsidRPr="005354FA" w:rsidRDefault="005354FA" w:rsidP="005354FA">
      <w:pPr>
        <w:spacing w:after="160" w:line="480" w:lineRule="auto"/>
        <w:jc w:val="both"/>
        <w:rPr>
          <w:color w:val="5B9BD5" w:themeColor="accent1"/>
        </w:rPr>
      </w:pPr>
      <w:r w:rsidRPr="005354FA">
        <w:rPr>
          <w:color w:val="5B9BD5" w:themeColor="accent1"/>
        </w:rPr>
        <w:lastRenderedPageBreak/>
        <w:t xml:space="preserve">Six components were rated </w:t>
      </w:r>
      <w:r w:rsidRPr="005354FA">
        <w:rPr>
          <w:bCs/>
          <w:color w:val="5B9BD5" w:themeColor="accent1"/>
        </w:rPr>
        <w:t>“Scarcely Available.”</w:t>
      </w:r>
      <w:r w:rsidRPr="005354FA">
        <w:rPr>
          <w:color w:val="5B9BD5" w:themeColor="accent1"/>
        </w:rPr>
        <w:t xml:space="preserve"> These include communication and responsiveness (mean = 2.554), removal of illegal dumpsites (mean = 2.391), and public education (mean = 2.233). Others are pest control (mean = 2.023) and odor control (mean = 2.022). These results reflect weak institutional engagement and poor environmental health interventions. This aligns with </w:t>
      </w:r>
      <w:proofErr w:type="spellStart"/>
      <w:r w:rsidRPr="005354FA">
        <w:rPr>
          <w:color w:val="5B9BD5" w:themeColor="accent1"/>
        </w:rPr>
        <w:t>Eshiett</w:t>
      </w:r>
      <w:proofErr w:type="spellEnd"/>
      <w:r w:rsidRPr="005354FA">
        <w:rPr>
          <w:color w:val="5B9BD5" w:themeColor="accent1"/>
        </w:rPr>
        <w:t xml:space="preserve"> and </w:t>
      </w:r>
      <w:proofErr w:type="spellStart"/>
      <w:r w:rsidRPr="005354FA">
        <w:rPr>
          <w:color w:val="5B9BD5" w:themeColor="accent1"/>
        </w:rPr>
        <w:t>Eshiett</w:t>
      </w:r>
      <w:proofErr w:type="spellEnd"/>
      <w:r w:rsidRPr="005354FA">
        <w:rPr>
          <w:color w:val="5B9BD5" w:themeColor="accent1"/>
        </w:rPr>
        <w:t xml:space="preserve"> (2024) and </w:t>
      </w:r>
      <w:proofErr w:type="spellStart"/>
      <w:r w:rsidRPr="005354FA">
        <w:rPr>
          <w:color w:val="5B9BD5" w:themeColor="accent1"/>
        </w:rPr>
        <w:t>Irowarisima</w:t>
      </w:r>
      <w:proofErr w:type="spellEnd"/>
      <w:r w:rsidRPr="005354FA">
        <w:rPr>
          <w:color w:val="5B9BD5" w:themeColor="accent1"/>
        </w:rPr>
        <w:t xml:space="preserve"> (2023), who identified similar gaps in Nigerian solid waste systems</w:t>
      </w:r>
    </w:p>
    <w:p w:rsidR="003C296D" w:rsidRDefault="00BC25F5">
      <w:pPr>
        <w:pStyle w:val="Heading2"/>
      </w:pPr>
      <w:r>
        <w:t>4.3 Effectiveness of SWM Services</w:t>
      </w:r>
    </w:p>
    <w:p w:rsidR="003C296D" w:rsidRDefault="00BC25F5">
      <w:pPr>
        <w:spacing w:after="160" w:line="480" w:lineRule="auto"/>
        <w:jc w:val="both"/>
      </w:pPr>
      <w:r>
        <w:t xml:space="preserve">Table 2 presents the mean effectiveness scores and rankings for twelve </w:t>
      </w:r>
      <w:r w:rsidR="000D0FA7">
        <w:t xml:space="preserve">Solid Waste Management (SWM) </w:t>
      </w:r>
      <w:r>
        <w:t>service components. The decision interval ranges from 'Less Effective' (1.00–2.60) to 'Very Effective' (4.21–5.00), adapted from Jenkins (2020).</w:t>
      </w:r>
    </w:p>
    <w:p w:rsidR="003C296D" w:rsidRDefault="00BC25F5">
      <w:pPr>
        <w:spacing w:before="160" w:after="80"/>
      </w:pPr>
      <w:r>
        <w:rPr>
          <w:b/>
          <w:bCs/>
          <w:sz w:val="22"/>
          <w:szCs w:val="22"/>
        </w:rPr>
        <w:t>Table 2: Effectiveness of SWM Services in AMAC (n = 360)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00"/>
        <w:gridCol w:w="1200"/>
        <w:gridCol w:w="1400"/>
        <w:gridCol w:w="1200"/>
        <w:gridCol w:w="1660"/>
      </w:tblGrid>
      <w:tr w:rsidR="003C296D">
        <w:tc>
          <w:tcPr>
            <w:tcW w:w="39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SWM Service Effectiveness Variable</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Mean</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Std. Dev.</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Rank</w:t>
            </w:r>
          </w:p>
        </w:tc>
        <w:tc>
          <w:tcPr>
            <w:tcW w:w="16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Remark</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Efficiency of waste receptacles (bins)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3.519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0.9305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1st</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Effective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Efficiency of waste collection vehicles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3.509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0.9370</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2nd</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Effective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Frequency of household waste collection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3.099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0.8186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3rd</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Coverage of collection services in residential area</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3.060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0.8625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4th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Number of waste collection bins/points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2.980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0.9053</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5th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Cleanliness and hygiene of collection areas after pickup</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2.970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0.9639</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6th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Reliability of scheduled waste collection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2.941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0.9146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7th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Responsiveness of waste management authorities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2.901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1.1000</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8th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Removal of illegal dumpsites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2.713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1.1776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9th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Level of public awareness campaigns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2.173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1.0687</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Effective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Pest control around waste collection points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2.164</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1.0809</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11th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Effective</w:t>
            </w:r>
          </w:p>
        </w:tc>
      </w:tr>
      <w:tr w:rsidR="003C296D">
        <w:tc>
          <w:tcPr>
            <w:tcW w:w="39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Odor control from waste collection areas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2.135</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1.0823</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12th</w:t>
            </w:r>
          </w:p>
        </w:tc>
        <w:tc>
          <w:tcPr>
            <w:tcW w:w="16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Effective</w:t>
            </w:r>
          </w:p>
        </w:tc>
      </w:tr>
    </w:tbl>
    <w:p w:rsidR="003C296D" w:rsidRDefault="00C3604D">
      <w:pPr>
        <w:spacing w:before="60" w:after="200"/>
        <w:rPr>
          <w:i/>
          <w:iCs/>
          <w:sz w:val="20"/>
          <w:szCs w:val="20"/>
        </w:rPr>
      </w:pPr>
      <w:r>
        <w:rPr>
          <w:b/>
          <w:iCs/>
          <w:sz w:val="20"/>
          <w:szCs w:val="20"/>
        </w:rPr>
        <w:t xml:space="preserve">Source: </w:t>
      </w:r>
      <w:r w:rsidR="002B447E" w:rsidRPr="002B447E">
        <w:rPr>
          <w:b/>
          <w:iCs/>
          <w:sz w:val="20"/>
          <w:szCs w:val="20"/>
        </w:rPr>
        <w:t>Field Survey</w:t>
      </w:r>
      <w:r w:rsidR="006C369E">
        <w:rPr>
          <w:b/>
          <w:iCs/>
          <w:sz w:val="20"/>
          <w:szCs w:val="20"/>
        </w:rPr>
        <w:t>,</w:t>
      </w:r>
      <w:r w:rsidR="00BC25F5" w:rsidRPr="002B447E">
        <w:rPr>
          <w:b/>
          <w:iCs/>
          <w:sz w:val="20"/>
          <w:szCs w:val="20"/>
        </w:rPr>
        <w:t xml:space="preserve"> </w:t>
      </w:r>
      <w:r w:rsidR="002B447E" w:rsidRPr="002B447E">
        <w:rPr>
          <w:b/>
          <w:iCs/>
          <w:sz w:val="20"/>
          <w:szCs w:val="20"/>
        </w:rPr>
        <w:t>(</w:t>
      </w:r>
      <w:r w:rsidR="00BC25F5" w:rsidRPr="002B447E">
        <w:rPr>
          <w:b/>
          <w:iCs/>
          <w:sz w:val="20"/>
          <w:szCs w:val="20"/>
        </w:rPr>
        <w:t>2025</w:t>
      </w:r>
      <w:r w:rsidR="002B447E" w:rsidRPr="002B447E">
        <w:rPr>
          <w:b/>
          <w:iCs/>
          <w:sz w:val="20"/>
          <w:szCs w:val="20"/>
        </w:rPr>
        <w:t>)</w:t>
      </w:r>
      <w:r w:rsidR="00BC25F5" w:rsidRPr="002B447E">
        <w:rPr>
          <w:b/>
          <w:iCs/>
          <w:sz w:val="20"/>
          <w:szCs w:val="20"/>
        </w:rPr>
        <w:t>.</w:t>
      </w:r>
      <w:r w:rsidR="00BC25F5">
        <w:rPr>
          <w:i/>
          <w:iCs/>
          <w:sz w:val="20"/>
          <w:szCs w:val="20"/>
        </w:rPr>
        <w:t xml:space="preserve"> Decision rule adapted from Jenkins (2020).</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Table 2 shows that only two service components were rated </w:t>
      </w:r>
      <w:r w:rsidRPr="005354FA">
        <w:rPr>
          <w:bCs/>
          <w:color w:val="5B9BD5" w:themeColor="accent1"/>
        </w:rPr>
        <w:t>“Effective”</w:t>
      </w:r>
      <w:r w:rsidRPr="005354FA">
        <w:rPr>
          <w:color w:val="5B9BD5" w:themeColor="accent1"/>
        </w:rPr>
        <w:t xml:space="preserve">: efficiency of waste receptacles (mean = 3.519) and efficiency of collection vehicles (mean = 3.509). This suggests </w:t>
      </w:r>
      <w:r w:rsidRPr="005354FA">
        <w:rPr>
          <w:color w:val="5B9BD5" w:themeColor="accent1"/>
        </w:rPr>
        <w:lastRenderedPageBreak/>
        <w:t xml:space="preserve">that AMAC’s core infrastructure—bins and trucks—is functional, supporting </w:t>
      </w:r>
      <w:proofErr w:type="spellStart"/>
      <w:r w:rsidRPr="005354FA">
        <w:rPr>
          <w:color w:val="5B9BD5" w:themeColor="accent1"/>
        </w:rPr>
        <w:t>Oluwagbayide</w:t>
      </w:r>
      <w:proofErr w:type="spellEnd"/>
      <w:r w:rsidRPr="005354FA">
        <w:rPr>
          <w:color w:val="5B9BD5" w:themeColor="accent1"/>
        </w:rPr>
        <w:t xml:space="preserve"> </w:t>
      </w:r>
      <w:r w:rsidRPr="00E60AC0">
        <w:rPr>
          <w:i/>
          <w:color w:val="5B9BD5" w:themeColor="accent1"/>
        </w:rPr>
        <w:t>et al.</w:t>
      </w:r>
      <w:r w:rsidRPr="005354FA">
        <w:rPr>
          <w:color w:val="5B9BD5" w:themeColor="accent1"/>
        </w:rPr>
        <w:t xml:space="preserve"> (2024) on the importance of adequate equipment in waste management.</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The remaining ten components were either </w:t>
      </w:r>
      <w:r w:rsidRPr="005354FA">
        <w:rPr>
          <w:bCs/>
          <w:color w:val="5B9BD5" w:themeColor="accent1"/>
        </w:rPr>
        <w:t>“Moderately Effective”</w:t>
      </w:r>
      <w:r w:rsidRPr="005354FA">
        <w:rPr>
          <w:color w:val="5B9BD5" w:themeColor="accent1"/>
        </w:rPr>
        <w:t xml:space="preserve"> or </w:t>
      </w:r>
      <w:r w:rsidRPr="005354FA">
        <w:rPr>
          <w:bCs/>
          <w:color w:val="5B9BD5" w:themeColor="accent1"/>
        </w:rPr>
        <w:t>“Less Effective,”</w:t>
      </w:r>
      <w:r w:rsidRPr="005354FA">
        <w:rPr>
          <w:color w:val="5B9BD5" w:themeColor="accent1"/>
        </w:rPr>
        <w:t xml:space="preserve"> indicating a gap between infrastructure and service delivery. Moderately effective areas include frequency of household collection (mean = 3.099) and service coverage (mean = 3.060). Others are adequacy of collection points (mean = 2.980), post-pickup cleanliness (mean = 2.970), schedule reliability (mean = 2.941), responsiveness (mean = 2.901), and illegal dumpsite removal (mean = 2.713). These reflect inconsistency rather than total failure.</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The least effective components were </w:t>
      </w:r>
      <w:r w:rsidRPr="005354FA">
        <w:rPr>
          <w:bCs/>
          <w:color w:val="5B9BD5" w:themeColor="accent1"/>
        </w:rPr>
        <w:t>public awareness campaigns (mean = 2.173), pest control (mean = 2.164), and odor control (mean = 2.135).</w:t>
      </w:r>
      <w:r w:rsidRPr="005354FA">
        <w:rPr>
          <w:color w:val="5B9BD5" w:themeColor="accent1"/>
        </w:rPr>
        <w:t xml:space="preserve"> These indicate weak environmental health management and poor community engagement, consistent with </w:t>
      </w:r>
      <w:proofErr w:type="spellStart"/>
      <w:r w:rsidRPr="005354FA">
        <w:rPr>
          <w:color w:val="5B9BD5" w:themeColor="accent1"/>
        </w:rPr>
        <w:t>Etim</w:t>
      </w:r>
      <w:proofErr w:type="spellEnd"/>
      <w:r w:rsidRPr="005354FA">
        <w:rPr>
          <w:color w:val="5B9BD5" w:themeColor="accent1"/>
        </w:rPr>
        <w:t xml:space="preserve"> </w:t>
      </w:r>
      <w:r w:rsidRPr="00E60AC0">
        <w:rPr>
          <w:i/>
          <w:color w:val="5B9BD5" w:themeColor="accent1"/>
        </w:rPr>
        <w:t xml:space="preserve">et al. </w:t>
      </w:r>
      <w:r w:rsidRPr="005354FA">
        <w:rPr>
          <w:color w:val="5B9BD5" w:themeColor="accent1"/>
        </w:rPr>
        <w:t>(2024).</w:t>
      </w:r>
    </w:p>
    <w:p w:rsidR="003C296D" w:rsidRDefault="00BC25F5">
      <w:pPr>
        <w:pStyle w:val="Heading2"/>
      </w:pPr>
      <w:r>
        <w:t>4.4 Residents' Level of Satisfaction with SWM Services</w:t>
      </w:r>
    </w:p>
    <w:p w:rsidR="003C296D" w:rsidRDefault="00BC25F5">
      <w:pPr>
        <w:spacing w:after="160" w:line="480" w:lineRule="auto"/>
        <w:jc w:val="both"/>
      </w:pPr>
      <w:r>
        <w:t xml:space="preserve">Table 3 presents residents' satisfaction scores for thirteen </w:t>
      </w:r>
      <w:r w:rsidR="000D0FA7">
        <w:t xml:space="preserve">Solid Waste Management (SWM) </w:t>
      </w:r>
      <w:r>
        <w:t>service indicators, interpreted against benchmarks of 'Satisfied' (≥ 3.50), 'Moderate' (2.50–3.49), and 'Less Satisfied' (&lt; 2.50), adapted from Jenkins (2020).</w:t>
      </w:r>
    </w:p>
    <w:p w:rsidR="003C296D" w:rsidRDefault="00BC25F5">
      <w:pPr>
        <w:spacing w:before="160" w:after="80"/>
      </w:pPr>
      <w:r>
        <w:rPr>
          <w:b/>
          <w:bCs/>
          <w:sz w:val="22"/>
          <w:szCs w:val="22"/>
        </w:rPr>
        <w:t>Table 3: Residents' Level of Satisfaction with SWM Services in AMAC (n = 360)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00"/>
        <w:gridCol w:w="1200"/>
        <w:gridCol w:w="1400"/>
        <w:gridCol w:w="1200"/>
        <w:gridCol w:w="1860"/>
      </w:tblGrid>
      <w:tr w:rsidR="003C296D">
        <w:tc>
          <w:tcPr>
            <w:tcW w:w="37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Satisfaction Indicator</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Mean</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Std. Dev.</w:t>
            </w:r>
          </w:p>
        </w:tc>
        <w:tc>
          <w:tcPr>
            <w:tcW w:w="12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Rank</w:t>
            </w:r>
          </w:p>
        </w:tc>
        <w:tc>
          <w:tcPr>
            <w:tcW w:w="18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Remark</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Frequency of solid waste collection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3.588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0.9134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w:t>
            </w:r>
            <w:r w:rsidRPr="000D0FA7">
              <w:rPr>
                <w:sz w:val="20"/>
                <w:szCs w:val="20"/>
                <w:vertAlign w:val="superscript"/>
              </w:rPr>
              <w:t>st</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Satisfied</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Punctuality of waste collection services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3.559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0.9573</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w:t>
            </w:r>
            <w:r w:rsidRPr="000D0FA7">
              <w:rPr>
                <w:sz w:val="20"/>
                <w:szCs w:val="20"/>
                <w:vertAlign w:val="superscript"/>
              </w:rPr>
              <w:t>nd</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Satisfied</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Reliability of scheduled waste collection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3.040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0.9265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w:t>
            </w:r>
            <w:r w:rsidRPr="000D0FA7">
              <w:rPr>
                <w:sz w:val="20"/>
                <w:szCs w:val="20"/>
                <w:vertAlign w:val="superscript"/>
              </w:rPr>
              <w:t>rd</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Availability and accessibility of waste disposal bins/containers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3.030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0.8883</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4</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Cleanliness of neighborhood after waste collection</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2.911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1.0305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5</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Overall hygiene of public waste collection points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2.891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0.8706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6</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Cost-effectiveness of SWM services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2.851</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0.9938</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7</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Maintenance of waste disposal bins/containers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2.832</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1.0302</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8</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Condition of waste disposal sites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2.752</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1.0335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9</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Control of odor and pests associated with waste management</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2.433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1.1035</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Satisfied</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lastRenderedPageBreak/>
              <w:t>Information provided by AMAC on waste management practices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2.203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1.0054</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11</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Satisfied</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Responsiveness of AMAC to complaints/inquiries</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2.103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0.9751</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12</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Satisfied</w:t>
            </w:r>
          </w:p>
        </w:tc>
      </w:tr>
      <w:tr w:rsidR="003C296D">
        <w:tc>
          <w:tcPr>
            <w:tcW w:w="37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Public awareness campaigns on proper waste disposal and recycling</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2.063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0.9826</w:t>
            </w:r>
          </w:p>
        </w:tc>
        <w:tc>
          <w:tcPr>
            <w:tcW w:w="12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13</w:t>
            </w:r>
            <w:r w:rsidRPr="000D0FA7">
              <w:rPr>
                <w:sz w:val="20"/>
                <w:szCs w:val="20"/>
                <w:vertAlign w:val="superscript"/>
              </w:rPr>
              <w:t>th</w:t>
            </w:r>
          </w:p>
        </w:tc>
        <w:tc>
          <w:tcPr>
            <w:tcW w:w="18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Less Satisfied</w:t>
            </w:r>
          </w:p>
        </w:tc>
      </w:tr>
    </w:tbl>
    <w:p w:rsidR="003C296D" w:rsidRDefault="00C3604D">
      <w:pPr>
        <w:spacing w:before="60" w:after="200"/>
        <w:rPr>
          <w:i/>
          <w:iCs/>
          <w:sz w:val="20"/>
          <w:szCs w:val="20"/>
        </w:rPr>
      </w:pPr>
      <w:r>
        <w:rPr>
          <w:b/>
          <w:iCs/>
          <w:sz w:val="20"/>
          <w:szCs w:val="20"/>
        </w:rPr>
        <w:t xml:space="preserve">Source: </w:t>
      </w:r>
      <w:r w:rsidR="002B447E">
        <w:rPr>
          <w:b/>
          <w:iCs/>
          <w:sz w:val="20"/>
          <w:szCs w:val="20"/>
        </w:rPr>
        <w:t>Field Survey</w:t>
      </w:r>
      <w:r w:rsidR="006C369E">
        <w:rPr>
          <w:b/>
          <w:iCs/>
          <w:sz w:val="20"/>
          <w:szCs w:val="20"/>
        </w:rPr>
        <w:t>,</w:t>
      </w:r>
      <w:r w:rsidR="002B447E">
        <w:rPr>
          <w:b/>
          <w:iCs/>
          <w:sz w:val="20"/>
          <w:szCs w:val="20"/>
        </w:rPr>
        <w:t xml:space="preserve"> (</w:t>
      </w:r>
      <w:r w:rsidR="00BC25F5" w:rsidRPr="002B447E">
        <w:rPr>
          <w:b/>
          <w:iCs/>
          <w:sz w:val="20"/>
          <w:szCs w:val="20"/>
        </w:rPr>
        <w:t>2025</w:t>
      </w:r>
      <w:r w:rsidR="002B447E">
        <w:rPr>
          <w:b/>
          <w:iCs/>
          <w:sz w:val="20"/>
          <w:szCs w:val="20"/>
        </w:rPr>
        <w:t>)</w:t>
      </w:r>
      <w:r w:rsidR="00BC25F5" w:rsidRPr="002B447E">
        <w:rPr>
          <w:b/>
          <w:iCs/>
          <w:sz w:val="20"/>
          <w:szCs w:val="20"/>
        </w:rPr>
        <w:t>.</w:t>
      </w:r>
      <w:r w:rsidR="00BC25F5">
        <w:rPr>
          <w:i/>
          <w:iCs/>
          <w:sz w:val="20"/>
          <w:szCs w:val="20"/>
        </w:rPr>
        <w:t xml:space="preserve"> Benchmark adapted from Jenkins (2020).</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Table 3 shows that only two of thirteen indicators were rated </w:t>
      </w:r>
      <w:r w:rsidRPr="005354FA">
        <w:rPr>
          <w:bCs/>
          <w:color w:val="5B9BD5" w:themeColor="accent1"/>
        </w:rPr>
        <w:t>“Satisfied”</w:t>
      </w:r>
      <w:r w:rsidRPr="005354FA">
        <w:rPr>
          <w:color w:val="5B9BD5" w:themeColor="accent1"/>
        </w:rPr>
        <w:t xml:space="preserve">: frequency of solid waste collection (mean = 3.588, SD = 0.913) and punctuality of collection services (mean = 3.559, SD = 0.957). This suggests consistent collection routines in most parts of </w:t>
      </w:r>
      <w:proofErr w:type="spellStart"/>
      <w:r w:rsidRPr="005354FA">
        <w:rPr>
          <w:color w:val="5B9BD5" w:themeColor="accent1"/>
        </w:rPr>
        <w:t>Garki</w:t>
      </w:r>
      <w:proofErr w:type="spellEnd"/>
      <w:r w:rsidRPr="005354FA">
        <w:rPr>
          <w:color w:val="5B9BD5" w:themeColor="accent1"/>
        </w:rPr>
        <w:t xml:space="preserve">. It aligns with </w:t>
      </w:r>
      <w:proofErr w:type="spellStart"/>
      <w:r w:rsidRPr="005354FA">
        <w:rPr>
          <w:color w:val="5B9BD5" w:themeColor="accent1"/>
        </w:rPr>
        <w:t>Abdulfatah</w:t>
      </w:r>
      <w:proofErr w:type="spellEnd"/>
      <w:r w:rsidRPr="005354FA">
        <w:rPr>
          <w:color w:val="5B9BD5" w:themeColor="accent1"/>
        </w:rPr>
        <w:t xml:space="preserve"> (2023), who links timely collection to citizen satisfaction in urban N</w:t>
      </w:r>
      <w:bookmarkStart w:id="0" w:name="_GoBack"/>
      <w:bookmarkEnd w:id="0"/>
      <w:r w:rsidRPr="005354FA">
        <w:rPr>
          <w:color w:val="5B9BD5" w:themeColor="accent1"/>
        </w:rPr>
        <w:t>igeria.</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Seven indicators fell under </w:t>
      </w:r>
      <w:r w:rsidRPr="005354FA">
        <w:rPr>
          <w:bCs/>
          <w:color w:val="5B9BD5" w:themeColor="accent1"/>
        </w:rPr>
        <w:t>“Moderate satisfaction.”</w:t>
      </w:r>
      <w:r w:rsidRPr="005354FA">
        <w:rPr>
          <w:color w:val="5B9BD5" w:themeColor="accent1"/>
        </w:rPr>
        <w:t xml:space="preserve"> These include reliability of scheduled collection (mean = 3.040), access to disposal bins (mean = 3.030), </w:t>
      </w:r>
      <w:proofErr w:type="spellStart"/>
      <w:r w:rsidRPr="005354FA">
        <w:rPr>
          <w:color w:val="5B9BD5" w:themeColor="accent1"/>
        </w:rPr>
        <w:t>neighbourhood</w:t>
      </w:r>
      <w:proofErr w:type="spellEnd"/>
      <w:r w:rsidRPr="005354FA">
        <w:rPr>
          <w:color w:val="5B9BD5" w:themeColor="accent1"/>
        </w:rPr>
        <w:t xml:space="preserve"> cleanliness (mean = 2.911), and public collection point hygiene (mean = 2.891). Others are cost-effectiveness (mean = 2.851), waste bin maintenance (mean = 2.832), and condition of disposal sites (mean = 2.752). Overall, these reflect acceptable but insufficient performance, meeting basic standards but not fully satisfying residents.</w:t>
      </w:r>
    </w:p>
    <w:p w:rsidR="005354FA" w:rsidRPr="005354FA" w:rsidRDefault="005354FA" w:rsidP="005354FA">
      <w:pPr>
        <w:spacing w:before="60" w:after="200" w:line="360" w:lineRule="auto"/>
        <w:jc w:val="both"/>
        <w:rPr>
          <w:color w:val="5B9BD5" w:themeColor="accent1"/>
        </w:rPr>
      </w:pPr>
      <w:r w:rsidRPr="005354FA">
        <w:rPr>
          <w:color w:val="5B9BD5" w:themeColor="accent1"/>
        </w:rPr>
        <w:t xml:space="preserve">Four indicators were rated </w:t>
      </w:r>
      <w:r w:rsidRPr="005354FA">
        <w:rPr>
          <w:bCs/>
          <w:color w:val="5B9BD5" w:themeColor="accent1"/>
        </w:rPr>
        <w:t>“Less Satisfied.”</w:t>
      </w:r>
      <w:r w:rsidRPr="005354FA">
        <w:rPr>
          <w:color w:val="5B9BD5" w:themeColor="accent1"/>
        </w:rPr>
        <w:t xml:space="preserve"> These are odor and pest control (mean = 2.433, SD = 1.104), information dissemination (mean = 2.203), responsiveness to complaints (mean = 2.103), and public awareness campaigns (mean = 2.063, SD = 0.983). This indicates a gap between service delivery and citizen engagement, which is essential for trust and participation (</w:t>
      </w:r>
      <w:proofErr w:type="spellStart"/>
      <w:r w:rsidRPr="005354FA">
        <w:rPr>
          <w:color w:val="5B9BD5" w:themeColor="accent1"/>
        </w:rPr>
        <w:t>Eshiett</w:t>
      </w:r>
      <w:proofErr w:type="spellEnd"/>
      <w:r w:rsidRPr="005354FA">
        <w:rPr>
          <w:color w:val="5B9BD5" w:themeColor="accent1"/>
        </w:rPr>
        <w:t xml:space="preserve"> &amp; </w:t>
      </w:r>
      <w:proofErr w:type="spellStart"/>
      <w:r w:rsidRPr="005354FA">
        <w:rPr>
          <w:color w:val="5B9BD5" w:themeColor="accent1"/>
        </w:rPr>
        <w:t>Eshiett</w:t>
      </w:r>
      <w:proofErr w:type="spellEnd"/>
      <w:r w:rsidRPr="005354FA">
        <w:rPr>
          <w:color w:val="5B9BD5" w:themeColor="accent1"/>
        </w:rPr>
        <w:t xml:space="preserve">, 2024; </w:t>
      </w:r>
      <w:proofErr w:type="spellStart"/>
      <w:r w:rsidRPr="005354FA">
        <w:rPr>
          <w:color w:val="5B9BD5" w:themeColor="accent1"/>
        </w:rPr>
        <w:t>Abdullahi</w:t>
      </w:r>
      <w:proofErr w:type="spellEnd"/>
      <w:r w:rsidRPr="005354FA">
        <w:rPr>
          <w:color w:val="5B9BD5" w:themeColor="accent1"/>
        </w:rPr>
        <w:t xml:space="preserve"> &amp; Mohammed, 2020). The low score for awareness campaigns is particularly concerning, as </w:t>
      </w:r>
      <w:proofErr w:type="spellStart"/>
      <w:r w:rsidRPr="005354FA">
        <w:rPr>
          <w:color w:val="5B9BD5" w:themeColor="accent1"/>
        </w:rPr>
        <w:t>behavioural</w:t>
      </w:r>
      <w:proofErr w:type="spellEnd"/>
      <w:r w:rsidRPr="005354FA">
        <w:rPr>
          <w:color w:val="5B9BD5" w:themeColor="accent1"/>
        </w:rPr>
        <w:t xml:space="preserve"> change depends on sustained education.</w:t>
      </w:r>
    </w:p>
    <w:p w:rsidR="003C296D" w:rsidRDefault="00BC25F5">
      <w:pPr>
        <w:pStyle w:val="Heading2"/>
      </w:pPr>
      <w:r>
        <w:t>4.5 Factors Influencing Residents' Satisfaction</w:t>
      </w:r>
    </w:p>
    <w:p w:rsidR="003C296D" w:rsidRDefault="00BC25F5">
      <w:pPr>
        <w:spacing w:after="160" w:line="480" w:lineRule="auto"/>
        <w:jc w:val="both"/>
      </w:pPr>
      <w:r>
        <w:t>Table 4 presents the mean scores and influence levels for fourteen factors that shape resident satisfaction with SWM services, ranked in descending order of influence.</w:t>
      </w:r>
    </w:p>
    <w:p w:rsidR="003C296D" w:rsidRDefault="00BC25F5">
      <w:pPr>
        <w:spacing w:before="160" w:after="80"/>
      </w:pPr>
      <w:r>
        <w:rPr>
          <w:b/>
          <w:bCs/>
          <w:sz w:val="22"/>
          <w:szCs w:val="22"/>
        </w:rPr>
        <w:t>Table 4: Factors Influencing Residents' Satisfaction with SWM Services (n = 360)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1480"/>
        <w:gridCol w:w="1580"/>
        <w:gridCol w:w="1500"/>
      </w:tblGrid>
      <w:tr w:rsidR="003C296D">
        <w:tc>
          <w:tcPr>
            <w:tcW w:w="48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Factor Influencing SWM Satisfaction</w:t>
            </w:r>
          </w:p>
        </w:tc>
        <w:tc>
          <w:tcPr>
            <w:tcW w:w="14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Mean</w:t>
            </w:r>
          </w:p>
        </w:tc>
        <w:tc>
          <w:tcPr>
            <w:tcW w:w="158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Std. Dev.</w:t>
            </w:r>
          </w:p>
        </w:tc>
        <w:tc>
          <w:tcPr>
            <w:tcW w:w="15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Influence Level</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State of communal waste bins and collection areas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3.619</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0.8864</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High</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Perceived environmental impact of the waste management system</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3.599</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0.8545</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High</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lastRenderedPageBreak/>
              <w:t>Presence of litter and overflowing bins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3.599</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151F53">
            <w:pPr>
              <w:jc w:val="center"/>
            </w:pPr>
            <w:r>
              <w:rPr>
                <w:sz w:val="20"/>
                <w:szCs w:val="20"/>
              </w:rPr>
              <w:t>0.8545</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High</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Attitude and professionalism of waste management staff</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3.050</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0.9206</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Presence of illegal dumpsites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3.030</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0.9945</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Cost of service versus quality of service</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2.990</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0.7810</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roofErr w:type="spellStart"/>
            <w:r>
              <w:rPr>
                <w:sz w:val="20"/>
                <w:szCs w:val="20"/>
              </w:rPr>
              <w:t>Organisation</w:t>
            </w:r>
            <w:proofErr w:type="spellEnd"/>
            <w:r>
              <w:rPr>
                <w:sz w:val="20"/>
                <w:szCs w:val="20"/>
              </w:rPr>
              <w:t xml:space="preserve"> of the waste management system</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2.941</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0.9036</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Proximity of bins to residences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2.940</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0.8143</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Speed and thoroughness of the collection process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2.911</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0.8136</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State of waste collection trucks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2.901</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0.8661</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Moderate</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Ease of access for waste collection vehicles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2.491</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0.7861</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Low</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Consistency of service</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2.481</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0.9087</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Low</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Quality and sufficiency of waste bins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2.342</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0.9872</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Low</w:t>
            </w:r>
          </w:p>
        </w:tc>
      </w:tr>
      <w:tr w:rsidR="003C296D">
        <w:tc>
          <w:tcPr>
            <w:tcW w:w="48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Responsiveness to complaints and requests</w:t>
            </w:r>
          </w:p>
        </w:tc>
        <w:tc>
          <w:tcPr>
            <w:tcW w:w="14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2.333</w:t>
            </w:r>
          </w:p>
        </w:tc>
        <w:tc>
          <w:tcPr>
            <w:tcW w:w="158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0.9787</w:t>
            </w:r>
          </w:p>
        </w:tc>
        <w:tc>
          <w:tcPr>
            <w:tcW w:w="15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Low</w:t>
            </w:r>
          </w:p>
        </w:tc>
      </w:tr>
    </w:tbl>
    <w:p w:rsidR="003C296D" w:rsidRPr="002B447E" w:rsidRDefault="00BC25F5">
      <w:pPr>
        <w:spacing w:before="60" w:after="200"/>
        <w:rPr>
          <w:b/>
        </w:rPr>
      </w:pPr>
      <w:r w:rsidRPr="002B447E">
        <w:rPr>
          <w:b/>
          <w:iCs/>
          <w:sz w:val="20"/>
          <w:szCs w:val="20"/>
        </w:rPr>
        <w:t>Sour</w:t>
      </w:r>
      <w:r w:rsidR="00C3604D">
        <w:rPr>
          <w:b/>
          <w:iCs/>
          <w:sz w:val="20"/>
          <w:szCs w:val="20"/>
        </w:rPr>
        <w:t xml:space="preserve">ce: </w:t>
      </w:r>
      <w:r w:rsidR="002B447E">
        <w:rPr>
          <w:b/>
          <w:iCs/>
          <w:sz w:val="20"/>
          <w:szCs w:val="20"/>
        </w:rPr>
        <w:t>Field Survey</w:t>
      </w:r>
      <w:r w:rsidR="006C369E">
        <w:rPr>
          <w:b/>
          <w:iCs/>
          <w:sz w:val="20"/>
          <w:szCs w:val="20"/>
        </w:rPr>
        <w:t>,</w:t>
      </w:r>
      <w:r w:rsidR="002B447E">
        <w:rPr>
          <w:b/>
          <w:iCs/>
          <w:sz w:val="20"/>
          <w:szCs w:val="20"/>
        </w:rPr>
        <w:t xml:space="preserve"> (2025)</w:t>
      </w:r>
    </w:p>
    <w:p w:rsidR="003C296D" w:rsidRDefault="00BC25F5">
      <w:pPr>
        <w:spacing w:after="160" w:line="480" w:lineRule="auto"/>
        <w:jc w:val="both"/>
      </w:pPr>
      <w:r>
        <w:t>The three highest-ranked factors were the state of communal waste bins and collection areas (mean = 3.619, SD = 0.886), the perceived environmental impact of the waste management system (mean = 3.599, SD = 0.855), and the presence of litter and overflowin</w:t>
      </w:r>
      <w:r w:rsidR="00151F53">
        <w:t>g bins (mean = 3.599, SD = 0.855</w:t>
      </w:r>
      <w:r>
        <w:t xml:space="preserve">). These results highlight residents' strong sensitivity to physical cleanliness and environmental conditions in their immediate </w:t>
      </w:r>
      <w:proofErr w:type="spellStart"/>
      <w:r>
        <w:t>neighbourhoods</w:t>
      </w:r>
      <w:proofErr w:type="spellEnd"/>
      <w:r>
        <w:t xml:space="preserve">. This finding aligns with the literature </w:t>
      </w:r>
      <w:proofErr w:type="spellStart"/>
      <w:r>
        <w:t>emphasising</w:t>
      </w:r>
      <w:proofErr w:type="spellEnd"/>
      <w:r>
        <w:t xml:space="preserve"> accessible and well-maintained infrastructure as primary determinants of waste management satisfaction (</w:t>
      </w:r>
      <w:proofErr w:type="spellStart"/>
      <w:r>
        <w:t>Ikiriko</w:t>
      </w:r>
      <w:proofErr w:type="spellEnd"/>
      <w:r>
        <w:t xml:space="preserve"> </w:t>
      </w:r>
      <w:r w:rsidRPr="007646A2">
        <w:rPr>
          <w:i/>
        </w:rPr>
        <w:t>et al.,</w:t>
      </w:r>
      <w:r>
        <w:t xml:space="preserve"> 2023).</w:t>
      </w:r>
    </w:p>
    <w:p w:rsidR="003C296D" w:rsidRDefault="00BC25F5">
      <w:pPr>
        <w:spacing w:after="160" w:line="480" w:lineRule="auto"/>
        <w:jc w:val="both"/>
      </w:pPr>
      <w:r>
        <w:t xml:space="preserve">Moderately influential factors included the attitude and professionalism of waste management staff (mean = 3.050), presence of illegal dumpsites (mean = 3.030), cost-to-quality ratio of services (mean = 2.990), </w:t>
      </w:r>
      <w:proofErr w:type="spellStart"/>
      <w:r>
        <w:t>organisation</w:t>
      </w:r>
      <w:proofErr w:type="spellEnd"/>
      <w:r>
        <w:t xml:space="preserve"> of the waste management system (mean = 2.941), proximity of bins to residences (mean = 2.940), speed and thoroughness of collection (mean = 2.911), and condition of collection trucks (mean = 2.901). These results indicate that both human-facing service dimensions (staff conduct, responsiveness) and logistical elements (system </w:t>
      </w:r>
      <w:proofErr w:type="spellStart"/>
      <w:r>
        <w:t>organisation</w:t>
      </w:r>
      <w:proofErr w:type="spellEnd"/>
      <w:r>
        <w:t>, bin proximity) contribute meaningfully to satisfaction perceptions.</w:t>
      </w:r>
    </w:p>
    <w:p w:rsidR="003C296D" w:rsidRDefault="00BC25F5">
      <w:pPr>
        <w:spacing w:after="160" w:line="480" w:lineRule="auto"/>
        <w:jc w:val="both"/>
      </w:pPr>
      <w:r>
        <w:lastRenderedPageBreak/>
        <w:t>Among the lower-ranked factors were ease of access for collection vehicles (mean = 2.491), consistency of service (mean = 2.481), quality and sufficiency of waste bins (mean = 2.342), and responsiveness to complaints (mean = 2.333). Despite their lower mean scores, these factors carry significant policy weight: bin inadequacy and poor complaint mechanisms directly undermine residents' ability to engage effectively with the SWM system, and their neglect likely deepens dissatisfaction over time (</w:t>
      </w:r>
      <w:proofErr w:type="spellStart"/>
      <w:r>
        <w:t>Bhuian</w:t>
      </w:r>
      <w:proofErr w:type="spellEnd"/>
      <w:r>
        <w:t>, 2021).</w:t>
      </w:r>
    </w:p>
    <w:p w:rsidR="003C296D" w:rsidRDefault="00BC25F5">
      <w:pPr>
        <w:pStyle w:val="Heading2"/>
      </w:pPr>
      <w:r>
        <w:t>4.6 Factor Analysis: Underlying Dimensions of Satisfaction</w:t>
      </w:r>
    </w:p>
    <w:p w:rsidR="003C296D" w:rsidRDefault="00BC25F5">
      <w:pPr>
        <w:spacing w:after="160" w:line="480" w:lineRule="auto"/>
        <w:jc w:val="both"/>
      </w:pPr>
      <w:r>
        <w:t xml:space="preserve">Prior to extracting factors, two prerequisite tests were conducted to confirm dataset suitability. The KMO measure of sampling adequacy was 0.884, exceeding the recommended threshold of 0.70 and indicating 'meritorious' suitability for factor analysis. Bartlett's Test of </w:t>
      </w:r>
      <w:proofErr w:type="spellStart"/>
      <w:r>
        <w:t>Sphericity</w:t>
      </w:r>
      <w:proofErr w:type="spellEnd"/>
      <w:r>
        <w:t xml:space="preserve"> was statistically significant (χ² = 1625.73, </w:t>
      </w:r>
      <w:proofErr w:type="spellStart"/>
      <w:proofErr w:type="gramStart"/>
      <w:r>
        <w:t>df</w:t>
      </w:r>
      <w:proofErr w:type="spellEnd"/>
      <w:proofErr w:type="gramEnd"/>
      <w:r>
        <w:t xml:space="preserve"> = 91, p &lt; 0.001), confirming that significant </w:t>
      </w:r>
      <w:proofErr w:type="spellStart"/>
      <w:r>
        <w:t>intercorrelations</w:t>
      </w:r>
      <w:proofErr w:type="spellEnd"/>
      <w:r>
        <w:t xml:space="preserve"> existed among variables and that the correlation matrix was not an identity matrix. These results validated proceeding with factor extraction.</w:t>
      </w:r>
    </w:p>
    <w:p w:rsidR="003C296D" w:rsidRDefault="00BC25F5">
      <w:pPr>
        <w:spacing w:after="160" w:line="480" w:lineRule="auto"/>
        <w:jc w:val="both"/>
      </w:pPr>
      <w:r>
        <w:t>Table 5 presents the component matrix loadings, communalities, and variance statistics from the Principal Component Analysis.</w:t>
      </w:r>
    </w:p>
    <w:p w:rsidR="003C296D" w:rsidRDefault="00BC25F5">
      <w:pPr>
        <w:spacing w:before="160" w:after="80"/>
      </w:pPr>
      <w:r>
        <w:rPr>
          <w:b/>
          <w:bCs/>
          <w:sz w:val="22"/>
          <w:szCs w:val="22"/>
        </w:rPr>
        <w:t>Table 5: Component Matrix and Variance Explained — Factor Analysis of SWM Satisfaction Determinants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0"/>
        <w:gridCol w:w="1400"/>
        <w:gridCol w:w="1400"/>
        <w:gridCol w:w="2260"/>
      </w:tblGrid>
      <w:tr w:rsidR="003C296D">
        <w:tc>
          <w:tcPr>
            <w:tcW w:w="43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r>
              <w:rPr>
                <w:b/>
                <w:bCs/>
                <w:sz w:val="20"/>
                <w:szCs w:val="20"/>
              </w:rPr>
              <w:t>Variable</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Component 1 Loading</w:t>
            </w:r>
          </w:p>
        </w:tc>
        <w:tc>
          <w:tcPr>
            <w:tcW w:w="140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Component 2 Loading</w:t>
            </w:r>
          </w:p>
        </w:tc>
        <w:tc>
          <w:tcPr>
            <w:tcW w:w="2260" w:type="dxa"/>
            <w:tcBorders>
              <w:top w:val="single" w:sz="1" w:space="0" w:color="333333"/>
              <w:left w:val="single" w:sz="1" w:space="0" w:color="333333"/>
              <w:bottom w:val="single" w:sz="1" w:space="0" w:color="333333"/>
              <w:right w:val="single" w:sz="1" w:space="0" w:color="333333"/>
            </w:tcBorders>
            <w:shd w:val="clear" w:color="auto" w:fill="D9E1F2"/>
            <w:tcMar>
              <w:top w:w="60" w:type="dxa"/>
              <w:left w:w="100" w:type="dxa"/>
              <w:bottom w:w="60" w:type="dxa"/>
              <w:right w:w="100" w:type="dxa"/>
            </w:tcMar>
            <w:vAlign w:val="center"/>
          </w:tcPr>
          <w:p w:rsidR="003C296D" w:rsidRDefault="00BC25F5">
            <w:pPr>
              <w:jc w:val="center"/>
            </w:pPr>
            <w:r>
              <w:rPr>
                <w:b/>
                <w:bCs/>
                <w:sz w:val="20"/>
                <w:szCs w:val="20"/>
              </w:rPr>
              <w:t>Communality</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State of communal waste bins and collection areas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0.960</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0.102</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0.932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Responsiveness to complaints and requests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0.963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0.063</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0.932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Perceived environmental impact of waste management</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0.963</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0.063</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0.932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Presence of illegal dumpsites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-0.084</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0.815</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Consistency of service</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-0.084</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0.815</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Cost of service versus quality of service</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0.874</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-0.198</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0.804</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Attitude and professionalism of waste management staff</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0.848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-0.079</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0.725</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roofErr w:type="spellStart"/>
            <w:r>
              <w:rPr>
                <w:sz w:val="20"/>
                <w:szCs w:val="20"/>
              </w:rPr>
              <w:lastRenderedPageBreak/>
              <w:t>Organisation</w:t>
            </w:r>
            <w:proofErr w:type="spellEnd"/>
            <w:r>
              <w:rPr>
                <w:sz w:val="20"/>
                <w:szCs w:val="20"/>
              </w:rPr>
              <w:t xml:space="preserve"> of the waste management system</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0.855</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0.359</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0.860</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Speed and thoroughness of collection process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0.828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0.387</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0.836</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Proximity of bins to residences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-0.491</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Ease of access for waste collection vehicles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-0.491</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Quality and sufficiency of waste bins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-0.491</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0.892</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State of waste collection trucks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0.788</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0.451</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0.825</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sz w:val="20"/>
                <w:szCs w:val="20"/>
              </w:rPr>
              <w:t>Presence of litter and overflowing bins</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0.469</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0.802</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sz w:val="20"/>
                <w:szCs w:val="20"/>
              </w:rPr>
              <w:t>0.863</w:t>
            </w:r>
          </w:p>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b/>
                <w:bCs/>
                <w:sz w:val="20"/>
                <w:szCs w:val="20"/>
              </w:rPr>
              <w:t>Eigenvalue</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b/>
                <w:bCs/>
                <w:sz w:val="20"/>
                <w:szCs w:val="20"/>
              </w:rPr>
              <w:t>10.087</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b/>
                <w:bCs/>
                <w:sz w:val="20"/>
                <w:szCs w:val="20"/>
              </w:rPr>
              <w:t>1.925</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3C296D"/>
        </w:tc>
      </w:tr>
      <w:tr w:rsidR="003C296D">
        <w:tc>
          <w:tcPr>
            <w:tcW w:w="43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r>
              <w:rPr>
                <w:b/>
                <w:bCs/>
                <w:sz w:val="20"/>
                <w:szCs w:val="20"/>
              </w:rPr>
              <w:t>% Variance Explained</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b/>
                <w:bCs/>
                <w:sz w:val="20"/>
                <w:szCs w:val="20"/>
              </w:rPr>
              <w:t>72.05%</w:t>
            </w:r>
          </w:p>
        </w:tc>
        <w:tc>
          <w:tcPr>
            <w:tcW w:w="140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b/>
                <w:bCs/>
                <w:sz w:val="20"/>
                <w:szCs w:val="20"/>
              </w:rPr>
              <w:t>13.75%</w:t>
            </w:r>
          </w:p>
        </w:tc>
        <w:tc>
          <w:tcPr>
            <w:tcW w:w="2260" w:type="dxa"/>
            <w:tcBorders>
              <w:top w:val="single" w:sz="1" w:space="0" w:color="333333"/>
              <w:left w:val="single" w:sz="1" w:space="0" w:color="333333"/>
              <w:bottom w:val="single" w:sz="1" w:space="0" w:color="333333"/>
              <w:right w:val="single" w:sz="1" w:space="0" w:color="333333"/>
            </w:tcBorders>
            <w:tcMar>
              <w:top w:w="60" w:type="dxa"/>
              <w:left w:w="100" w:type="dxa"/>
              <w:bottom w:w="60" w:type="dxa"/>
              <w:right w:w="100" w:type="dxa"/>
            </w:tcMar>
            <w:vAlign w:val="center"/>
          </w:tcPr>
          <w:p w:rsidR="003C296D" w:rsidRDefault="00BC25F5">
            <w:pPr>
              <w:jc w:val="center"/>
            </w:pPr>
            <w:r>
              <w:rPr>
                <w:b/>
                <w:bCs/>
                <w:sz w:val="20"/>
                <w:szCs w:val="20"/>
              </w:rPr>
              <w:t>Cumulative: 85.80%</w:t>
            </w:r>
          </w:p>
        </w:tc>
      </w:tr>
    </w:tbl>
    <w:p w:rsidR="003C296D" w:rsidRDefault="006C369E">
      <w:pPr>
        <w:spacing w:before="60" w:after="200"/>
        <w:rPr>
          <w:i/>
          <w:iCs/>
          <w:sz w:val="20"/>
          <w:szCs w:val="20"/>
        </w:rPr>
      </w:pPr>
      <w:r>
        <w:rPr>
          <w:b/>
          <w:iCs/>
          <w:sz w:val="20"/>
          <w:szCs w:val="20"/>
        </w:rPr>
        <w:t>Source: Field Survey,</w:t>
      </w:r>
      <w:r w:rsidR="00BC25F5" w:rsidRPr="002B447E">
        <w:rPr>
          <w:b/>
          <w:iCs/>
          <w:sz w:val="20"/>
          <w:szCs w:val="20"/>
        </w:rPr>
        <w:t xml:space="preserve"> </w:t>
      </w:r>
      <w:r w:rsidR="002B447E">
        <w:rPr>
          <w:b/>
          <w:iCs/>
          <w:sz w:val="20"/>
          <w:szCs w:val="20"/>
        </w:rPr>
        <w:t>(</w:t>
      </w:r>
      <w:r w:rsidR="00BC25F5" w:rsidRPr="002B447E">
        <w:rPr>
          <w:b/>
          <w:iCs/>
          <w:sz w:val="20"/>
          <w:szCs w:val="20"/>
        </w:rPr>
        <w:t>2025</w:t>
      </w:r>
      <w:r w:rsidR="002B447E">
        <w:rPr>
          <w:b/>
          <w:iCs/>
          <w:sz w:val="20"/>
          <w:szCs w:val="20"/>
        </w:rPr>
        <w:t>)</w:t>
      </w:r>
      <w:r w:rsidR="00BC25F5" w:rsidRPr="002B447E">
        <w:rPr>
          <w:b/>
          <w:iCs/>
          <w:sz w:val="20"/>
          <w:szCs w:val="20"/>
        </w:rPr>
        <w:t>.</w:t>
      </w:r>
      <w:r w:rsidR="00BC25F5">
        <w:rPr>
          <w:i/>
          <w:iCs/>
          <w:sz w:val="20"/>
          <w:szCs w:val="20"/>
        </w:rPr>
        <w:t xml:space="preserve"> Extraction method: Principal Component Analysis. Two components retained based on Kaiser's criterion (eigenvalue &gt; 1).</w:t>
      </w:r>
    </w:p>
    <w:p w:rsidR="00E60AC0" w:rsidRPr="00E60AC0" w:rsidRDefault="00E60AC0" w:rsidP="00E60AC0">
      <w:pPr>
        <w:spacing w:before="60" w:after="200" w:line="360" w:lineRule="auto"/>
        <w:jc w:val="both"/>
        <w:rPr>
          <w:color w:val="5B9BD5" w:themeColor="accent1"/>
        </w:rPr>
      </w:pPr>
      <w:r w:rsidRPr="00E60AC0">
        <w:rPr>
          <w:color w:val="5B9BD5" w:themeColor="accent1"/>
        </w:rPr>
        <w:t xml:space="preserve">Table 5 shows that PCA extracted two components with eigenvalues greater than 1, explaining </w:t>
      </w:r>
      <w:r w:rsidRPr="00E60AC0">
        <w:rPr>
          <w:bCs/>
          <w:color w:val="5B9BD5" w:themeColor="accent1"/>
        </w:rPr>
        <w:t>85.80% of total variance</w:t>
      </w:r>
      <w:r w:rsidRPr="00E60AC0">
        <w:rPr>
          <w:color w:val="5B9BD5" w:themeColor="accent1"/>
        </w:rPr>
        <w:t>, indicating a strong and efficient factor structure.</w:t>
      </w:r>
    </w:p>
    <w:p w:rsidR="00E60AC0" w:rsidRPr="00E60AC0" w:rsidRDefault="00E60AC0" w:rsidP="00E60AC0">
      <w:pPr>
        <w:spacing w:before="60" w:after="200" w:line="360" w:lineRule="auto"/>
        <w:jc w:val="both"/>
        <w:rPr>
          <w:color w:val="5B9BD5" w:themeColor="accent1"/>
        </w:rPr>
      </w:pPr>
      <w:r w:rsidRPr="00E60AC0">
        <w:rPr>
          <w:bCs/>
          <w:color w:val="5B9BD5" w:themeColor="accent1"/>
        </w:rPr>
        <w:t>Component 1</w:t>
      </w:r>
      <w:r w:rsidRPr="00E60AC0">
        <w:rPr>
          <w:color w:val="5B9BD5" w:themeColor="accent1"/>
        </w:rPr>
        <w:t xml:space="preserve"> (eigenvalue = 10.087; 72.05% variance) was dominant. It had high loadings (≥ 0.788) for most variables, including communal waste bins (0.960), complaint responsiveness (0.963), environmental impact (0.963), illegal dumpsites (0.899), service consistency (0.899), cost-quality ratio (0.874), system </w:t>
      </w:r>
      <w:proofErr w:type="spellStart"/>
      <w:r w:rsidRPr="00E60AC0">
        <w:rPr>
          <w:color w:val="5B9BD5" w:themeColor="accent1"/>
        </w:rPr>
        <w:t>organisation</w:t>
      </w:r>
      <w:proofErr w:type="spellEnd"/>
      <w:r w:rsidRPr="00E60AC0">
        <w:rPr>
          <w:color w:val="5B9BD5" w:themeColor="accent1"/>
        </w:rPr>
        <w:t xml:space="preserve"> (0.855), and staff professionalism (0.848). This component reflects </w:t>
      </w:r>
      <w:r w:rsidRPr="00E60AC0">
        <w:rPr>
          <w:bCs/>
          <w:color w:val="5B9BD5" w:themeColor="accent1"/>
        </w:rPr>
        <w:t>systemic service quality</w:t>
      </w:r>
      <w:r w:rsidRPr="00E60AC0">
        <w:rPr>
          <w:color w:val="5B9BD5" w:themeColor="accent1"/>
        </w:rPr>
        <w:t xml:space="preserve">, covering overall reliability, </w:t>
      </w:r>
      <w:proofErr w:type="spellStart"/>
      <w:r w:rsidRPr="00E60AC0">
        <w:rPr>
          <w:color w:val="5B9BD5" w:themeColor="accent1"/>
        </w:rPr>
        <w:t>organisation</w:t>
      </w:r>
      <w:proofErr w:type="spellEnd"/>
      <w:r w:rsidRPr="00E60AC0">
        <w:rPr>
          <w:color w:val="5B9BD5" w:themeColor="accent1"/>
        </w:rPr>
        <w:t>, and institutional performance.</w:t>
      </w:r>
    </w:p>
    <w:p w:rsidR="00E60AC0" w:rsidRPr="00E60AC0" w:rsidRDefault="00E60AC0" w:rsidP="00E60AC0">
      <w:pPr>
        <w:spacing w:before="60" w:after="200" w:line="360" w:lineRule="auto"/>
        <w:jc w:val="both"/>
        <w:rPr>
          <w:color w:val="5B9BD5" w:themeColor="accent1"/>
        </w:rPr>
      </w:pPr>
      <w:r w:rsidRPr="00E60AC0">
        <w:rPr>
          <w:bCs/>
          <w:color w:val="5B9BD5" w:themeColor="accent1"/>
        </w:rPr>
        <w:t>Component 2</w:t>
      </w:r>
      <w:r w:rsidRPr="00E60AC0">
        <w:rPr>
          <w:color w:val="5B9BD5" w:themeColor="accent1"/>
        </w:rPr>
        <w:t xml:space="preserve"> (eigenvalue = 1.925; 13.75% variance) was mainly driven by litter and overflowing bins (0.802), with weaker contributions from collection trucks (0.451) and collection efficiency (0.387). It represents </w:t>
      </w:r>
      <w:r w:rsidRPr="00E60AC0">
        <w:rPr>
          <w:bCs/>
          <w:color w:val="5B9BD5" w:themeColor="accent1"/>
        </w:rPr>
        <w:t>operational visibility and environmental hygiene</w:t>
      </w:r>
      <w:r w:rsidRPr="00E60AC0">
        <w:rPr>
          <w:color w:val="5B9BD5" w:themeColor="accent1"/>
        </w:rPr>
        <w:t>, focusing on the immediate cleanliness residents experience daily.</w:t>
      </w:r>
    </w:p>
    <w:p w:rsidR="00E60AC0" w:rsidRPr="00E60AC0" w:rsidRDefault="00E60AC0" w:rsidP="00E60AC0">
      <w:pPr>
        <w:spacing w:before="60" w:after="200" w:line="360" w:lineRule="auto"/>
        <w:jc w:val="both"/>
        <w:rPr>
          <w:color w:val="5B9BD5" w:themeColor="accent1"/>
        </w:rPr>
      </w:pPr>
      <w:r w:rsidRPr="00E60AC0">
        <w:rPr>
          <w:color w:val="5B9BD5" w:themeColor="accent1"/>
        </w:rPr>
        <w:t xml:space="preserve">Communalities were high (0.725–0.932), confirming good model fit. Overall, the results suggest two key policy areas: </w:t>
      </w:r>
      <w:r w:rsidRPr="00E60AC0">
        <w:rPr>
          <w:bCs/>
          <w:color w:val="5B9BD5" w:themeColor="accent1"/>
        </w:rPr>
        <w:t>system-level reforms (Component 1)</w:t>
      </w:r>
      <w:r w:rsidRPr="00E60AC0">
        <w:rPr>
          <w:color w:val="5B9BD5" w:themeColor="accent1"/>
        </w:rPr>
        <w:t xml:space="preserve"> and </w:t>
      </w:r>
      <w:r w:rsidRPr="00E60AC0">
        <w:rPr>
          <w:bCs/>
          <w:color w:val="5B9BD5" w:themeColor="accent1"/>
        </w:rPr>
        <w:t>improved day-to-day cleanliness and operations (Component 2).</w:t>
      </w:r>
    </w:p>
    <w:p w:rsidR="003C296D" w:rsidRDefault="00BC25F5">
      <w:pPr>
        <w:pStyle w:val="Heading1"/>
      </w:pPr>
      <w:r>
        <w:t>5. Conclusion and Recommendations</w:t>
      </w:r>
    </w:p>
    <w:p w:rsidR="003C296D" w:rsidRDefault="00BC25F5">
      <w:pPr>
        <w:pStyle w:val="Heading2"/>
      </w:pPr>
      <w:r>
        <w:t>5.1 Conclusion</w:t>
      </w:r>
    </w:p>
    <w:p w:rsidR="003C296D" w:rsidRDefault="00BC25F5">
      <w:pPr>
        <w:spacing w:after="160" w:line="480" w:lineRule="auto"/>
        <w:jc w:val="both"/>
      </w:pPr>
      <w:r>
        <w:t xml:space="preserve">This study assessed residents' satisfaction with </w:t>
      </w:r>
      <w:r w:rsidR="000D0FA7">
        <w:t>Solid Waste Management (</w:t>
      </w:r>
      <w:r>
        <w:t>SWM</w:t>
      </w:r>
      <w:r w:rsidR="000D0FA7">
        <w:t>)</w:t>
      </w:r>
      <w:r>
        <w:t xml:space="preserve"> services in the </w:t>
      </w:r>
      <w:proofErr w:type="spellStart"/>
      <w:r>
        <w:t>Garki</w:t>
      </w:r>
      <w:proofErr w:type="spellEnd"/>
      <w:r>
        <w:t xml:space="preserve"> district of </w:t>
      </w:r>
      <w:r w:rsidR="000D0FA7">
        <w:t>Abuja Municipal Council (</w:t>
      </w:r>
      <w:r>
        <w:t>AMAC</w:t>
      </w:r>
      <w:r w:rsidR="000D0FA7">
        <w:t>)</w:t>
      </w:r>
      <w:r>
        <w:t xml:space="preserve">, Abuja, across four empirical dimensions. The </w:t>
      </w:r>
      <w:r>
        <w:lastRenderedPageBreak/>
        <w:t xml:space="preserve">evidence confirms that AMAC's SWM system is operationally functional at the level of core infrastructure — waste bins and collection vehicles are in place and working — but is </w:t>
      </w:r>
      <w:proofErr w:type="spellStart"/>
      <w:r>
        <w:t>characterised</w:t>
      </w:r>
      <w:proofErr w:type="spellEnd"/>
      <w:r>
        <w:t xml:space="preserve"> by significant gaps in service reach, environmental hygiene, and institutional responsiveness that constrain overall resident satisfaction.</w:t>
      </w:r>
    </w:p>
    <w:p w:rsidR="003C296D" w:rsidRDefault="00BC25F5">
      <w:pPr>
        <w:spacing w:after="160" w:line="480" w:lineRule="auto"/>
        <w:jc w:val="both"/>
      </w:pPr>
      <w:r>
        <w:t>The nature and scope analysis revealed a service system in which only basic receptacle provision meets residents' expectations. The majority of service components, from collection frequency and geographical coverage to schedule predictability and site sanitation, were only partially or scarcely available. Effectiveness ratings corroborated this picture: beyond physical infrastructure, most service dimensions performed only moderately, with environmental health and community engagement functions consistently rated as less effective. Satisfaction levels were correspondingly mixed: residents expressed satisfaction with collection frequency and punctuality but reported only moderate or low satisfaction across the remaining eleven indicators, with odor control, complaint responsiveness, and public awareness campaigns drawing the lowest scores. Factor analysis confirmed that two underlying dimensions — systemic service quality and operational/environmental hygiene — structure the satisfaction landscape, together explaining 85.80% of total variance. These findings suggest that AMAC has successfully established the scaffolding of a functional waste management system but has not yet translated that infrastructure into a satisfying, comprehensive, and participatory service experience.</w:t>
      </w:r>
    </w:p>
    <w:p w:rsidR="003C296D" w:rsidRDefault="00BC25F5">
      <w:pPr>
        <w:pStyle w:val="Heading2"/>
      </w:pPr>
      <w:r>
        <w:t>5.2 Recommendations</w:t>
      </w:r>
    </w:p>
    <w:p w:rsidR="003C296D" w:rsidRDefault="00BC25F5">
      <w:pPr>
        <w:spacing w:after="160" w:line="480" w:lineRule="auto"/>
        <w:jc w:val="both"/>
      </w:pPr>
      <w:r>
        <w:t xml:space="preserve">First, </w:t>
      </w:r>
      <w:r w:rsidR="008A078D">
        <w:t>Abuja Municipal Council (</w:t>
      </w:r>
      <w:r>
        <w:t>AMAC</w:t>
      </w:r>
      <w:r w:rsidR="008A078D">
        <w:t>)</w:t>
      </w:r>
      <w:r>
        <w:t xml:space="preserve"> should </w:t>
      </w:r>
      <w:proofErr w:type="spellStart"/>
      <w:r>
        <w:t>prioritise</w:t>
      </w:r>
      <w:proofErr w:type="spellEnd"/>
      <w:r>
        <w:t xml:space="preserve"> the expansion and equitable distribution of SWM infrastructure. This includes deploying additional waste bins to underserved and peripheral sub-areas, increasing the fleet of operational collection vehicles, and establishing clearly defined collection schedules published at the community level. Achieving equitable geographical </w:t>
      </w:r>
      <w:r>
        <w:lastRenderedPageBreak/>
        <w:t xml:space="preserve">coverage is foundational to reducing the service disparities that drive dissatisfaction in outlying </w:t>
      </w:r>
      <w:proofErr w:type="spellStart"/>
      <w:r>
        <w:t>Garki</w:t>
      </w:r>
      <w:proofErr w:type="spellEnd"/>
      <w:r>
        <w:t xml:space="preserve"> areas.</w:t>
      </w:r>
    </w:p>
    <w:p w:rsidR="003C296D" w:rsidRDefault="00BC25F5">
      <w:pPr>
        <w:spacing w:after="160" w:line="480" w:lineRule="auto"/>
        <w:jc w:val="both"/>
      </w:pPr>
      <w:r>
        <w:t xml:space="preserve">Second, targeted interventions in environmental hygiene are urgently needed. Pest and odor control </w:t>
      </w:r>
      <w:proofErr w:type="spellStart"/>
      <w:r>
        <w:t>programmes</w:t>
      </w:r>
      <w:proofErr w:type="spellEnd"/>
      <w:r>
        <w:t xml:space="preserve"> around communal waste bins and collection sites must be </w:t>
      </w:r>
      <w:proofErr w:type="spellStart"/>
      <w:r>
        <w:t>institutionalised</w:t>
      </w:r>
      <w:proofErr w:type="spellEnd"/>
      <w:r>
        <w:t xml:space="preserve"> as routine SWM activities rather than ad hoc responses. Regular post-collection site cleaning, including the clearing of spillage and debris, should be mandated and monitored through performance indicators linked to service contracts.</w:t>
      </w:r>
    </w:p>
    <w:p w:rsidR="003C296D" w:rsidRDefault="00BC25F5">
      <w:pPr>
        <w:spacing w:after="160" w:line="480" w:lineRule="auto"/>
        <w:jc w:val="both"/>
      </w:pPr>
      <w:r>
        <w:t>Third, a robust and accessible complaints-response mechanism should be established. Given that responsiveness to complaints (mean = 2.103) and information dissemination (mean = 2.203) ranked among the lowest satisfaction indicators, AMAC should implement dedicated community feedback channels — including mobile applications, hotlines, and structured ward-level reporting — and commit to measurable response-time standards. Transparent reporting on complaints received and resolved would strengthen institutional accountability.</w:t>
      </w:r>
    </w:p>
    <w:p w:rsidR="003C296D" w:rsidRDefault="00BC25F5">
      <w:pPr>
        <w:spacing w:after="160" w:line="480" w:lineRule="auto"/>
        <w:jc w:val="both"/>
      </w:pPr>
      <w:r>
        <w:t xml:space="preserve">Fourth, public awareness and community education campaigns should be </w:t>
      </w:r>
      <w:proofErr w:type="spellStart"/>
      <w:r>
        <w:t>revitalised</w:t>
      </w:r>
      <w:proofErr w:type="spellEnd"/>
      <w:r>
        <w:t xml:space="preserve"> using diverse platforms, including radio broadcasts, social media, community association meetings, and school-based </w:t>
      </w:r>
      <w:proofErr w:type="spellStart"/>
      <w:r>
        <w:t>programmes</w:t>
      </w:r>
      <w:proofErr w:type="spellEnd"/>
      <w:r>
        <w:t xml:space="preserve">. Campaigns should address proper waste segregation, disposal </w:t>
      </w:r>
      <w:proofErr w:type="spellStart"/>
      <w:r>
        <w:t>behaviours</w:t>
      </w:r>
      <w:proofErr w:type="spellEnd"/>
      <w:r>
        <w:t xml:space="preserve">, recycling options, and the health consequences of illegal dumping. Sustained community education is essential for reducing the incidence of litter, overflowing bins, and </w:t>
      </w:r>
      <w:proofErr w:type="spellStart"/>
      <w:r>
        <w:t>unauthorised</w:t>
      </w:r>
      <w:proofErr w:type="spellEnd"/>
      <w:r>
        <w:t xml:space="preserve"> dumpsites — the operational hygiene failures most closely tied to daily resident dissatisfaction.</w:t>
      </w:r>
    </w:p>
    <w:p w:rsidR="003C296D" w:rsidRDefault="00BC25F5">
      <w:pPr>
        <w:spacing w:after="160" w:line="480" w:lineRule="auto"/>
        <w:jc w:val="both"/>
      </w:pPr>
      <w:r>
        <w:t xml:space="preserve">Fifth, AMAC should </w:t>
      </w:r>
      <w:proofErr w:type="spellStart"/>
      <w:r>
        <w:t>institutionalise</w:t>
      </w:r>
      <w:proofErr w:type="spellEnd"/>
      <w:r>
        <w:t xml:space="preserve"> data-driven service monitoring. Annual resident satisfaction surveys, using validated instruments like the one deployed in this study, should be embedded in the SWM governance cycle. Disaggregating findings by sub-area, housing type, and demographic </w:t>
      </w:r>
      <w:r>
        <w:lastRenderedPageBreak/>
        <w:t>group would enable targeted resource allocation and continuous service improvement aligned with resident priorities.</w:t>
      </w:r>
    </w:p>
    <w:p w:rsidR="003C296D" w:rsidRDefault="00BC25F5">
      <w:pPr>
        <w:pStyle w:val="Heading1"/>
      </w:pPr>
      <w:r>
        <w:t>References</w:t>
      </w:r>
    </w:p>
    <w:p w:rsidR="007646A2" w:rsidRDefault="00BC25F5" w:rsidP="007646A2">
      <w:pPr>
        <w:jc w:val="both"/>
      </w:pPr>
      <w:r>
        <w:t xml:space="preserve">Abbas, M. (2023). Relationship between service quality and customer satisfaction. Advances in </w:t>
      </w:r>
    </w:p>
    <w:p w:rsidR="003C296D" w:rsidRDefault="00BC25F5" w:rsidP="007646A2">
      <w:pPr>
        <w:ind w:firstLine="720"/>
        <w:jc w:val="both"/>
      </w:pPr>
      <w:r>
        <w:t>Business and Industrial Marketing Research, 1(2), 68–75.</w:t>
      </w:r>
    </w:p>
    <w:p w:rsidR="007646A2" w:rsidRDefault="00BC25F5" w:rsidP="007646A2">
      <w:pPr>
        <w:jc w:val="both"/>
      </w:pPr>
      <w:proofErr w:type="spellStart"/>
      <w:r>
        <w:t>Abdulfatah</w:t>
      </w:r>
      <w:proofErr w:type="spellEnd"/>
      <w:r>
        <w:t xml:space="preserve">, A. K. (2023). Exploring municipal solid waste management in Nigeria: Challenges, </w:t>
      </w:r>
    </w:p>
    <w:p w:rsidR="003C296D" w:rsidRDefault="00BC25F5" w:rsidP="007646A2">
      <w:pPr>
        <w:ind w:left="720"/>
        <w:jc w:val="both"/>
      </w:pPr>
      <w:proofErr w:type="gramStart"/>
      <w:r>
        <w:t>opportunities</w:t>
      </w:r>
      <w:proofErr w:type="gramEnd"/>
      <w:r>
        <w:t xml:space="preserve">, and roadmap for sustainable development [Doctoral dissertation, University of </w:t>
      </w:r>
      <w:proofErr w:type="spellStart"/>
      <w:r>
        <w:t>Salford</w:t>
      </w:r>
      <w:proofErr w:type="spellEnd"/>
      <w:r>
        <w:t>].</w:t>
      </w:r>
    </w:p>
    <w:p w:rsidR="007646A2" w:rsidRDefault="00BC25F5" w:rsidP="007646A2">
      <w:pPr>
        <w:jc w:val="both"/>
      </w:pPr>
      <w:proofErr w:type="spellStart"/>
      <w:r>
        <w:t>Abdullahi</w:t>
      </w:r>
      <w:proofErr w:type="spellEnd"/>
      <w:r>
        <w:t xml:space="preserve">, M., &amp; Mohammed, A. (2020). Residents' satisfaction with solid waste management </w:t>
      </w:r>
    </w:p>
    <w:p w:rsidR="003C296D" w:rsidRDefault="00BC25F5" w:rsidP="007646A2">
      <w:pPr>
        <w:ind w:left="720"/>
        <w:jc w:val="both"/>
      </w:pPr>
      <w:proofErr w:type="gramStart"/>
      <w:r>
        <w:t>services</w:t>
      </w:r>
      <w:proofErr w:type="gramEnd"/>
      <w:r>
        <w:t xml:space="preserve"> in Abuja Municipal Area Council, Nigeria.</w:t>
      </w:r>
      <w:r w:rsidRPr="002B447E">
        <w:rPr>
          <w:i/>
        </w:rPr>
        <w:t xml:space="preserve"> Journal of Environmental Management</w:t>
      </w:r>
      <w:r>
        <w:t xml:space="preserve">, </w:t>
      </w:r>
      <w:r w:rsidRPr="002B447E">
        <w:rPr>
          <w:i/>
        </w:rPr>
        <w:t>269,</w:t>
      </w:r>
      <w:r>
        <w:t xml:space="preserve"> 110732. https://doi.org/10.1016/j.jenvman.2020.110732</w:t>
      </w:r>
    </w:p>
    <w:p w:rsidR="007646A2" w:rsidRDefault="00BC25F5" w:rsidP="007646A2">
      <w:pPr>
        <w:jc w:val="both"/>
      </w:pPr>
      <w:proofErr w:type="spellStart"/>
      <w:r>
        <w:t>Abila</w:t>
      </w:r>
      <w:proofErr w:type="spellEnd"/>
      <w:r>
        <w:t xml:space="preserve">, B., &amp; </w:t>
      </w:r>
      <w:proofErr w:type="spellStart"/>
      <w:r>
        <w:t>Kantola</w:t>
      </w:r>
      <w:proofErr w:type="spellEnd"/>
      <w:r>
        <w:t xml:space="preserve">, J. (2013). Municipal solid waste management problems in Nigeria: Evolving </w:t>
      </w:r>
    </w:p>
    <w:p w:rsidR="003C296D" w:rsidRDefault="00BC25F5" w:rsidP="007646A2">
      <w:pPr>
        <w:ind w:left="720"/>
        <w:jc w:val="both"/>
      </w:pPr>
      <w:proofErr w:type="gramStart"/>
      <w:r>
        <w:t>knowledge</w:t>
      </w:r>
      <w:proofErr w:type="gramEnd"/>
      <w:r>
        <w:t xml:space="preserve"> management solution. </w:t>
      </w:r>
      <w:r w:rsidRPr="002B447E">
        <w:rPr>
          <w:i/>
        </w:rPr>
        <w:t>International Journal of Environmental, Chemical, Ecological, Geological and Geophysical Engineering, 7(6),</w:t>
      </w:r>
      <w:r>
        <w:t xml:space="preserve"> 303–308.</w:t>
      </w:r>
    </w:p>
    <w:p w:rsidR="007646A2" w:rsidRDefault="00BC25F5" w:rsidP="007646A2">
      <w:pPr>
        <w:jc w:val="both"/>
      </w:pPr>
      <w:proofErr w:type="spellStart"/>
      <w:r>
        <w:t>Adama</w:t>
      </w:r>
      <w:proofErr w:type="spellEnd"/>
      <w:r>
        <w:t xml:space="preserve">, I. (2019). An overview of waste management practices in Nigeria: Evolution, challenges, </w:t>
      </w:r>
    </w:p>
    <w:p w:rsidR="003C296D" w:rsidRDefault="00BC25F5" w:rsidP="007646A2">
      <w:pPr>
        <w:ind w:firstLine="720"/>
        <w:jc w:val="both"/>
      </w:pPr>
      <w:proofErr w:type="gramStart"/>
      <w:r>
        <w:t>and</w:t>
      </w:r>
      <w:proofErr w:type="gramEnd"/>
      <w:r>
        <w:t xml:space="preserve"> prospects. </w:t>
      </w:r>
      <w:r w:rsidRPr="002B447E">
        <w:rPr>
          <w:i/>
        </w:rPr>
        <w:t>Journal of Environmental Science and Engineering, 8(2),</w:t>
      </w:r>
      <w:r>
        <w:t xml:space="preserve"> 57–65.</w:t>
      </w:r>
    </w:p>
    <w:p w:rsidR="00AA3F29" w:rsidRPr="00B4731D" w:rsidRDefault="00A261BE" w:rsidP="00AA3F29">
      <w:pPr>
        <w:jc w:val="both"/>
        <w:rPr>
          <w:color w:val="5B9BD5" w:themeColor="accent1"/>
        </w:rPr>
      </w:pPr>
      <w:proofErr w:type="spellStart"/>
      <w:r w:rsidRPr="00B4731D">
        <w:rPr>
          <w:color w:val="5B9BD5" w:themeColor="accent1"/>
        </w:rPr>
        <w:t>Adeiza</w:t>
      </w:r>
      <w:proofErr w:type="spellEnd"/>
      <w:r w:rsidRPr="00B4731D">
        <w:rPr>
          <w:color w:val="5B9BD5" w:themeColor="accent1"/>
        </w:rPr>
        <w:t xml:space="preserve">, A. M., </w:t>
      </w:r>
      <w:proofErr w:type="spellStart"/>
      <w:r w:rsidRPr="00B4731D">
        <w:rPr>
          <w:color w:val="5B9BD5" w:themeColor="accent1"/>
        </w:rPr>
        <w:t>Bida</w:t>
      </w:r>
      <w:proofErr w:type="spellEnd"/>
      <w:r w:rsidRPr="00B4731D">
        <w:rPr>
          <w:color w:val="5B9BD5" w:themeColor="accent1"/>
        </w:rPr>
        <w:t xml:space="preserve">, N., </w:t>
      </w:r>
      <w:proofErr w:type="spellStart"/>
      <w:r w:rsidRPr="00B4731D">
        <w:rPr>
          <w:color w:val="5B9BD5" w:themeColor="accent1"/>
        </w:rPr>
        <w:t>Sani</w:t>
      </w:r>
      <w:proofErr w:type="spellEnd"/>
      <w:r w:rsidRPr="00B4731D">
        <w:rPr>
          <w:color w:val="5B9BD5" w:themeColor="accent1"/>
        </w:rPr>
        <w:t xml:space="preserve">, N. A., Godwin, E. A., </w:t>
      </w:r>
      <w:proofErr w:type="spellStart"/>
      <w:r w:rsidRPr="00B4731D">
        <w:rPr>
          <w:color w:val="5B9BD5" w:themeColor="accent1"/>
        </w:rPr>
        <w:t>Okolo</w:t>
      </w:r>
      <w:proofErr w:type="spellEnd"/>
      <w:r w:rsidRPr="00B4731D">
        <w:rPr>
          <w:color w:val="5B9BD5" w:themeColor="accent1"/>
        </w:rPr>
        <w:t xml:space="preserve">, E. C., &amp; </w:t>
      </w:r>
      <w:proofErr w:type="spellStart"/>
      <w:r w:rsidRPr="00B4731D">
        <w:rPr>
          <w:color w:val="5B9BD5" w:themeColor="accent1"/>
        </w:rPr>
        <w:t>Adamu</w:t>
      </w:r>
      <w:proofErr w:type="spellEnd"/>
      <w:r w:rsidRPr="00B4731D">
        <w:rPr>
          <w:color w:val="5B9BD5" w:themeColor="accent1"/>
        </w:rPr>
        <w:t xml:space="preserve">, A. M. (2024). </w:t>
      </w:r>
    </w:p>
    <w:p w:rsidR="00AA3F29" w:rsidRPr="00B4731D" w:rsidRDefault="00A261BE" w:rsidP="00AA3F29">
      <w:pPr>
        <w:ind w:firstLine="720"/>
        <w:jc w:val="both"/>
        <w:rPr>
          <w:color w:val="5B9BD5" w:themeColor="accent1"/>
        </w:rPr>
      </w:pPr>
      <w:r w:rsidRPr="00B4731D">
        <w:rPr>
          <w:color w:val="5B9BD5" w:themeColor="accent1"/>
        </w:rPr>
        <w:t xml:space="preserve">Household solid wastes: Collection and disposal methods in Abuja Municipal Area </w:t>
      </w:r>
    </w:p>
    <w:p w:rsidR="00A261BE" w:rsidRPr="00B4731D" w:rsidRDefault="00A261BE" w:rsidP="00AA3F29">
      <w:pPr>
        <w:ind w:firstLine="720"/>
        <w:jc w:val="both"/>
        <w:rPr>
          <w:color w:val="5B9BD5" w:themeColor="accent1"/>
        </w:rPr>
      </w:pPr>
      <w:r w:rsidRPr="00B4731D">
        <w:rPr>
          <w:color w:val="5B9BD5" w:themeColor="accent1"/>
        </w:rPr>
        <w:t xml:space="preserve">Council (AMAC), Nigeria. </w:t>
      </w:r>
      <w:r w:rsidRPr="00B4731D">
        <w:rPr>
          <w:i/>
          <w:iCs/>
          <w:color w:val="5B9BD5" w:themeColor="accent1"/>
        </w:rPr>
        <w:t>Journal of Environmental and Public Health</w:t>
      </w:r>
      <w:r w:rsidRPr="00B4731D">
        <w:rPr>
          <w:color w:val="5B9BD5" w:themeColor="accent1"/>
        </w:rPr>
        <w:t xml:space="preserve">, 5(1), 17–26. </w:t>
      </w:r>
    </w:p>
    <w:p w:rsidR="00AA3F29" w:rsidRPr="00B4731D" w:rsidRDefault="00A261BE" w:rsidP="00AA3F29">
      <w:pPr>
        <w:jc w:val="both"/>
        <w:rPr>
          <w:color w:val="5B9BD5" w:themeColor="accent1"/>
        </w:rPr>
      </w:pPr>
      <w:proofErr w:type="spellStart"/>
      <w:r w:rsidRPr="00B4731D">
        <w:rPr>
          <w:color w:val="5B9BD5" w:themeColor="accent1"/>
        </w:rPr>
        <w:t>Aderoju</w:t>
      </w:r>
      <w:proofErr w:type="spellEnd"/>
      <w:r w:rsidRPr="00B4731D">
        <w:rPr>
          <w:color w:val="5B9BD5" w:themeColor="accent1"/>
        </w:rPr>
        <w:t xml:space="preserve">, O. M., &amp; Dias, A. G. (2020). Municipal solid waste characterization as a measure towards </w:t>
      </w:r>
    </w:p>
    <w:p w:rsidR="00AA3F29" w:rsidRPr="00B4731D" w:rsidRDefault="00A261BE" w:rsidP="00AA3F29">
      <w:pPr>
        <w:ind w:firstLine="720"/>
        <w:jc w:val="both"/>
        <w:rPr>
          <w:i/>
          <w:iCs/>
          <w:color w:val="5B9BD5" w:themeColor="accent1"/>
        </w:rPr>
      </w:pPr>
      <w:proofErr w:type="gramStart"/>
      <w:r w:rsidRPr="00B4731D">
        <w:rPr>
          <w:color w:val="5B9BD5" w:themeColor="accent1"/>
        </w:rPr>
        <w:t>sustainable</w:t>
      </w:r>
      <w:proofErr w:type="gramEnd"/>
      <w:r w:rsidRPr="00B4731D">
        <w:rPr>
          <w:color w:val="5B9BD5" w:themeColor="accent1"/>
        </w:rPr>
        <w:t xml:space="preserve"> waste management in Abuja, Nigeria. </w:t>
      </w:r>
      <w:r w:rsidRPr="00B4731D">
        <w:rPr>
          <w:i/>
          <w:iCs/>
          <w:color w:val="5B9BD5" w:themeColor="accent1"/>
        </w:rPr>
        <w:t xml:space="preserve">Journal of Environmental Science and </w:t>
      </w:r>
    </w:p>
    <w:p w:rsidR="00A261BE" w:rsidRPr="00B4731D" w:rsidRDefault="00A261BE" w:rsidP="00AA3F29">
      <w:pPr>
        <w:ind w:left="720" w:firstLine="720"/>
        <w:jc w:val="both"/>
        <w:rPr>
          <w:color w:val="5B9BD5" w:themeColor="accent1"/>
        </w:rPr>
      </w:pPr>
      <w:r w:rsidRPr="00B4731D">
        <w:rPr>
          <w:i/>
          <w:iCs/>
          <w:color w:val="5B9BD5" w:themeColor="accent1"/>
        </w:rPr>
        <w:t>Public Health</w:t>
      </w:r>
      <w:r w:rsidRPr="00B4731D">
        <w:rPr>
          <w:color w:val="5B9BD5" w:themeColor="accent1"/>
        </w:rPr>
        <w:t xml:space="preserve">, 4(2), 43–60. </w:t>
      </w:r>
    </w:p>
    <w:p w:rsidR="007646A2" w:rsidRDefault="00BC25F5" w:rsidP="007646A2">
      <w:pPr>
        <w:jc w:val="both"/>
      </w:pPr>
      <w:proofErr w:type="spellStart"/>
      <w:r>
        <w:t>Akoni</w:t>
      </w:r>
      <w:proofErr w:type="spellEnd"/>
      <w:r>
        <w:t xml:space="preserve">, J. (2020). Municipal solid waste management in Abuja [Internal departmental evaluation]. </w:t>
      </w:r>
    </w:p>
    <w:p w:rsidR="003C296D" w:rsidRDefault="00BC25F5" w:rsidP="007646A2">
      <w:pPr>
        <w:ind w:firstLine="720"/>
        <w:jc w:val="both"/>
      </w:pPr>
      <w:r>
        <w:t>Abuja Environmental Protection Board.</w:t>
      </w:r>
    </w:p>
    <w:p w:rsidR="007646A2" w:rsidRDefault="00BC25F5" w:rsidP="007646A2">
      <w:pPr>
        <w:jc w:val="both"/>
      </w:pPr>
      <w:proofErr w:type="spellStart"/>
      <w:r>
        <w:t>Aminu</w:t>
      </w:r>
      <w:proofErr w:type="spellEnd"/>
      <w:r>
        <w:t xml:space="preserve">, M., </w:t>
      </w:r>
      <w:proofErr w:type="spellStart"/>
      <w:r>
        <w:t>Abd</w:t>
      </w:r>
      <w:proofErr w:type="spellEnd"/>
      <w:r>
        <w:t xml:space="preserve"> </w:t>
      </w:r>
      <w:proofErr w:type="spellStart"/>
      <w:r>
        <w:t>Manaf</w:t>
      </w:r>
      <w:proofErr w:type="spellEnd"/>
      <w:r>
        <w:t xml:space="preserve">, L., </w:t>
      </w:r>
      <w:proofErr w:type="spellStart"/>
      <w:r>
        <w:t>Sharaai</w:t>
      </w:r>
      <w:proofErr w:type="spellEnd"/>
      <w:r>
        <w:t xml:space="preserve">, A. H., &amp; </w:t>
      </w:r>
      <w:proofErr w:type="spellStart"/>
      <w:r>
        <w:t>Zainordin</w:t>
      </w:r>
      <w:proofErr w:type="spellEnd"/>
      <w:r>
        <w:t xml:space="preserve">, N. S. (2022). Solid waste collection </w:t>
      </w:r>
    </w:p>
    <w:p w:rsidR="007646A2" w:rsidRDefault="00BC25F5" w:rsidP="007646A2">
      <w:pPr>
        <w:ind w:firstLine="720"/>
        <w:jc w:val="both"/>
        <w:rPr>
          <w:i/>
        </w:rPr>
      </w:pPr>
      <w:proofErr w:type="gramStart"/>
      <w:r>
        <w:t>service</w:t>
      </w:r>
      <w:proofErr w:type="gramEnd"/>
      <w:r>
        <w:t xml:space="preserve"> satisfaction in non-service area of </w:t>
      </w:r>
      <w:proofErr w:type="spellStart"/>
      <w:r>
        <w:t>Jigawa</w:t>
      </w:r>
      <w:proofErr w:type="spellEnd"/>
      <w:r>
        <w:t xml:space="preserve"> State, Nigeria. </w:t>
      </w:r>
      <w:r w:rsidRPr="002B447E">
        <w:rPr>
          <w:i/>
        </w:rPr>
        <w:t xml:space="preserve">Journal of Environmental </w:t>
      </w:r>
    </w:p>
    <w:p w:rsidR="003C296D" w:rsidRDefault="00BC25F5" w:rsidP="007646A2">
      <w:pPr>
        <w:ind w:left="720"/>
        <w:jc w:val="both"/>
      </w:pPr>
      <w:r w:rsidRPr="002B447E">
        <w:rPr>
          <w:i/>
        </w:rPr>
        <w:t xml:space="preserve">Management and Tourism, 13(5), </w:t>
      </w:r>
      <w:r>
        <w:t>1407–1415.</w:t>
      </w:r>
    </w:p>
    <w:p w:rsidR="007646A2" w:rsidRDefault="00BC25F5" w:rsidP="007646A2">
      <w:pPr>
        <w:jc w:val="both"/>
      </w:pPr>
      <w:r>
        <w:t xml:space="preserve">Bertram, I., </w:t>
      </w:r>
      <w:proofErr w:type="spellStart"/>
      <w:r>
        <w:t>Bouwman</w:t>
      </w:r>
      <w:proofErr w:type="spellEnd"/>
      <w:r>
        <w:t xml:space="preserve">, R., &amp; </w:t>
      </w:r>
      <w:proofErr w:type="spellStart"/>
      <w:r>
        <w:t>Tummers</w:t>
      </w:r>
      <w:proofErr w:type="spellEnd"/>
      <w:r>
        <w:t xml:space="preserve">, L. (2024). Getting what you expect: How civil servant </w:t>
      </w:r>
    </w:p>
    <w:p w:rsidR="003C296D" w:rsidRDefault="00BC25F5" w:rsidP="007646A2">
      <w:pPr>
        <w:ind w:left="720"/>
        <w:jc w:val="both"/>
      </w:pPr>
      <w:proofErr w:type="gramStart"/>
      <w:r>
        <w:t>stereotypes</w:t>
      </w:r>
      <w:proofErr w:type="gramEnd"/>
      <w:r>
        <w:t xml:space="preserve"> affect citizen satisfaction and perceived performance. Public Administration, 102(4), 1468–1491. https://doi.org/10.1111/padm.12948</w:t>
      </w:r>
    </w:p>
    <w:p w:rsidR="007646A2" w:rsidRDefault="00BC25F5" w:rsidP="007646A2">
      <w:pPr>
        <w:jc w:val="both"/>
      </w:pPr>
      <w:proofErr w:type="spellStart"/>
      <w:r>
        <w:t>Bhuian</w:t>
      </w:r>
      <w:proofErr w:type="spellEnd"/>
      <w:r>
        <w:t xml:space="preserve">, S. N. (2021). Service quality, consumer satisfaction and </w:t>
      </w:r>
      <w:proofErr w:type="spellStart"/>
      <w:r>
        <w:t>behavioural</w:t>
      </w:r>
      <w:proofErr w:type="spellEnd"/>
      <w:r>
        <w:t xml:space="preserve"> intention in public </w:t>
      </w:r>
    </w:p>
    <w:p w:rsidR="007646A2" w:rsidRDefault="00BC25F5" w:rsidP="007646A2">
      <w:pPr>
        <w:ind w:firstLine="720"/>
        <w:jc w:val="both"/>
      </w:pPr>
      <w:proofErr w:type="gramStart"/>
      <w:r>
        <w:t>sector</w:t>
      </w:r>
      <w:proofErr w:type="gramEnd"/>
      <w:r>
        <w:t xml:space="preserve"> services. </w:t>
      </w:r>
      <w:r w:rsidRPr="002B447E">
        <w:rPr>
          <w:i/>
        </w:rPr>
        <w:t>International Journal of Quality and Reliability Management, 38(6),</w:t>
      </w:r>
      <w:r>
        <w:t xml:space="preserve"> 1345–</w:t>
      </w:r>
    </w:p>
    <w:p w:rsidR="003C296D" w:rsidRDefault="00BC25F5" w:rsidP="007646A2">
      <w:pPr>
        <w:ind w:firstLine="720"/>
        <w:jc w:val="both"/>
      </w:pPr>
      <w:r>
        <w:t>1370.</w:t>
      </w:r>
    </w:p>
    <w:p w:rsidR="007646A2" w:rsidRDefault="00BC25F5" w:rsidP="007646A2">
      <w:pPr>
        <w:jc w:val="both"/>
      </w:pPr>
      <w:proofErr w:type="spellStart"/>
      <w:r>
        <w:t>Eshiett</w:t>
      </w:r>
      <w:proofErr w:type="spellEnd"/>
      <w:r>
        <w:t xml:space="preserve">, M. U., &amp; </w:t>
      </w:r>
      <w:proofErr w:type="spellStart"/>
      <w:r>
        <w:t>Eshiett</w:t>
      </w:r>
      <w:proofErr w:type="spellEnd"/>
      <w:r>
        <w:t xml:space="preserve">, I. T. (2024). Residents' perceptions and satisfaction with solid waste </w:t>
      </w:r>
    </w:p>
    <w:p w:rsidR="007646A2" w:rsidRDefault="00BC25F5" w:rsidP="007646A2">
      <w:pPr>
        <w:ind w:firstLine="720"/>
        <w:jc w:val="both"/>
        <w:rPr>
          <w:i/>
        </w:rPr>
      </w:pPr>
      <w:proofErr w:type="gramStart"/>
      <w:r>
        <w:t>management</w:t>
      </w:r>
      <w:proofErr w:type="gramEnd"/>
      <w:r>
        <w:t xml:space="preserve"> in Nigeria: An empirical review. </w:t>
      </w:r>
      <w:r w:rsidRPr="002B447E">
        <w:rPr>
          <w:i/>
        </w:rPr>
        <w:t xml:space="preserve">Journal of Urban and Environmental </w:t>
      </w:r>
    </w:p>
    <w:p w:rsidR="003C296D" w:rsidRDefault="00BC25F5" w:rsidP="007646A2">
      <w:pPr>
        <w:ind w:firstLine="720"/>
        <w:jc w:val="both"/>
      </w:pPr>
      <w:r w:rsidRPr="002B447E">
        <w:rPr>
          <w:i/>
        </w:rPr>
        <w:t>Engineering, 18(1)</w:t>
      </w:r>
      <w:r>
        <w:t>, 22–35.</w:t>
      </w:r>
    </w:p>
    <w:p w:rsidR="007646A2" w:rsidRDefault="00BC25F5" w:rsidP="007646A2">
      <w:pPr>
        <w:jc w:val="both"/>
      </w:pPr>
      <w:proofErr w:type="spellStart"/>
      <w:r>
        <w:t>Etim</w:t>
      </w:r>
      <w:proofErr w:type="spellEnd"/>
      <w:r>
        <w:t xml:space="preserve">, O., </w:t>
      </w:r>
      <w:proofErr w:type="spellStart"/>
      <w:r>
        <w:t>Afolabi</w:t>
      </w:r>
      <w:proofErr w:type="spellEnd"/>
      <w:r>
        <w:t xml:space="preserve">, O., &amp; </w:t>
      </w:r>
      <w:proofErr w:type="spellStart"/>
      <w:r>
        <w:t>Nwosu</w:t>
      </w:r>
      <w:proofErr w:type="spellEnd"/>
      <w:r>
        <w:t xml:space="preserve">, K. (2024). Public awareness campaigns and waste management </w:t>
      </w:r>
    </w:p>
    <w:p w:rsidR="003C296D" w:rsidRDefault="00BC25F5" w:rsidP="007646A2">
      <w:pPr>
        <w:ind w:firstLine="720"/>
        <w:jc w:val="both"/>
      </w:pPr>
      <w:proofErr w:type="gramStart"/>
      <w:r>
        <w:t>behavioral</w:t>
      </w:r>
      <w:proofErr w:type="gramEnd"/>
      <w:r>
        <w:t xml:space="preserve"> change in Nigerian urban </w:t>
      </w:r>
      <w:proofErr w:type="spellStart"/>
      <w:r>
        <w:t>centres</w:t>
      </w:r>
      <w:proofErr w:type="spellEnd"/>
      <w:r>
        <w:t xml:space="preserve">. </w:t>
      </w:r>
      <w:r w:rsidRPr="002B447E">
        <w:rPr>
          <w:i/>
        </w:rPr>
        <w:t>Environment and Behavior, 56(3)</w:t>
      </w:r>
      <w:r>
        <w:t>, 211–234.</w:t>
      </w:r>
    </w:p>
    <w:p w:rsidR="007646A2" w:rsidRDefault="00BC25F5" w:rsidP="007646A2">
      <w:pPr>
        <w:jc w:val="both"/>
      </w:pPr>
      <w:proofErr w:type="spellStart"/>
      <w:r>
        <w:t>Ezeudu</w:t>
      </w:r>
      <w:proofErr w:type="spellEnd"/>
      <w:r>
        <w:t xml:space="preserve">, O. B., &amp; </w:t>
      </w:r>
      <w:proofErr w:type="spellStart"/>
      <w:r>
        <w:t>Ugochukwu</w:t>
      </w:r>
      <w:proofErr w:type="spellEnd"/>
      <w:r>
        <w:t xml:space="preserve">, U. C. (2024). Governance gaps in municipal solid waste </w:t>
      </w:r>
    </w:p>
    <w:p w:rsidR="007646A2" w:rsidRDefault="00BC25F5" w:rsidP="007646A2">
      <w:pPr>
        <w:ind w:firstLine="720"/>
        <w:jc w:val="both"/>
      </w:pPr>
      <w:proofErr w:type="gramStart"/>
      <w:r>
        <w:t>management</w:t>
      </w:r>
      <w:proofErr w:type="gramEnd"/>
      <w:r>
        <w:t xml:space="preserve"> in Nigeria: A systematic review. </w:t>
      </w:r>
      <w:r w:rsidRPr="002B447E">
        <w:rPr>
          <w:i/>
        </w:rPr>
        <w:t>Waste Management and Research, 42(2),</w:t>
      </w:r>
      <w:r>
        <w:t xml:space="preserve"> </w:t>
      </w:r>
    </w:p>
    <w:p w:rsidR="003C296D" w:rsidRDefault="00BC25F5" w:rsidP="007646A2">
      <w:pPr>
        <w:ind w:firstLine="720"/>
        <w:jc w:val="both"/>
      </w:pPr>
      <w:r>
        <w:t>102–118.</w:t>
      </w:r>
    </w:p>
    <w:p w:rsidR="007646A2" w:rsidRDefault="00BC25F5" w:rsidP="007646A2">
      <w:pPr>
        <w:jc w:val="both"/>
      </w:pPr>
      <w:proofErr w:type="spellStart"/>
      <w:r>
        <w:t>Heo</w:t>
      </w:r>
      <w:proofErr w:type="spellEnd"/>
      <w:r>
        <w:t xml:space="preserve">, J., Kim, J., &amp; Lee, J. (2022). Framework for assessing public perception of municipal waste </w:t>
      </w:r>
    </w:p>
    <w:p w:rsidR="003C296D" w:rsidRDefault="00BC25F5" w:rsidP="007646A2">
      <w:pPr>
        <w:ind w:firstLine="720"/>
        <w:jc w:val="both"/>
      </w:pPr>
      <w:proofErr w:type="gramStart"/>
      <w:r>
        <w:t>services</w:t>
      </w:r>
      <w:proofErr w:type="gramEnd"/>
      <w:r>
        <w:t xml:space="preserve"> using </w:t>
      </w:r>
      <w:proofErr w:type="spellStart"/>
      <w:r>
        <w:t>Likert</w:t>
      </w:r>
      <w:proofErr w:type="spellEnd"/>
      <w:r>
        <w:t>-scale mean benchmarks. Sustainability, 14(3), 1420.</w:t>
      </w:r>
    </w:p>
    <w:p w:rsidR="007646A2" w:rsidRDefault="00BC25F5" w:rsidP="007646A2">
      <w:pPr>
        <w:jc w:val="both"/>
      </w:pPr>
      <w:proofErr w:type="spellStart"/>
      <w:r>
        <w:lastRenderedPageBreak/>
        <w:t>Igbinomwanhia</w:t>
      </w:r>
      <w:proofErr w:type="spellEnd"/>
      <w:r>
        <w:t xml:space="preserve">, D. I. (2011). Status of waste management. In T. O. </w:t>
      </w:r>
      <w:proofErr w:type="spellStart"/>
      <w:r>
        <w:t>Iyagba</w:t>
      </w:r>
      <w:proofErr w:type="spellEnd"/>
      <w:r>
        <w:t xml:space="preserve"> (Ed.), </w:t>
      </w:r>
      <w:proofErr w:type="gramStart"/>
      <w:r>
        <w:t>Relevant</w:t>
      </w:r>
      <w:proofErr w:type="gramEnd"/>
      <w:r>
        <w:t xml:space="preserve"> topics </w:t>
      </w:r>
    </w:p>
    <w:p w:rsidR="003C296D" w:rsidRDefault="00BC25F5" w:rsidP="007646A2">
      <w:pPr>
        <w:ind w:firstLine="720"/>
        <w:jc w:val="both"/>
      </w:pPr>
      <w:proofErr w:type="gramStart"/>
      <w:r>
        <w:t>in</w:t>
      </w:r>
      <w:proofErr w:type="gramEnd"/>
      <w:r>
        <w:t xml:space="preserve"> the built environment. Faculty of Environmental Sciences, University of Benin.</w:t>
      </w:r>
    </w:p>
    <w:p w:rsidR="007646A2" w:rsidRDefault="00BC25F5" w:rsidP="007646A2">
      <w:pPr>
        <w:jc w:val="both"/>
      </w:pPr>
      <w:proofErr w:type="spellStart"/>
      <w:r>
        <w:t>Ikiriko</w:t>
      </w:r>
      <w:proofErr w:type="spellEnd"/>
      <w:r>
        <w:t xml:space="preserve">, S. O., </w:t>
      </w:r>
      <w:proofErr w:type="spellStart"/>
      <w:r>
        <w:t>Ogoro</w:t>
      </w:r>
      <w:proofErr w:type="spellEnd"/>
      <w:r>
        <w:t xml:space="preserve">, M., &amp; Thompson, J. (2023). Waste collection efficiency and residents' </w:t>
      </w:r>
    </w:p>
    <w:p w:rsidR="007646A2" w:rsidRDefault="00BC25F5" w:rsidP="007646A2">
      <w:pPr>
        <w:ind w:firstLine="720"/>
        <w:jc w:val="both"/>
        <w:rPr>
          <w:i/>
        </w:rPr>
      </w:pPr>
      <w:proofErr w:type="gramStart"/>
      <w:r>
        <w:t>satisfaction</w:t>
      </w:r>
      <w:proofErr w:type="gramEnd"/>
      <w:r>
        <w:t>: Evidence from Nigerian urban municipalities.</w:t>
      </w:r>
      <w:r w:rsidRPr="002B447E">
        <w:rPr>
          <w:i/>
        </w:rPr>
        <w:t xml:space="preserve"> African Journal of </w:t>
      </w:r>
    </w:p>
    <w:p w:rsidR="003C296D" w:rsidRDefault="00BC25F5" w:rsidP="007646A2">
      <w:pPr>
        <w:ind w:firstLine="720"/>
        <w:jc w:val="both"/>
      </w:pPr>
      <w:r w:rsidRPr="002B447E">
        <w:rPr>
          <w:i/>
        </w:rPr>
        <w:t>Environmental Science and Technology, 17(4),</w:t>
      </w:r>
      <w:r>
        <w:t xml:space="preserve"> 87–101.</w:t>
      </w:r>
    </w:p>
    <w:p w:rsidR="00A261BE" w:rsidRPr="00B4731D" w:rsidRDefault="00A261BE" w:rsidP="00A261BE">
      <w:pPr>
        <w:jc w:val="both"/>
        <w:rPr>
          <w:color w:val="5B9BD5" w:themeColor="accent1"/>
        </w:rPr>
      </w:pPr>
      <w:proofErr w:type="spellStart"/>
      <w:r w:rsidRPr="00B4731D">
        <w:rPr>
          <w:color w:val="5B9BD5" w:themeColor="accent1"/>
        </w:rPr>
        <w:t>Irikefe</w:t>
      </w:r>
      <w:proofErr w:type="spellEnd"/>
      <w:r w:rsidRPr="00B4731D">
        <w:rPr>
          <w:color w:val="5B9BD5" w:themeColor="accent1"/>
        </w:rPr>
        <w:t xml:space="preserve">, C. A., </w:t>
      </w:r>
      <w:proofErr w:type="spellStart"/>
      <w:r w:rsidRPr="00B4731D">
        <w:rPr>
          <w:color w:val="5B9BD5" w:themeColor="accent1"/>
        </w:rPr>
        <w:t>Ndie</w:t>
      </w:r>
      <w:proofErr w:type="spellEnd"/>
      <w:r w:rsidRPr="00B4731D">
        <w:rPr>
          <w:color w:val="5B9BD5" w:themeColor="accent1"/>
        </w:rPr>
        <w:t xml:space="preserve">, E. C., &amp; </w:t>
      </w:r>
      <w:proofErr w:type="spellStart"/>
      <w:r w:rsidRPr="00B4731D">
        <w:rPr>
          <w:color w:val="5B9BD5" w:themeColor="accent1"/>
        </w:rPr>
        <w:t>Eze</w:t>
      </w:r>
      <w:proofErr w:type="spellEnd"/>
      <w:r w:rsidRPr="00B4731D">
        <w:rPr>
          <w:color w:val="5B9BD5" w:themeColor="accent1"/>
        </w:rPr>
        <w:t xml:space="preserve">, U. E. (2024). Attitudes and practice of solid waste management </w:t>
      </w:r>
    </w:p>
    <w:p w:rsidR="00A261BE" w:rsidRPr="00B4731D" w:rsidRDefault="00A261BE" w:rsidP="00A261BE">
      <w:pPr>
        <w:ind w:firstLine="720"/>
        <w:jc w:val="both"/>
        <w:rPr>
          <w:i/>
          <w:iCs/>
          <w:color w:val="5B9BD5" w:themeColor="accent1"/>
        </w:rPr>
      </w:pPr>
      <w:proofErr w:type="gramStart"/>
      <w:r w:rsidRPr="00B4731D">
        <w:rPr>
          <w:color w:val="5B9BD5" w:themeColor="accent1"/>
        </w:rPr>
        <w:t>among</w:t>
      </w:r>
      <w:proofErr w:type="gramEnd"/>
      <w:r w:rsidRPr="00B4731D">
        <w:rPr>
          <w:color w:val="5B9BD5" w:themeColor="accent1"/>
        </w:rPr>
        <w:t xml:space="preserve"> residents of Federal Capital Territory Municipal Council, Nigeria. </w:t>
      </w:r>
      <w:r w:rsidRPr="00B4731D">
        <w:rPr>
          <w:i/>
          <w:iCs/>
          <w:color w:val="5B9BD5" w:themeColor="accent1"/>
        </w:rPr>
        <w:t xml:space="preserve">The Nursing </w:t>
      </w:r>
    </w:p>
    <w:p w:rsidR="00A261BE" w:rsidRPr="00B4731D" w:rsidRDefault="00A261BE" w:rsidP="00A261BE">
      <w:pPr>
        <w:ind w:firstLine="720"/>
        <w:jc w:val="both"/>
        <w:rPr>
          <w:color w:val="5B9BD5" w:themeColor="accent1"/>
        </w:rPr>
      </w:pPr>
      <w:r w:rsidRPr="00B4731D">
        <w:rPr>
          <w:i/>
          <w:iCs/>
          <w:color w:val="5B9BD5" w:themeColor="accent1"/>
        </w:rPr>
        <w:t>Scope Journal</w:t>
      </w:r>
      <w:r w:rsidRPr="00B4731D">
        <w:rPr>
          <w:color w:val="5B9BD5" w:themeColor="accent1"/>
        </w:rPr>
        <w:t>, 7(1), 26–35.</w:t>
      </w:r>
    </w:p>
    <w:p w:rsidR="006F7C3D" w:rsidRDefault="00BC25F5" w:rsidP="006F7C3D">
      <w:pPr>
        <w:jc w:val="both"/>
      </w:pPr>
      <w:proofErr w:type="spellStart"/>
      <w:r>
        <w:t>Irowarisima</w:t>
      </w:r>
      <w:proofErr w:type="spellEnd"/>
      <w:r>
        <w:t xml:space="preserve">, T. (2023). Evaluating service coverage and satisfaction with solid waste management </w:t>
      </w:r>
    </w:p>
    <w:p w:rsidR="003C296D" w:rsidRDefault="00BC25F5" w:rsidP="006F7C3D">
      <w:pPr>
        <w:ind w:firstLine="720"/>
        <w:jc w:val="both"/>
      </w:pPr>
      <w:proofErr w:type="gramStart"/>
      <w:r>
        <w:t>in</w:t>
      </w:r>
      <w:proofErr w:type="gramEnd"/>
      <w:r>
        <w:t xml:space="preserve"> </w:t>
      </w:r>
      <w:proofErr w:type="spellStart"/>
      <w:r>
        <w:t>peri</w:t>
      </w:r>
      <w:proofErr w:type="spellEnd"/>
      <w:r>
        <w:t xml:space="preserve">-urban Nigeria. </w:t>
      </w:r>
      <w:r w:rsidRPr="005D09A8">
        <w:rPr>
          <w:i/>
        </w:rPr>
        <w:t>Journal of Sustainable Development, 16(1),</w:t>
      </w:r>
      <w:r>
        <w:t xml:space="preserve"> 53–69.</w:t>
      </w:r>
    </w:p>
    <w:p w:rsidR="006F7C3D" w:rsidRDefault="00BC25F5" w:rsidP="006F7C3D">
      <w:pPr>
        <w:jc w:val="both"/>
      </w:pPr>
      <w:proofErr w:type="spellStart"/>
      <w:r>
        <w:t>Jalil</w:t>
      </w:r>
      <w:proofErr w:type="spellEnd"/>
      <w:r>
        <w:t xml:space="preserve">, A. (2010). Sustainable development in Malaysia: A case study on household waste </w:t>
      </w:r>
    </w:p>
    <w:p w:rsidR="003C296D" w:rsidRDefault="00BC25F5" w:rsidP="006F7C3D">
      <w:pPr>
        <w:ind w:firstLine="720"/>
        <w:jc w:val="both"/>
      </w:pPr>
      <w:proofErr w:type="gramStart"/>
      <w:r>
        <w:t>management</w:t>
      </w:r>
      <w:proofErr w:type="gramEnd"/>
      <w:r>
        <w:t>.</w:t>
      </w:r>
      <w:r w:rsidRPr="005D09A8">
        <w:rPr>
          <w:i/>
        </w:rPr>
        <w:t xml:space="preserve"> Journal of Sustainable Development, 3(3)</w:t>
      </w:r>
      <w:r>
        <w:t>, 91–102.</w:t>
      </w:r>
    </w:p>
    <w:p w:rsidR="006F7C3D" w:rsidRDefault="00BC25F5" w:rsidP="006F7C3D">
      <w:pPr>
        <w:jc w:val="both"/>
      </w:pPr>
      <w:r>
        <w:t xml:space="preserve">Jenkins, R. (2020). Measuring public service satisfaction in developing country contexts: </w:t>
      </w:r>
    </w:p>
    <w:p w:rsidR="003C296D" w:rsidRDefault="00BC25F5" w:rsidP="006F7C3D">
      <w:pPr>
        <w:ind w:firstLine="720"/>
        <w:jc w:val="both"/>
      </w:pPr>
      <w:r>
        <w:t xml:space="preserve">Methodological guidelines. </w:t>
      </w:r>
      <w:r w:rsidRPr="005D09A8">
        <w:rPr>
          <w:i/>
        </w:rPr>
        <w:t>Development Policy Review, 38(4),</w:t>
      </w:r>
      <w:r>
        <w:t xml:space="preserve"> 456–471.</w:t>
      </w:r>
    </w:p>
    <w:p w:rsidR="00AA3F29" w:rsidRPr="00B4731D" w:rsidRDefault="00A261BE" w:rsidP="00A261BE">
      <w:pPr>
        <w:jc w:val="both"/>
        <w:rPr>
          <w:color w:val="5B9BD5" w:themeColor="accent1"/>
        </w:rPr>
      </w:pPr>
      <w:r w:rsidRPr="00B4731D">
        <w:rPr>
          <w:color w:val="5B9BD5" w:themeColor="accent1"/>
        </w:rPr>
        <w:t xml:space="preserve">Joseph, F. G., </w:t>
      </w:r>
      <w:proofErr w:type="spellStart"/>
      <w:r w:rsidRPr="00B4731D">
        <w:rPr>
          <w:color w:val="5B9BD5" w:themeColor="accent1"/>
        </w:rPr>
        <w:t>Folorunsho</w:t>
      </w:r>
      <w:proofErr w:type="spellEnd"/>
      <w:r w:rsidRPr="00B4731D">
        <w:rPr>
          <w:color w:val="5B9BD5" w:themeColor="accent1"/>
        </w:rPr>
        <w:t xml:space="preserve">, J. O., Yusuf, Y. O., &amp; </w:t>
      </w:r>
      <w:proofErr w:type="spellStart"/>
      <w:r w:rsidRPr="00B4731D">
        <w:rPr>
          <w:color w:val="5B9BD5" w:themeColor="accent1"/>
        </w:rPr>
        <w:t>Aruya</w:t>
      </w:r>
      <w:proofErr w:type="spellEnd"/>
      <w:r w:rsidRPr="00B4731D">
        <w:rPr>
          <w:color w:val="5B9BD5" w:themeColor="accent1"/>
        </w:rPr>
        <w:t xml:space="preserve">, E. I. (2020). Assessment of solid waste </w:t>
      </w:r>
    </w:p>
    <w:p w:rsidR="00AA3F29" w:rsidRPr="00B4731D" w:rsidRDefault="00A261BE" w:rsidP="00AA3F29">
      <w:pPr>
        <w:ind w:firstLine="720"/>
        <w:jc w:val="both"/>
        <w:rPr>
          <w:i/>
          <w:iCs/>
          <w:color w:val="5B9BD5" w:themeColor="accent1"/>
        </w:rPr>
      </w:pPr>
      <w:proofErr w:type="gramStart"/>
      <w:r w:rsidRPr="00B4731D">
        <w:rPr>
          <w:color w:val="5B9BD5" w:themeColor="accent1"/>
        </w:rPr>
        <w:t>management</w:t>
      </w:r>
      <w:proofErr w:type="gramEnd"/>
      <w:r w:rsidRPr="00B4731D">
        <w:rPr>
          <w:color w:val="5B9BD5" w:themeColor="accent1"/>
        </w:rPr>
        <w:t xml:space="preserve"> techniques in </w:t>
      </w:r>
      <w:proofErr w:type="spellStart"/>
      <w:r w:rsidRPr="00B4731D">
        <w:rPr>
          <w:color w:val="5B9BD5" w:themeColor="accent1"/>
        </w:rPr>
        <w:t>Maitama</w:t>
      </w:r>
      <w:proofErr w:type="spellEnd"/>
      <w:r w:rsidRPr="00B4731D">
        <w:rPr>
          <w:color w:val="5B9BD5" w:themeColor="accent1"/>
        </w:rPr>
        <w:t xml:space="preserve">, Abuja, Nigeria. </w:t>
      </w:r>
      <w:r w:rsidRPr="00B4731D">
        <w:rPr>
          <w:i/>
          <w:iCs/>
          <w:color w:val="5B9BD5" w:themeColor="accent1"/>
        </w:rPr>
        <w:t xml:space="preserve">International Journal of Sustainable </w:t>
      </w:r>
    </w:p>
    <w:p w:rsidR="006571C2" w:rsidRPr="00A261BE" w:rsidRDefault="00A261BE" w:rsidP="006571C2">
      <w:pPr>
        <w:ind w:firstLine="720"/>
        <w:jc w:val="both"/>
      </w:pPr>
      <w:r w:rsidRPr="00B4731D">
        <w:rPr>
          <w:i/>
          <w:iCs/>
          <w:color w:val="5B9BD5" w:themeColor="accent1"/>
        </w:rPr>
        <w:t>Development and Planning</w:t>
      </w:r>
      <w:r w:rsidRPr="00B4731D">
        <w:rPr>
          <w:color w:val="5B9BD5" w:themeColor="accent1"/>
        </w:rPr>
        <w:t>, 15(2), 227–233</w:t>
      </w:r>
      <w:r w:rsidRPr="00A261BE">
        <w:t xml:space="preserve">. </w:t>
      </w:r>
      <w:hyperlink r:id="rId5" w:tgtFrame="_new" w:history="1">
        <w:r w:rsidR="006571C2" w:rsidRPr="006571C2">
          <w:rPr>
            <w:rStyle w:val="Hyperlink"/>
          </w:rPr>
          <w:t>https://doi.org/10.18280/ijsdp.150213</w:t>
        </w:r>
      </w:hyperlink>
    </w:p>
    <w:p w:rsidR="006F7C3D" w:rsidRDefault="00BC25F5" w:rsidP="006F7C3D">
      <w:pPr>
        <w:jc w:val="both"/>
      </w:pPr>
      <w:proofErr w:type="spellStart"/>
      <w:r>
        <w:t>Kassah</w:t>
      </w:r>
      <w:proofErr w:type="spellEnd"/>
      <w:r>
        <w:t xml:space="preserve">, A. K. (2020). Urban governance and solid waste management in sub-Saharan Africa. </w:t>
      </w:r>
    </w:p>
    <w:p w:rsidR="003C296D" w:rsidRDefault="00BC25F5" w:rsidP="006F7C3D">
      <w:pPr>
        <w:ind w:firstLine="720"/>
        <w:jc w:val="both"/>
      </w:pPr>
      <w:r w:rsidRPr="005D09A8">
        <w:rPr>
          <w:i/>
        </w:rPr>
        <w:t>International Planning Studies, 25(2),</w:t>
      </w:r>
      <w:r>
        <w:t xml:space="preserve"> 112–128.</w:t>
      </w:r>
    </w:p>
    <w:p w:rsidR="00AA3F29" w:rsidRPr="00B4731D" w:rsidRDefault="00A261BE" w:rsidP="00AA3F29">
      <w:pPr>
        <w:jc w:val="both"/>
        <w:rPr>
          <w:color w:val="5B9BD5" w:themeColor="accent1"/>
        </w:rPr>
      </w:pPr>
      <w:proofErr w:type="spellStart"/>
      <w:r w:rsidRPr="00B4731D">
        <w:rPr>
          <w:color w:val="5B9BD5" w:themeColor="accent1"/>
        </w:rPr>
        <w:t>Olukanni</w:t>
      </w:r>
      <w:proofErr w:type="spellEnd"/>
      <w:r w:rsidRPr="00B4731D">
        <w:rPr>
          <w:color w:val="5B9BD5" w:themeColor="accent1"/>
        </w:rPr>
        <w:t>, D. O., Pius-</w:t>
      </w:r>
      <w:proofErr w:type="spellStart"/>
      <w:r w:rsidRPr="00B4731D">
        <w:rPr>
          <w:color w:val="5B9BD5" w:themeColor="accent1"/>
        </w:rPr>
        <w:t>Imue</w:t>
      </w:r>
      <w:proofErr w:type="spellEnd"/>
      <w:r w:rsidRPr="00B4731D">
        <w:rPr>
          <w:color w:val="5B9BD5" w:themeColor="accent1"/>
        </w:rPr>
        <w:t xml:space="preserve">, F. B., &amp; Joseph, S. O. (2020). Public perception of solid waste </w:t>
      </w:r>
    </w:p>
    <w:p w:rsidR="00A261BE" w:rsidRDefault="00A261BE" w:rsidP="006571C2">
      <w:pPr>
        <w:ind w:left="720"/>
        <w:jc w:val="both"/>
        <w:rPr>
          <w:color w:val="5B9BD5" w:themeColor="accent1"/>
        </w:rPr>
      </w:pPr>
      <w:proofErr w:type="gramStart"/>
      <w:r w:rsidRPr="00B4731D">
        <w:rPr>
          <w:color w:val="5B9BD5" w:themeColor="accent1"/>
        </w:rPr>
        <w:t>management</w:t>
      </w:r>
      <w:proofErr w:type="gramEnd"/>
      <w:r w:rsidRPr="00B4731D">
        <w:rPr>
          <w:color w:val="5B9BD5" w:themeColor="accent1"/>
        </w:rPr>
        <w:t xml:space="preserve"> practices in Nigeria: </w:t>
      </w:r>
      <w:proofErr w:type="spellStart"/>
      <w:r w:rsidRPr="00B4731D">
        <w:rPr>
          <w:color w:val="5B9BD5" w:themeColor="accent1"/>
        </w:rPr>
        <w:t>Ogun</w:t>
      </w:r>
      <w:proofErr w:type="spellEnd"/>
      <w:r w:rsidRPr="00B4731D">
        <w:rPr>
          <w:color w:val="5B9BD5" w:themeColor="accent1"/>
        </w:rPr>
        <w:t xml:space="preserve"> State experience. </w:t>
      </w:r>
      <w:r w:rsidRPr="00B4731D">
        <w:rPr>
          <w:i/>
          <w:iCs/>
          <w:color w:val="5B9BD5" w:themeColor="accent1"/>
        </w:rPr>
        <w:t>Recycling</w:t>
      </w:r>
      <w:r w:rsidRPr="00B4731D">
        <w:rPr>
          <w:color w:val="5B9BD5" w:themeColor="accent1"/>
        </w:rPr>
        <w:t xml:space="preserve">, 5(2), 8. </w:t>
      </w:r>
      <w:r w:rsidR="006571C2" w:rsidRPr="006571C2">
        <w:rPr>
          <w:color w:val="5B9BD5" w:themeColor="accent1"/>
        </w:rPr>
        <w:t>https://doi.org/10.3390/recycling5020008</w:t>
      </w:r>
    </w:p>
    <w:p w:rsidR="006F7C3D" w:rsidRDefault="00BC25F5" w:rsidP="006F7C3D">
      <w:pPr>
        <w:jc w:val="both"/>
      </w:pPr>
      <w:proofErr w:type="spellStart"/>
      <w:r>
        <w:t>Oluwagbayide</w:t>
      </w:r>
      <w:proofErr w:type="spellEnd"/>
      <w:r>
        <w:t xml:space="preserve">, S. D., </w:t>
      </w:r>
      <w:proofErr w:type="spellStart"/>
      <w:r>
        <w:t>Alabi</w:t>
      </w:r>
      <w:proofErr w:type="spellEnd"/>
      <w:r>
        <w:t xml:space="preserve">, O., &amp; </w:t>
      </w:r>
      <w:proofErr w:type="spellStart"/>
      <w:r>
        <w:t>Fashola</w:t>
      </w:r>
      <w:proofErr w:type="spellEnd"/>
      <w:r>
        <w:t xml:space="preserve">, T. (2024). Infrastructure adequacy and waste </w:t>
      </w:r>
    </w:p>
    <w:p w:rsidR="003C296D" w:rsidRDefault="00BC25F5" w:rsidP="006F7C3D">
      <w:pPr>
        <w:ind w:firstLine="720"/>
        <w:jc w:val="both"/>
      </w:pPr>
      <w:proofErr w:type="gramStart"/>
      <w:r>
        <w:t>management</w:t>
      </w:r>
      <w:proofErr w:type="gramEnd"/>
      <w:r>
        <w:t xml:space="preserve"> outcomes in Lagos State, Nigeria. Discovery, 60, e7d1405.</w:t>
      </w:r>
    </w:p>
    <w:p w:rsidR="006F7C3D" w:rsidRDefault="00BC25F5" w:rsidP="006F7C3D">
      <w:pPr>
        <w:jc w:val="both"/>
      </w:pPr>
      <w:proofErr w:type="spellStart"/>
      <w:r>
        <w:t>Onokohwomomo</w:t>
      </w:r>
      <w:proofErr w:type="spellEnd"/>
      <w:r>
        <w:t xml:space="preserve">, J., &amp; </w:t>
      </w:r>
      <w:proofErr w:type="spellStart"/>
      <w:r>
        <w:t>Ekene</w:t>
      </w:r>
      <w:proofErr w:type="spellEnd"/>
      <w:r>
        <w:t>, O. (2023). Environmental degradation and resident dissatisfact</w:t>
      </w:r>
      <w:r w:rsidR="005D09A8">
        <w:t xml:space="preserve">ion </w:t>
      </w:r>
    </w:p>
    <w:p w:rsidR="003C296D" w:rsidRDefault="005D09A8" w:rsidP="006F7C3D">
      <w:pPr>
        <w:ind w:firstLine="720"/>
        <w:jc w:val="both"/>
      </w:pPr>
      <w:proofErr w:type="gramStart"/>
      <w:r>
        <w:t>in</w:t>
      </w:r>
      <w:proofErr w:type="gramEnd"/>
      <w:r>
        <w:t xml:space="preserve"> Nigerian urban contexts.</w:t>
      </w:r>
      <w:r w:rsidR="00BC25F5">
        <w:t>, 44–57.</w:t>
      </w:r>
    </w:p>
    <w:p w:rsidR="006F7C3D" w:rsidRDefault="00BC25F5" w:rsidP="006F7C3D">
      <w:pPr>
        <w:jc w:val="both"/>
      </w:pPr>
      <w:proofErr w:type="spellStart"/>
      <w:r>
        <w:t>Oteng-Ababio</w:t>
      </w:r>
      <w:proofErr w:type="spellEnd"/>
      <w:r>
        <w:t xml:space="preserve">, M. (2011). Missing links in solid waste management in the Greater Accra </w:t>
      </w:r>
    </w:p>
    <w:p w:rsidR="006F7C3D" w:rsidRDefault="00BC25F5" w:rsidP="006F7C3D">
      <w:pPr>
        <w:ind w:firstLine="720"/>
        <w:jc w:val="both"/>
      </w:pPr>
      <w:r>
        <w:t xml:space="preserve">Metropolitan Area in Ghana. </w:t>
      </w:r>
      <w:proofErr w:type="spellStart"/>
      <w:r>
        <w:t>GeoJournal</w:t>
      </w:r>
      <w:proofErr w:type="spellEnd"/>
      <w:r>
        <w:t xml:space="preserve">, 76(4), 551–560. </w:t>
      </w:r>
      <w:hyperlink r:id="rId6" w:history="1">
        <w:r w:rsidR="006F7C3D" w:rsidRPr="00C67A73">
          <w:rPr>
            <w:rStyle w:val="Hyperlink"/>
          </w:rPr>
          <w:t>https://doi.org/10.1007/s10708-</w:t>
        </w:r>
      </w:hyperlink>
    </w:p>
    <w:p w:rsidR="003C296D" w:rsidRDefault="00BC25F5" w:rsidP="006F7C3D">
      <w:pPr>
        <w:ind w:left="720"/>
        <w:jc w:val="both"/>
      </w:pPr>
      <w:r>
        <w:t>009-9339-6</w:t>
      </w:r>
      <w:r w:rsidR="003805AD">
        <w:t>.</w:t>
      </w:r>
    </w:p>
    <w:p w:rsidR="006F7C3D" w:rsidRDefault="00BC25F5" w:rsidP="006F7C3D">
      <w:pPr>
        <w:jc w:val="both"/>
      </w:pPr>
      <w:r>
        <w:t xml:space="preserve">Shah, A. V., Srivastava, V. K., </w:t>
      </w:r>
      <w:proofErr w:type="spellStart"/>
      <w:r>
        <w:t>Moh</w:t>
      </w:r>
      <w:r w:rsidR="003805AD">
        <w:t>anty</w:t>
      </w:r>
      <w:proofErr w:type="spellEnd"/>
      <w:r w:rsidR="003805AD">
        <w:t xml:space="preserve">, S. S., &amp; </w:t>
      </w:r>
      <w:proofErr w:type="spellStart"/>
      <w:r w:rsidR="003805AD">
        <w:t>Varjani</w:t>
      </w:r>
      <w:proofErr w:type="spellEnd"/>
      <w:r w:rsidR="003805AD">
        <w:t>, S. (2021</w:t>
      </w:r>
      <w:r>
        <w:t xml:space="preserve">). Municipal solid waste as a </w:t>
      </w:r>
    </w:p>
    <w:p w:rsidR="003805AD" w:rsidRPr="006571C2" w:rsidRDefault="00BC25F5" w:rsidP="006571C2">
      <w:pPr>
        <w:ind w:left="720"/>
        <w:jc w:val="both"/>
        <w:rPr>
          <w:i/>
        </w:rPr>
      </w:pPr>
      <w:proofErr w:type="gramStart"/>
      <w:r>
        <w:t>sustainable</w:t>
      </w:r>
      <w:proofErr w:type="gramEnd"/>
      <w:r>
        <w:t xml:space="preserve"> resource for energy production: State-of-the-art review. </w:t>
      </w:r>
      <w:r w:rsidRPr="005D09A8">
        <w:rPr>
          <w:i/>
        </w:rPr>
        <w:t xml:space="preserve">Journal </w:t>
      </w:r>
      <w:proofErr w:type="gramStart"/>
      <w:r w:rsidRPr="005D09A8">
        <w:rPr>
          <w:i/>
        </w:rPr>
        <w:t xml:space="preserve">of </w:t>
      </w:r>
      <w:r w:rsidR="006571C2">
        <w:rPr>
          <w:i/>
        </w:rPr>
        <w:t xml:space="preserve"> </w:t>
      </w:r>
      <w:r w:rsidRPr="005D09A8">
        <w:rPr>
          <w:i/>
        </w:rPr>
        <w:t>Environmental</w:t>
      </w:r>
      <w:proofErr w:type="gramEnd"/>
      <w:r w:rsidRPr="005D09A8">
        <w:rPr>
          <w:i/>
        </w:rPr>
        <w:t xml:space="preserve"> Chemical Engineering, 9(4), </w:t>
      </w:r>
      <w:r>
        <w:t>105717.</w:t>
      </w:r>
      <w:r w:rsidR="003805AD">
        <w:t xml:space="preserve"> </w:t>
      </w:r>
      <w:r w:rsidR="003805AD" w:rsidRPr="006571C2">
        <w:rPr>
          <w:color w:val="5B9BD5" w:themeColor="accent1"/>
        </w:rPr>
        <w:t>https://doi.org/10.1016/j.jece.2021.105717</w:t>
      </w:r>
    </w:p>
    <w:p w:rsidR="006F7C3D" w:rsidRDefault="00BC25F5" w:rsidP="006F7C3D">
      <w:pPr>
        <w:jc w:val="both"/>
      </w:pPr>
      <w:proofErr w:type="spellStart"/>
      <w:r>
        <w:t>Voukkali</w:t>
      </w:r>
      <w:proofErr w:type="spellEnd"/>
      <w:r>
        <w:t xml:space="preserve">, I., </w:t>
      </w:r>
      <w:proofErr w:type="spellStart"/>
      <w:r>
        <w:t>Zorpas</w:t>
      </w:r>
      <w:proofErr w:type="spellEnd"/>
      <w:r>
        <w:t>, A. A., Navarro-</w:t>
      </w:r>
      <w:proofErr w:type="spellStart"/>
      <w:r>
        <w:t>Pedreño</w:t>
      </w:r>
      <w:proofErr w:type="spellEnd"/>
      <w:r>
        <w:t xml:space="preserve">, J., &amp; </w:t>
      </w:r>
      <w:proofErr w:type="spellStart"/>
      <w:r>
        <w:t>Loizia</w:t>
      </w:r>
      <w:proofErr w:type="spellEnd"/>
      <w:r>
        <w:t xml:space="preserve">, P. (2024). Urban metabolism and solid </w:t>
      </w:r>
    </w:p>
    <w:p w:rsidR="006F7C3D" w:rsidRDefault="00BC25F5" w:rsidP="006F7C3D">
      <w:pPr>
        <w:ind w:firstLine="720"/>
        <w:jc w:val="both"/>
      </w:pPr>
      <w:proofErr w:type="gramStart"/>
      <w:r>
        <w:t>waste</w:t>
      </w:r>
      <w:proofErr w:type="gramEnd"/>
      <w:r>
        <w:t xml:space="preserve"> management: A systemic review of global strategies. </w:t>
      </w:r>
      <w:r w:rsidRPr="005D09A8">
        <w:rPr>
          <w:i/>
        </w:rPr>
        <w:t>Waste Management, 179,</w:t>
      </w:r>
      <w:r>
        <w:t xml:space="preserve"> 110–</w:t>
      </w:r>
    </w:p>
    <w:p w:rsidR="003C296D" w:rsidRDefault="00BC25F5" w:rsidP="006F7C3D">
      <w:pPr>
        <w:ind w:firstLine="720"/>
        <w:jc w:val="both"/>
      </w:pPr>
      <w:r>
        <w:t>126.</w:t>
      </w:r>
    </w:p>
    <w:p w:rsidR="003C296D" w:rsidRDefault="00BC25F5" w:rsidP="006F7C3D">
      <w:pPr>
        <w:jc w:val="both"/>
      </w:pPr>
      <w:r>
        <w:t xml:space="preserve">Yamane, T. (1967). Statistics: An introductory analysis (2nd </w:t>
      </w:r>
      <w:proofErr w:type="gramStart"/>
      <w:r>
        <w:t>ed</w:t>
      </w:r>
      <w:proofErr w:type="gramEnd"/>
      <w:r>
        <w:t>.). Harper and Row.</w:t>
      </w:r>
    </w:p>
    <w:p w:rsidR="006F7C3D" w:rsidRDefault="00BC25F5" w:rsidP="006F7C3D">
      <w:pPr>
        <w:jc w:val="both"/>
      </w:pPr>
      <w:r>
        <w:t xml:space="preserve">Yusuf, A. A., Bello, M. I., &amp; </w:t>
      </w:r>
      <w:proofErr w:type="spellStart"/>
      <w:r>
        <w:t>Mele</w:t>
      </w:r>
      <w:proofErr w:type="spellEnd"/>
      <w:r>
        <w:t xml:space="preserve">, M. D. (2019). Public satisfaction and solid waste management </w:t>
      </w:r>
    </w:p>
    <w:p w:rsidR="006F7C3D" w:rsidRDefault="00BC25F5" w:rsidP="006F7C3D">
      <w:pPr>
        <w:ind w:firstLine="720"/>
        <w:jc w:val="both"/>
      </w:pPr>
      <w:proofErr w:type="gramStart"/>
      <w:r>
        <w:t>practices</w:t>
      </w:r>
      <w:proofErr w:type="gramEnd"/>
      <w:r>
        <w:t xml:space="preserve"> in Abuja, Nigeria. </w:t>
      </w:r>
      <w:r w:rsidRPr="005D09A8">
        <w:rPr>
          <w:i/>
        </w:rPr>
        <w:t>Environmental Science and Pollution Research, 26(10)</w:t>
      </w:r>
      <w:r>
        <w:t>, 9831–</w:t>
      </w:r>
    </w:p>
    <w:p w:rsidR="003C296D" w:rsidRDefault="00BC25F5" w:rsidP="006F7C3D">
      <w:pPr>
        <w:ind w:firstLine="720"/>
        <w:jc w:val="both"/>
      </w:pPr>
      <w:r>
        <w:t>9843.</w:t>
      </w:r>
    </w:p>
    <w:sectPr w:rsidR="003C296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91B40"/>
    <w:multiLevelType w:val="hybridMultilevel"/>
    <w:tmpl w:val="59D23A4E"/>
    <w:lvl w:ilvl="0" w:tplc="0AEAF69C">
      <w:start w:val="1"/>
      <w:numFmt w:val="bullet"/>
      <w:lvlText w:val="●"/>
      <w:lvlJc w:val="left"/>
      <w:pPr>
        <w:ind w:left="720" w:hanging="360"/>
      </w:pPr>
    </w:lvl>
    <w:lvl w:ilvl="1" w:tplc="8AC2DB42">
      <w:start w:val="1"/>
      <w:numFmt w:val="bullet"/>
      <w:lvlText w:val="○"/>
      <w:lvlJc w:val="left"/>
      <w:pPr>
        <w:ind w:left="1440" w:hanging="360"/>
      </w:pPr>
    </w:lvl>
    <w:lvl w:ilvl="2" w:tplc="32C65796">
      <w:start w:val="1"/>
      <w:numFmt w:val="bullet"/>
      <w:lvlText w:val="■"/>
      <w:lvlJc w:val="left"/>
      <w:pPr>
        <w:ind w:left="2160" w:hanging="360"/>
      </w:pPr>
    </w:lvl>
    <w:lvl w:ilvl="3" w:tplc="68144036">
      <w:start w:val="1"/>
      <w:numFmt w:val="bullet"/>
      <w:lvlText w:val="●"/>
      <w:lvlJc w:val="left"/>
      <w:pPr>
        <w:ind w:left="2880" w:hanging="360"/>
      </w:pPr>
    </w:lvl>
    <w:lvl w:ilvl="4" w:tplc="C7A6D028">
      <w:start w:val="1"/>
      <w:numFmt w:val="bullet"/>
      <w:lvlText w:val="○"/>
      <w:lvlJc w:val="left"/>
      <w:pPr>
        <w:ind w:left="3600" w:hanging="360"/>
      </w:pPr>
    </w:lvl>
    <w:lvl w:ilvl="5" w:tplc="23DAAC56">
      <w:start w:val="1"/>
      <w:numFmt w:val="bullet"/>
      <w:lvlText w:val="■"/>
      <w:lvlJc w:val="left"/>
      <w:pPr>
        <w:ind w:left="4320" w:hanging="360"/>
      </w:pPr>
    </w:lvl>
    <w:lvl w:ilvl="6" w:tplc="D7044730">
      <w:start w:val="1"/>
      <w:numFmt w:val="bullet"/>
      <w:lvlText w:val="●"/>
      <w:lvlJc w:val="left"/>
      <w:pPr>
        <w:ind w:left="5040" w:hanging="360"/>
      </w:pPr>
    </w:lvl>
    <w:lvl w:ilvl="7" w:tplc="67443592">
      <w:start w:val="1"/>
      <w:numFmt w:val="bullet"/>
      <w:lvlText w:val="●"/>
      <w:lvlJc w:val="left"/>
      <w:pPr>
        <w:ind w:left="5760" w:hanging="360"/>
      </w:pPr>
    </w:lvl>
    <w:lvl w:ilvl="8" w:tplc="AE880D82">
      <w:start w:val="1"/>
      <w:numFmt w:val="bullet"/>
      <w:lvlText w:val="●"/>
      <w:lvlJc w:val="left"/>
      <w:pPr>
        <w:ind w:left="6480" w:hanging="360"/>
      </w:pPr>
    </w:lvl>
  </w:abstractNum>
  <w:abstractNum w:abstractNumId="1">
    <w:nsid w:val="50E07394"/>
    <w:multiLevelType w:val="multilevel"/>
    <w:tmpl w:val="9A3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6D"/>
    <w:rsid w:val="00003EFB"/>
    <w:rsid w:val="000D0FA7"/>
    <w:rsid w:val="00151F53"/>
    <w:rsid w:val="002B447E"/>
    <w:rsid w:val="002F5C03"/>
    <w:rsid w:val="00310A61"/>
    <w:rsid w:val="003805AD"/>
    <w:rsid w:val="003C296D"/>
    <w:rsid w:val="005354FA"/>
    <w:rsid w:val="005D09A8"/>
    <w:rsid w:val="00656470"/>
    <w:rsid w:val="006571C2"/>
    <w:rsid w:val="00680C0F"/>
    <w:rsid w:val="006C369E"/>
    <w:rsid w:val="006F7C3D"/>
    <w:rsid w:val="007646A2"/>
    <w:rsid w:val="00831FEF"/>
    <w:rsid w:val="008A078D"/>
    <w:rsid w:val="009F628E"/>
    <w:rsid w:val="00A261BE"/>
    <w:rsid w:val="00AA3F29"/>
    <w:rsid w:val="00B4731D"/>
    <w:rsid w:val="00BC25F5"/>
    <w:rsid w:val="00C3604D"/>
    <w:rsid w:val="00D508D8"/>
    <w:rsid w:val="00D937AD"/>
    <w:rsid w:val="00E327B3"/>
    <w:rsid w:val="00E6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3F2DA-E959-4875-B008-8DFD94D8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000000"/>
      <w:sz w:val="28"/>
      <w:szCs w:val="28"/>
    </w:rPr>
  </w:style>
  <w:style w:type="paragraph" w:styleId="Heading2">
    <w:name w:val="heading 2"/>
    <w:qFormat/>
    <w:pPr>
      <w:spacing w:before="200" w:after="8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0213">
      <w:bodyDiv w:val="1"/>
      <w:marLeft w:val="0"/>
      <w:marRight w:val="0"/>
      <w:marTop w:val="0"/>
      <w:marBottom w:val="0"/>
      <w:divBdr>
        <w:top w:val="none" w:sz="0" w:space="0" w:color="auto"/>
        <w:left w:val="none" w:sz="0" w:space="0" w:color="auto"/>
        <w:bottom w:val="none" w:sz="0" w:space="0" w:color="auto"/>
        <w:right w:val="none" w:sz="0" w:space="0" w:color="auto"/>
      </w:divBdr>
      <w:divsChild>
        <w:div w:id="905528324">
          <w:marLeft w:val="0"/>
          <w:marRight w:val="0"/>
          <w:marTop w:val="0"/>
          <w:marBottom w:val="0"/>
          <w:divBdr>
            <w:top w:val="none" w:sz="0" w:space="0" w:color="auto"/>
            <w:left w:val="none" w:sz="0" w:space="0" w:color="auto"/>
            <w:bottom w:val="none" w:sz="0" w:space="0" w:color="auto"/>
            <w:right w:val="none" w:sz="0" w:space="0" w:color="auto"/>
          </w:divBdr>
          <w:divsChild>
            <w:div w:id="1817256340">
              <w:marLeft w:val="0"/>
              <w:marRight w:val="0"/>
              <w:marTop w:val="0"/>
              <w:marBottom w:val="0"/>
              <w:divBdr>
                <w:top w:val="none" w:sz="0" w:space="0" w:color="auto"/>
                <w:left w:val="none" w:sz="0" w:space="0" w:color="auto"/>
                <w:bottom w:val="none" w:sz="0" w:space="0" w:color="auto"/>
                <w:right w:val="none" w:sz="0" w:space="0" w:color="auto"/>
              </w:divBdr>
              <w:divsChild>
                <w:div w:id="1538859053">
                  <w:marLeft w:val="0"/>
                  <w:marRight w:val="0"/>
                  <w:marTop w:val="0"/>
                  <w:marBottom w:val="0"/>
                  <w:divBdr>
                    <w:top w:val="none" w:sz="0" w:space="0" w:color="auto"/>
                    <w:left w:val="none" w:sz="0" w:space="0" w:color="auto"/>
                    <w:bottom w:val="none" w:sz="0" w:space="0" w:color="auto"/>
                    <w:right w:val="none" w:sz="0" w:space="0" w:color="auto"/>
                  </w:divBdr>
                  <w:divsChild>
                    <w:div w:id="865993403">
                      <w:marLeft w:val="0"/>
                      <w:marRight w:val="0"/>
                      <w:marTop w:val="0"/>
                      <w:marBottom w:val="0"/>
                      <w:divBdr>
                        <w:top w:val="none" w:sz="0" w:space="0" w:color="auto"/>
                        <w:left w:val="none" w:sz="0" w:space="0" w:color="auto"/>
                        <w:bottom w:val="none" w:sz="0" w:space="0" w:color="auto"/>
                        <w:right w:val="none" w:sz="0" w:space="0" w:color="auto"/>
                      </w:divBdr>
                      <w:divsChild>
                        <w:div w:id="1391996165">
                          <w:marLeft w:val="0"/>
                          <w:marRight w:val="0"/>
                          <w:marTop w:val="0"/>
                          <w:marBottom w:val="0"/>
                          <w:divBdr>
                            <w:top w:val="none" w:sz="0" w:space="0" w:color="auto"/>
                            <w:left w:val="none" w:sz="0" w:space="0" w:color="auto"/>
                            <w:bottom w:val="none" w:sz="0" w:space="0" w:color="auto"/>
                            <w:right w:val="none" w:sz="0" w:space="0" w:color="auto"/>
                          </w:divBdr>
                          <w:divsChild>
                            <w:div w:id="2102989520">
                              <w:marLeft w:val="0"/>
                              <w:marRight w:val="0"/>
                              <w:marTop w:val="0"/>
                              <w:marBottom w:val="0"/>
                              <w:divBdr>
                                <w:top w:val="none" w:sz="0" w:space="0" w:color="auto"/>
                                <w:left w:val="none" w:sz="0" w:space="0" w:color="auto"/>
                                <w:bottom w:val="none" w:sz="0" w:space="0" w:color="auto"/>
                                <w:right w:val="none" w:sz="0" w:space="0" w:color="auto"/>
                              </w:divBdr>
                              <w:divsChild>
                                <w:div w:id="2059893905">
                                  <w:marLeft w:val="0"/>
                                  <w:marRight w:val="0"/>
                                  <w:marTop w:val="0"/>
                                  <w:marBottom w:val="0"/>
                                  <w:divBdr>
                                    <w:top w:val="none" w:sz="0" w:space="0" w:color="auto"/>
                                    <w:left w:val="none" w:sz="0" w:space="0" w:color="auto"/>
                                    <w:bottom w:val="none" w:sz="0" w:space="0" w:color="auto"/>
                                    <w:right w:val="none" w:sz="0" w:space="0" w:color="auto"/>
                                  </w:divBdr>
                                  <w:divsChild>
                                    <w:div w:id="1556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456972">
          <w:marLeft w:val="0"/>
          <w:marRight w:val="0"/>
          <w:marTop w:val="0"/>
          <w:marBottom w:val="0"/>
          <w:divBdr>
            <w:top w:val="none" w:sz="0" w:space="0" w:color="auto"/>
            <w:left w:val="none" w:sz="0" w:space="0" w:color="auto"/>
            <w:bottom w:val="none" w:sz="0" w:space="0" w:color="auto"/>
            <w:right w:val="none" w:sz="0" w:space="0" w:color="auto"/>
          </w:divBdr>
          <w:divsChild>
            <w:div w:id="1889564544">
              <w:marLeft w:val="0"/>
              <w:marRight w:val="0"/>
              <w:marTop w:val="0"/>
              <w:marBottom w:val="0"/>
              <w:divBdr>
                <w:top w:val="none" w:sz="0" w:space="0" w:color="auto"/>
                <w:left w:val="none" w:sz="0" w:space="0" w:color="auto"/>
                <w:bottom w:val="none" w:sz="0" w:space="0" w:color="auto"/>
                <w:right w:val="none" w:sz="0" w:space="0" w:color="auto"/>
              </w:divBdr>
              <w:divsChild>
                <w:div w:id="753748346">
                  <w:marLeft w:val="0"/>
                  <w:marRight w:val="0"/>
                  <w:marTop w:val="0"/>
                  <w:marBottom w:val="0"/>
                  <w:divBdr>
                    <w:top w:val="none" w:sz="0" w:space="0" w:color="auto"/>
                    <w:left w:val="none" w:sz="0" w:space="0" w:color="auto"/>
                    <w:bottom w:val="none" w:sz="0" w:space="0" w:color="auto"/>
                    <w:right w:val="none" w:sz="0" w:space="0" w:color="auto"/>
                  </w:divBdr>
                  <w:divsChild>
                    <w:div w:id="784810030">
                      <w:marLeft w:val="0"/>
                      <w:marRight w:val="0"/>
                      <w:marTop w:val="0"/>
                      <w:marBottom w:val="0"/>
                      <w:divBdr>
                        <w:top w:val="none" w:sz="0" w:space="0" w:color="auto"/>
                        <w:left w:val="none" w:sz="0" w:space="0" w:color="auto"/>
                        <w:bottom w:val="none" w:sz="0" w:space="0" w:color="auto"/>
                        <w:right w:val="none" w:sz="0" w:space="0" w:color="auto"/>
                      </w:divBdr>
                      <w:divsChild>
                        <w:div w:id="601686294">
                          <w:marLeft w:val="0"/>
                          <w:marRight w:val="0"/>
                          <w:marTop w:val="0"/>
                          <w:marBottom w:val="0"/>
                          <w:divBdr>
                            <w:top w:val="none" w:sz="0" w:space="0" w:color="auto"/>
                            <w:left w:val="none" w:sz="0" w:space="0" w:color="auto"/>
                            <w:bottom w:val="none" w:sz="0" w:space="0" w:color="auto"/>
                            <w:right w:val="none" w:sz="0" w:space="0" w:color="auto"/>
                          </w:divBdr>
                          <w:divsChild>
                            <w:div w:id="675155846">
                              <w:marLeft w:val="0"/>
                              <w:marRight w:val="0"/>
                              <w:marTop w:val="0"/>
                              <w:marBottom w:val="0"/>
                              <w:divBdr>
                                <w:top w:val="none" w:sz="0" w:space="0" w:color="auto"/>
                                <w:left w:val="none" w:sz="0" w:space="0" w:color="auto"/>
                                <w:bottom w:val="none" w:sz="0" w:space="0" w:color="auto"/>
                                <w:right w:val="none" w:sz="0" w:space="0" w:color="auto"/>
                              </w:divBdr>
                              <w:divsChild>
                                <w:div w:id="391083367">
                                  <w:marLeft w:val="0"/>
                                  <w:marRight w:val="0"/>
                                  <w:marTop w:val="0"/>
                                  <w:marBottom w:val="0"/>
                                  <w:divBdr>
                                    <w:top w:val="none" w:sz="0" w:space="0" w:color="auto"/>
                                    <w:left w:val="none" w:sz="0" w:space="0" w:color="auto"/>
                                    <w:bottom w:val="none" w:sz="0" w:space="0" w:color="auto"/>
                                    <w:right w:val="none" w:sz="0" w:space="0" w:color="auto"/>
                                  </w:divBdr>
                                  <w:divsChild>
                                    <w:div w:id="398288700">
                                      <w:marLeft w:val="0"/>
                                      <w:marRight w:val="0"/>
                                      <w:marTop w:val="0"/>
                                      <w:marBottom w:val="0"/>
                                      <w:divBdr>
                                        <w:top w:val="none" w:sz="0" w:space="0" w:color="auto"/>
                                        <w:left w:val="none" w:sz="0" w:space="0" w:color="auto"/>
                                        <w:bottom w:val="none" w:sz="0" w:space="0" w:color="auto"/>
                                        <w:right w:val="none" w:sz="0" w:space="0" w:color="auto"/>
                                      </w:divBdr>
                                      <w:divsChild>
                                        <w:div w:id="1513183108">
                                          <w:marLeft w:val="0"/>
                                          <w:marRight w:val="0"/>
                                          <w:marTop w:val="0"/>
                                          <w:marBottom w:val="0"/>
                                          <w:divBdr>
                                            <w:top w:val="none" w:sz="0" w:space="0" w:color="auto"/>
                                            <w:left w:val="none" w:sz="0" w:space="0" w:color="auto"/>
                                            <w:bottom w:val="none" w:sz="0" w:space="0" w:color="auto"/>
                                            <w:right w:val="none" w:sz="0" w:space="0" w:color="auto"/>
                                          </w:divBdr>
                                          <w:divsChild>
                                            <w:div w:id="925916105">
                                              <w:marLeft w:val="0"/>
                                              <w:marRight w:val="0"/>
                                              <w:marTop w:val="0"/>
                                              <w:marBottom w:val="0"/>
                                              <w:divBdr>
                                                <w:top w:val="none" w:sz="0" w:space="0" w:color="auto"/>
                                                <w:left w:val="none" w:sz="0" w:space="0" w:color="auto"/>
                                                <w:bottom w:val="none" w:sz="0" w:space="0" w:color="auto"/>
                                                <w:right w:val="none" w:sz="0" w:space="0" w:color="auto"/>
                                              </w:divBdr>
                                              <w:divsChild>
                                                <w:div w:id="187331430">
                                                  <w:marLeft w:val="0"/>
                                                  <w:marRight w:val="0"/>
                                                  <w:marTop w:val="0"/>
                                                  <w:marBottom w:val="0"/>
                                                  <w:divBdr>
                                                    <w:top w:val="none" w:sz="0" w:space="0" w:color="auto"/>
                                                    <w:left w:val="none" w:sz="0" w:space="0" w:color="auto"/>
                                                    <w:bottom w:val="none" w:sz="0" w:space="0" w:color="auto"/>
                                                    <w:right w:val="none" w:sz="0" w:space="0" w:color="auto"/>
                                                  </w:divBdr>
                                                  <w:divsChild>
                                                    <w:div w:id="18768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765571">
      <w:bodyDiv w:val="1"/>
      <w:marLeft w:val="0"/>
      <w:marRight w:val="0"/>
      <w:marTop w:val="0"/>
      <w:marBottom w:val="0"/>
      <w:divBdr>
        <w:top w:val="none" w:sz="0" w:space="0" w:color="auto"/>
        <w:left w:val="none" w:sz="0" w:space="0" w:color="auto"/>
        <w:bottom w:val="none" w:sz="0" w:space="0" w:color="auto"/>
        <w:right w:val="none" w:sz="0" w:space="0" w:color="auto"/>
      </w:divBdr>
    </w:div>
    <w:div w:id="350374526">
      <w:bodyDiv w:val="1"/>
      <w:marLeft w:val="0"/>
      <w:marRight w:val="0"/>
      <w:marTop w:val="0"/>
      <w:marBottom w:val="0"/>
      <w:divBdr>
        <w:top w:val="none" w:sz="0" w:space="0" w:color="auto"/>
        <w:left w:val="none" w:sz="0" w:space="0" w:color="auto"/>
        <w:bottom w:val="none" w:sz="0" w:space="0" w:color="auto"/>
        <w:right w:val="none" w:sz="0" w:space="0" w:color="auto"/>
      </w:divBdr>
    </w:div>
    <w:div w:id="456995674">
      <w:bodyDiv w:val="1"/>
      <w:marLeft w:val="0"/>
      <w:marRight w:val="0"/>
      <w:marTop w:val="0"/>
      <w:marBottom w:val="0"/>
      <w:divBdr>
        <w:top w:val="none" w:sz="0" w:space="0" w:color="auto"/>
        <w:left w:val="none" w:sz="0" w:space="0" w:color="auto"/>
        <w:bottom w:val="none" w:sz="0" w:space="0" w:color="auto"/>
        <w:right w:val="none" w:sz="0" w:space="0" w:color="auto"/>
      </w:divBdr>
    </w:div>
    <w:div w:id="488210083">
      <w:bodyDiv w:val="1"/>
      <w:marLeft w:val="0"/>
      <w:marRight w:val="0"/>
      <w:marTop w:val="0"/>
      <w:marBottom w:val="0"/>
      <w:divBdr>
        <w:top w:val="none" w:sz="0" w:space="0" w:color="auto"/>
        <w:left w:val="none" w:sz="0" w:space="0" w:color="auto"/>
        <w:bottom w:val="none" w:sz="0" w:space="0" w:color="auto"/>
        <w:right w:val="none" w:sz="0" w:space="0" w:color="auto"/>
      </w:divBdr>
      <w:divsChild>
        <w:div w:id="13457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42258">
      <w:bodyDiv w:val="1"/>
      <w:marLeft w:val="0"/>
      <w:marRight w:val="0"/>
      <w:marTop w:val="0"/>
      <w:marBottom w:val="0"/>
      <w:divBdr>
        <w:top w:val="none" w:sz="0" w:space="0" w:color="auto"/>
        <w:left w:val="none" w:sz="0" w:space="0" w:color="auto"/>
        <w:bottom w:val="none" w:sz="0" w:space="0" w:color="auto"/>
        <w:right w:val="none" w:sz="0" w:space="0" w:color="auto"/>
      </w:divBdr>
      <w:divsChild>
        <w:div w:id="1023357299">
          <w:marLeft w:val="0"/>
          <w:marRight w:val="0"/>
          <w:marTop w:val="0"/>
          <w:marBottom w:val="0"/>
          <w:divBdr>
            <w:top w:val="none" w:sz="0" w:space="0" w:color="auto"/>
            <w:left w:val="none" w:sz="0" w:space="0" w:color="auto"/>
            <w:bottom w:val="none" w:sz="0" w:space="0" w:color="auto"/>
            <w:right w:val="none" w:sz="0" w:space="0" w:color="auto"/>
          </w:divBdr>
          <w:divsChild>
            <w:div w:id="714961536">
              <w:marLeft w:val="0"/>
              <w:marRight w:val="0"/>
              <w:marTop w:val="0"/>
              <w:marBottom w:val="0"/>
              <w:divBdr>
                <w:top w:val="none" w:sz="0" w:space="0" w:color="auto"/>
                <w:left w:val="none" w:sz="0" w:space="0" w:color="auto"/>
                <w:bottom w:val="none" w:sz="0" w:space="0" w:color="auto"/>
                <w:right w:val="none" w:sz="0" w:space="0" w:color="auto"/>
              </w:divBdr>
              <w:divsChild>
                <w:div w:id="585310858">
                  <w:marLeft w:val="0"/>
                  <w:marRight w:val="0"/>
                  <w:marTop w:val="0"/>
                  <w:marBottom w:val="0"/>
                  <w:divBdr>
                    <w:top w:val="none" w:sz="0" w:space="0" w:color="auto"/>
                    <w:left w:val="none" w:sz="0" w:space="0" w:color="auto"/>
                    <w:bottom w:val="none" w:sz="0" w:space="0" w:color="auto"/>
                    <w:right w:val="none" w:sz="0" w:space="0" w:color="auto"/>
                  </w:divBdr>
                  <w:divsChild>
                    <w:div w:id="1907063184">
                      <w:marLeft w:val="0"/>
                      <w:marRight w:val="0"/>
                      <w:marTop w:val="0"/>
                      <w:marBottom w:val="0"/>
                      <w:divBdr>
                        <w:top w:val="none" w:sz="0" w:space="0" w:color="auto"/>
                        <w:left w:val="none" w:sz="0" w:space="0" w:color="auto"/>
                        <w:bottom w:val="none" w:sz="0" w:space="0" w:color="auto"/>
                        <w:right w:val="none" w:sz="0" w:space="0" w:color="auto"/>
                      </w:divBdr>
                      <w:divsChild>
                        <w:div w:id="2118060252">
                          <w:marLeft w:val="0"/>
                          <w:marRight w:val="0"/>
                          <w:marTop w:val="0"/>
                          <w:marBottom w:val="0"/>
                          <w:divBdr>
                            <w:top w:val="none" w:sz="0" w:space="0" w:color="auto"/>
                            <w:left w:val="none" w:sz="0" w:space="0" w:color="auto"/>
                            <w:bottom w:val="none" w:sz="0" w:space="0" w:color="auto"/>
                            <w:right w:val="none" w:sz="0" w:space="0" w:color="auto"/>
                          </w:divBdr>
                          <w:divsChild>
                            <w:div w:id="1410543115">
                              <w:marLeft w:val="0"/>
                              <w:marRight w:val="0"/>
                              <w:marTop w:val="0"/>
                              <w:marBottom w:val="0"/>
                              <w:divBdr>
                                <w:top w:val="none" w:sz="0" w:space="0" w:color="auto"/>
                                <w:left w:val="none" w:sz="0" w:space="0" w:color="auto"/>
                                <w:bottom w:val="none" w:sz="0" w:space="0" w:color="auto"/>
                                <w:right w:val="none" w:sz="0" w:space="0" w:color="auto"/>
                              </w:divBdr>
                              <w:divsChild>
                                <w:div w:id="686710242">
                                  <w:marLeft w:val="0"/>
                                  <w:marRight w:val="0"/>
                                  <w:marTop w:val="0"/>
                                  <w:marBottom w:val="0"/>
                                  <w:divBdr>
                                    <w:top w:val="none" w:sz="0" w:space="0" w:color="auto"/>
                                    <w:left w:val="none" w:sz="0" w:space="0" w:color="auto"/>
                                    <w:bottom w:val="none" w:sz="0" w:space="0" w:color="auto"/>
                                    <w:right w:val="none" w:sz="0" w:space="0" w:color="auto"/>
                                  </w:divBdr>
                                  <w:divsChild>
                                    <w:div w:id="4133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4372">
          <w:marLeft w:val="0"/>
          <w:marRight w:val="0"/>
          <w:marTop w:val="0"/>
          <w:marBottom w:val="0"/>
          <w:divBdr>
            <w:top w:val="none" w:sz="0" w:space="0" w:color="auto"/>
            <w:left w:val="none" w:sz="0" w:space="0" w:color="auto"/>
            <w:bottom w:val="none" w:sz="0" w:space="0" w:color="auto"/>
            <w:right w:val="none" w:sz="0" w:space="0" w:color="auto"/>
          </w:divBdr>
          <w:divsChild>
            <w:div w:id="1470125370">
              <w:marLeft w:val="0"/>
              <w:marRight w:val="0"/>
              <w:marTop w:val="0"/>
              <w:marBottom w:val="0"/>
              <w:divBdr>
                <w:top w:val="none" w:sz="0" w:space="0" w:color="auto"/>
                <w:left w:val="none" w:sz="0" w:space="0" w:color="auto"/>
                <w:bottom w:val="none" w:sz="0" w:space="0" w:color="auto"/>
                <w:right w:val="none" w:sz="0" w:space="0" w:color="auto"/>
              </w:divBdr>
              <w:divsChild>
                <w:div w:id="696738608">
                  <w:marLeft w:val="0"/>
                  <w:marRight w:val="0"/>
                  <w:marTop w:val="0"/>
                  <w:marBottom w:val="0"/>
                  <w:divBdr>
                    <w:top w:val="none" w:sz="0" w:space="0" w:color="auto"/>
                    <w:left w:val="none" w:sz="0" w:space="0" w:color="auto"/>
                    <w:bottom w:val="none" w:sz="0" w:space="0" w:color="auto"/>
                    <w:right w:val="none" w:sz="0" w:space="0" w:color="auto"/>
                  </w:divBdr>
                  <w:divsChild>
                    <w:div w:id="366225278">
                      <w:marLeft w:val="0"/>
                      <w:marRight w:val="0"/>
                      <w:marTop w:val="0"/>
                      <w:marBottom w:val="0"/>
                      <w:divBdr>
                        <w:top w:val="none" w:sz="0" w:space="0" w:color="auto"/>
                        <w:left w:val="none" w:sz="0" w:space="0" w:color="auto"/>
                        <w:bottom w:val="none" w:sz="0" w:space="0" w:color="auto"/>
                        <w:right w:val="none" w:sz="0" w:space="0" w:color="auto"/>
                      </w:divBdr>
                      <w:divsChild>
                        <w:div w:id="1934048704">
                          <w:marLeft w:val="0"/>
                          <w:marRight w:val="0"/>
                          <w:marTop w:val="0"/>
                          <w:marBottom w:val="0"/>
                          <w:divBdr>
                            <w:top w:val="none" w:sz="0" w:space="0" w:color="auto"/>
                            <w:left w:val="none" w:sz="0" w:space="0" w:color="auto"/>
                            <w:bottom w:val="none" w:sz="0" w:space="0" w:color="auto"/>
                            <w:right w:val="none" w:sz="0" w:space="0" w:color="auto"/>
                          </w:divBdr>
                          <w:divsChild>
                            <w:div w:id="276109330">
                              <w:marLeft w:val="0"/>
                              <w:marRight w:val="0"/>
                              <w:marTop w:val="0"/>
                              <w:marBottom w:val="0"/>
                              <w:divBdr>
                                <w:top w:val="none" w:sz="0" w:space="0" w:color="auto"/>
                                <w:left w:val="none" w:sz="0" w:space="0" w:color="auto"/>
                                <w:bottom w:val="none" w:sz="0" w:space="0" w:color="auto"/>
                                <w:right w:val="none" w:sz="0" w:space="0" w:color="auto"/>
                              </w:divBdr>
                              <w:divsChild>
                                <w:div w:id="1478303950">
                                  <w:marLeft w:val="0"/>
                                  <w:marRight w:val="0"/>
                                  <w:marTop w:val="0"/>
                                  <w:marBottom w:val="0"/>
                                  <w:divBdr>
                                    <w:top w:val="none" w:sz="0" w:space="0" w:color="auto"/>
                                    <w:left w:val="none" w:sz="0" w:space="0" w:color="auto"/>
                                    <w:bottom w:val="none" w:sz="0" w:space="0" w:color="auto"/>
                                    <w:right w:val="none" w:sz="0" w:space="0" w:color="auto"/>
                                  </w:divBdr>
                                  <w:divsChild>
                                    <w:div w:id="56167791">
                                      <w:marLeft w:val="0"/>
                                      <w:marRight w:val="0"/>
                                      <w:marTop w:val="0"/>
                                      <w:marBottom w:val="0"/>
                                      <w:divBdr>
                                        <w:top w:val="none" w:sz="0" w:space="0" w:color="auto"/>
                                        <w:left w:val="none" w:sz="0" w:space="0" w:color="auto"/>
                                        <w:bottom w:val="none" w:sz="0" w:space="0" w:color="auto"/>
                                        <w:right w:val="none" w:sz="0" w:space="0" w:color="auto"/>
                                      </w:divBdr>
                                      <w:divsChild>
                                        <w:div w:id="1925146658">
                                          <w:marLeft w:val="0"/>
                                          <w:marRight w:val="0"/>
                                          <w:marTop w:val="0"/>
                                          <w:marBottom w:val="0"/>
                                          <w:divBdr>
                                            <w:top w:val="none" w:sz="0" w:space="0" w:color="auto"/>
                                            <w:left w:val="none" w:sz="0" w:space="0" w:color="auto"/>
                                            <w:bottom w:val="none" w:sz="0" w:space="0" w:color="auto"/>
                                            <w:right w:val="none" w:sz="0" w:space="0" w:color="auto"/>
                                          </w:divBdr>
                                          <w:divsChild>
                                            <w:div w:id="150874471">
                                              <w:marLeft w:val="0"/>
                                              <w:marRight w:val="0"/>
                                              <w:marTop w:val="0"/>
                                              <w:marBottom w:val="0"/>
                                              <w:divBdr>
                                                <w:top w:val="none" w:sz="0" w:space="0" w:color="auto"/>
                                                <w:left w:val="none" w:sz="0" w:space="0" w:color="auto"/>
                                                <w:bottom w:val="none" w:sz="0" w:space="0" w:color="auto"/>
                                                <w:right w:val="none" w:sz="0" w:space="0" w:color="auto"/>
                                              </w:divBdr>
                                              <w:divsChild>
                                                <w:div w:id="1852448253">
                                                  <w:marLeft w:val="0"/>
                                                  <w:marRight w:val="0"/>
                                                  <w:marTop w:val="0"/>
                                                  <w:marBottom w:val="0"/>
                                                  <w:divBdr>
                                                    <w:top w:val="none" w:sz="0" w:space="0" w:color="auto"/>
                                                    <w:left w:val="none" w:sz="0" w:space="0" w:color="auto"/>
                                                    <w:bottom w:val="none" w:sz="0" w:space="0" w:color="auto"/>
                                                    <w:right w:val="none" w:sz="0" w:space="0" w:color="auto"/>
                                                  </w:divBdr>
                                                  <w:divsChild>
                                                    <w:div w:id="6925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515077">
      <w:bodyDiv w:val="1"/>
      <w:marLeft w:val="0"/>
      <w:marRight w:val="0"/>
      <w:marTop w:val="0"/>
      <w:marBottom w:val="0"/>
      <w:divBdr>
        <w:top w:val="none" w:sz="0" w:space="0" w:color="auto"/>
        <w:left w:val="none" w:sz="0" w:space="0" w:color="auto"/>
        <w:bottom w:val="none" w:sz="0" w:space="0" w:color="auto"/>
        <w:right w:val="none" w:sz="0" w:space="0" w:color="auto"/>
      </w:divBdr>
    </w:div>
    <w:div w:id="1066798179">
      <w:bodyDiv w:val="1"/>
      <w:marLeft w:val="0"/>
      <w:marRight w:val="0"/>
      <w:marTop w:val="0"/>
      <w:marBottom w:val="0"/>
      <w:divBdr>
        <w:top w:val="none" w:sz="0" w:space="0" w:color="auto"/>
        <w:left w:val="none" w:sz="0" w:space="0" w:color="auto"/>
        <w:bottom w:val="none" w:sz="0" w:space="0" w:color="auto"/>
        <w:right w:val="none" w:sz="0" w:space="0" w:color="auto"/>
      </w:divBdr>
    </w:div>
    <w:div w:id="1079257565">
      <w:bodyDiv w:val="1"/>
      <w:marLeft w:val="0"/>
      <w:marRight w:val="0"/>
      <w:marTop w:val="0"/>
      <w:marBottom w:val="0"/>
      <w:divBdr>
        <w:top w:val="none" w:sz="0" w:space="0" w:color="auto"/>
        <w:left w:val="none" w:sz="0" w:space="0" w:color="auto"/>
        <w:bottom w:val="none" w:sz="0" w:space="0" w:color="auto"/>
        <w:right w:val="none" w:sz="0" w:space="0" w:color="auto"/>
      </w:divBdr>
    </w:div>
    <w:div w:id="1236359113">
      <w:bodyDiv w:val="1"/>
      <w:marLeft w:val="0"/>
      <w:marRight w:val="0"/>
      <w:marTop w:val="0"/>
      <w:marBottom w:val="0"/>
      <w:divBdr>
        <w:top w:val="none" w:sz="0" w:space="0" w:color="auto"/>
        <w:left w:val="none" w:sz="0" w:space="0" w:color="auto"/>
        <w:bottom w:val="none" w:sz="0" w:space="0" w:color="auto"/>
        <w:right w:val="none" w:sz="0" w:space="0" w:color="auto"/>
      </w:divBdr>
    </w:div>
    <w:div w:id="1402364715">
      <w:bodyDiv w:val="1"/>
      <w:marLeft w:val="0"/>
      <w:marRight w:val="0"/>
      <w:marTop w:val="0"/>
      <w:marBottom w:val="0"/>
      <w:divBdr>
        <w:top w:val="none" w:sz="0" w:space="0" w:color="auto"/>
        <w:left w:val="none" w:sz="0" w:space="0" w:color="auto"/>
        <w:bottom w:val="none" w:sz="0" w:space="0" w:color="auto"/>
        <w:right w:val="none" w:sz="0" w:space="0" w:color="auto"/>
      </w:divBdr>
    </w:div>
    <w:div w:id="1635985241">
      <w:bodyDiv w:val="1"/>
      <w:marLeft w:val="0"/>
      <w:marRight w:val="0"/>
      <w:marTop w:val="0"/>
      <w:marBottom w:val="0"/>
      <w:divBdr>
        <w:top w:val="none" w:sz="0" w:space="0" w:color="auto"/>
        <w:left w:val="none" w:sz="0" w:space="0" w:color="auto"/>
        <w:bottom w:val="none" w:sz="0" w:space="0" w:color="auto"/>
        <w:right w:val="none" w:sz="0" w:space="0" w:color="auto"/>
      </w:divBdr>
    </w:div>
    <w:div w:id="1707171465">
      <w:bodyDiv w:val="1"/>
      <w:marLeft w:val="0"/>
      <w:marRight w:val="0"/>
      <w:marTop w:val="0"/>
      <w:marBottom w:val="0"/>
      <w:divBdr>
        <w:top w:val="none" w:sz="0" w:space="0" w:color="auto"/>
        <w:left w:val="none" w:sz="0" w:space="0" w:color="auto"/>
        <w:bottom w:val="none" w:sz="0" w:space="0" w:color="auto"/>
        <w:right w:val="none" w:sz="0" w:space="0" w:color="auto"/>
      </w:divBdr>
      <w:divsChild>
        <w:div w:id="184871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702285">
      <w:bodyDiv w:val="1"/>
      <w:marLeft w:val="0"/>
      <w:marRight w:val="0"/>
      <w:marTop w:val="0"/>
      <w:marBottom w:val="0"/>
      <w:divBdr>
        <w:top w:val="none" w:sz="0" w:space="0" w:color="auto"/>
        <w:left w:val="none" w:sz="0" w:space="0" w:color="auto"/>
        <w:bottom w:val="none" w:sz="0" w:space="0" w:color="auto"/>
        <w:right w:val="none" w:sz="0" w:space="0" w:color="auto"/>
      </w:divBdr>
    </w:div>
    <w:div w:id="1908955615">
      <w:bodyDiv w:val="1"/>
      <w:marLeft w:val="0"/>
      <w:marRight w:val="0"/>
      <w:marTop w:val="0"/>
      <w:marBottom w:val="0"/>
      <w:divBdr>
        <w:top w:val="none" w:sz="0" w:space="0" w:color="auto"/>
        <w:left w:val="none" w:sz="0" w:space="0" w:color="auto"/>
        <w:bottom w:val="none" w:sz="0" w:space="0" w:color="auto"/>
        <w:right w:val="none" w:sz="0" w:space="0" w:color="auto"/>
      </w:divBdr>
    </w:div>
    <w:div w:id="202520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708-" TargetMode="External"/><Relationship Id="rId5" Type="http://schemas.openxmlformats.org/officeDocument/2006/relationships/hyperlink" Target="https://doi.org/10.18280/ijsdp.1502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19</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12</cp:revision>
  <dcterms:created xsi:type="dcterms:W3CDTF">2026-03-31T09:12:00Z</dcterms:created>
  <dcterms:modified xsi:type="dcterms:W3CDTF">2026-05-03T15:13:00Z</dcterms:modified>
</cp:coreProperties>
</file>