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35FBC" w14:textId="77777777" w:rsidR="00CE12BB" w:rsidRPr="00E71565" w:rsidRDefault="00CE12BB" w:rsidP="00CE12BB">
      <w:pPr>
        <w:spacing w:line="360" w:lineRule="auto"/>
        <w:jc w:val="center"/>
        <w:rPr>
          <w:rFonts w:ascii="Times New Roman" w:hAnsi="Times New Roman" w:cs="Times New Roman"/>
          <w:b/>
          <w:sz w:val="24"/>
          <w:szCs w:val="24"/>
        </w:rPr>
      </w:pPr>
      <w:r w:rsidRPr="00E71565">
        <w:rPr>
          <w:rFonts w:ascii="Times New Roman" w:hAnsi="Times New Roman" w:cs="Times New Roman"/>
          <w:b/>
          <w:sz w:val="24"/>
          <w:szCs w:val="24"/>
        </w:rPr>
        <w:t xml:space="preserve">ANALYSIS OF RESIDENTIAL RENTAL VALUE ACROSS NEIGHBORHOOD </w:t>
      </w:r>
      <w:bookmarkStart w:id="0" w:name="_GoBack"/>
      <w:bookmarkEnd w:id="0"/>
      <w:r w:rsidRPr="00E71565">
        <w:rPr>
          <w:rFonts w:ascii="Times New Roman" w:hAnsi="Times New Roman" w:cs="Times New Roman"/>
          <w:b/>
          <w:sz w:val="24"/>
          <w:szCs w:val="24"/>
        </w:rPr>
        <w:t>DENSITIES IN MINNA, NIGERIA</w:t>
      </w:r>
    </w:p>
    <w:p w14:paraId="1A62BF06" w14:textId="7C7EE71E" w:rsidR="00CE12BB" w:rsidRPr="00E71565" w:rsidRDefault="00F91AF1" w:rsidP="00CE12BB">
      <w:pPr>
        <w:spacing w:after="0"/>
        <w:ind w:right="4"/>
        <w:jc w:val="center"/>
        <w:rPr>
          <w:rFonts w:ascii="Times New Roman" w:hAnsi="Times New Roman" w:cs="Times New Roman"/>
          <w:sz w:val="24"/>
          <w:szCs w:val="24"/>
        </w:rPr>
      </w:pPr>
      <w:proofErr w:type="spellStart"/>
      <w:r w:rsidRPr="00E71565">
        <w:rPr>
          <w:rFonts w:ascii="Times New Roman" w:hAnsi="Times New Roman" w:cs="Times New Roman"/>
          <w:b/>
          <w:sz w:val="24"/>
          <w:szCs w:val="24"/>
        </w:rPr>
        <w:t>Sekinat</w:t>
      </w:r>
      <w:proofErr w:type="spellEnd"/>
      <w:r w:rsidRPr="00E71565">
        <w:rPr>
          <w:rFonts w:ascii="Times New Roman" w:hAnsi="Times New Roman" w:cs="Times New Roman"/>
          <w:b/>
          <w:sz w:val="24"/>
          <w:szCs w:val="24"/>
        </w:rPr>
        <w:t xml:space="preserve"> ABDULKAREEM</w:t>
      </w:r>
      <w:r w:rsidR="00CE12BB" w:rsidRPr="00E71565">
        <w:rPr>
          <w:rFonts w:ascii="Times New Roman" w:eastAsia="Segoe UI Symbol" w:hAnsi="Times New Roman" w:cs="Times New Roman"/>
          <w:b/>
          <w:sz w:val="24"/>
          <w:szCs w:val="24"/>
          <w:vertAlign w:val="superscript"/>
        </w:rPr>
        <w:footnoteReference w:id="1"/>
      </w:r>
      <w:r w:rsidRPr="00E71565">
        <w:rPr>
          <w:rFonts w:ascii="Times New Roman" w:hAnsi="Times New Roman" w:cs="Times New Roman"/>
          <w:b/>
          <w:i/>
          <w:sz w:val="24"/>
          <w:szCs w:val="24"/>
        </w:rPr>
        <w:t xml:space="preserve"> and</w:t>
      </w:r>
      <w:r w:rsidR="00EF011F" w:rsidRPr="00E71565">
        <w:rPr>
          <w:rFonts w:ascii="Times New Roman" w:hAnsi="Times New Roman" w:cs="Times New Roman"/>
          <w:b/>
          <w:i/>
          <w:sz w:val="24"/>
          <w:szCs w:val="24"/>
        </w:rPr>
        <w:t xml:space="preserve"> Deborah .O</w:t>
      </w:r>
      <w:r w:rsidRPr="00E71565">
        <w:rPr>
          <w:rFonts w:ascii="Times New Roman" w:hAnsi="Times New Roman" w:cs="Times New Roman"/>
          <w:b/>
          <w:i/>
          <w:sz w:val="24"/>
          <w:szCs w:val="24"/>
        </w:rPr>
        <w:t xml:space="preserve">. </w:t>
      </w:r>
      <w:r w:rsidR="00667989" w:rsidRPr="00E71565">
        <w:rPr>
          <w:rFonts w:ascii="Times New Roman" w:hAnsi="Times New Roman" w:cs="Times New Roman"/>
          <w:b/>
          <w:i/>
          <w:sz w:val="24"/>
          <w:szCs w:val="24"/>
        </w:rPr>
        <w:t>ALONGE</w:t>
      </w:r>
      <w:r w:rsidR="00CE12BB" w:rsidRPr="00E71565">
        <w:rPr>
          <w:rFonts w:ascii="Times New Roman" w:hAnsi="Times New Roman" w:cs="Times New Roman"/>
          <w:b/>
          <w:i/>
          <w:sz w:val="24"/>
          <w:szCs w:val="24"/>
          <w:vertAlign w:val="superscript"/>
        </w:rPr>
        <w:t xml:space="preserve">2 </w:t>
      </w:r>
    </w:p>
    <w:p w14:paraId="5946F90F" w14:textId="46F59344" w:rsidR="00CE12BB" w:rsidRPr="00E71565" w:rsidRDefault="00CE12BB" w:rsidP="00CE12BB">
      <w:pPr>
        <w:spacing w:after="0"/>
        <w:ind w:left="10" w:right="7" w:hanging="10"/>
        <w:jc w:val="center"/>
        <w:rPr>
          <w:rFonts w:ascii="Times New Roman" w:hAnsi="Times New Roman" w:cs="Times New Roman"/>
          <w:sz w:val="24"/>
          <w:szCs w:val="24"/>
        </w:rPr>
      </w:pPr>
      <w:r w:rsidRPr="00E71565">
        <w:rPr>
          <w:rFonts w:ascii="Times New Roman" w:hAnsi="Times New Roman" w:cs="Times New Roman"/>
          <w:sz w:val="24"/>
          <w:szCs w:val="24"/>
          <w:vertAlign w:val="superscript"/>
        </w:rPr>
        <w:t>1</w:t>
      </w:r>
      <w:r w:rsidR="00F91AF1" w:rsidRPr="00E71565">
        <w:rPr>
          <w:rFonts w:ascii="Times New Roman" w:hAnsi="Times New Roman" w:cs="Times New Roman"/>
          <w:sz w:val="24"/>
          <w:szCs w:val="24"/>
        </w:rPr>
        <w:t>Department of Estate Management and Valuation, Federal Un</w:t>
      </w:r>
      <w:r w:rsidR="004C74CA">
        <w:rPr>
          <w:rFonts w:ascii="Times New Roman" w:hAnsi="Times New Roman" w:cs="Times New Roman"/>
          <w:sz w:val="24"/>
          <w:szCs w:val="24"/>
        </w:rPr>
        <w:t xml:space="preserve">iversity of technology </w:t>
      </w:r>
      <w:proofErr w:type="spellStart"/>
      <w:r w:rsidR="004C74CA">
        <w:rPr>
          <w:rFonts w:ascii="Times New Roman" w:hAnsi="Times New Roman" w:cs="Times New Roman"/>
          <w:sz w:val="24"/>
          <w:szCs w:val="24"/>
        </w:rPr>
        <w:t>Minna</w:t>
      </w:r>
      <w:proofErr w:type="spellEnd"/>
      <w:r w:rsidR="004C74CA">
        <w:rPr>
          <w:rFonts w:ascii="Times New Roman" w:hAnsi="Times New Roman" w:cs="Times New Roman"/>
          <w:sz w:val="24"/>
          <w:szCs w:val="24"/>
        </w:rPr>
        <w:t xml:space="preserve">, </w:t>
      </w:r>
      <w:r w:rsidR="00F91AF1" w:rsidRPr="00E71565">
        <w:rPr>
          <w:rFonts w:ascii="Times New Roman" w:hAnsi="Times New Roman" w:cs="Times New Roman"/>
          <w:sz w:val="24"/>
          <w:szCs w:val="24"/>
        </w:rPr>
        <w:t>Niger</w:t>
      </w:r>
      <w:r w:rsidRPr="00E71565">
        <w:rPr>
          <w:rFonts w:ascii="Times New Roman" w:hAnsi="Times New Roman" w:cs="Times New Roman"/>
          <w:sz w:val="24"/>
          <w:szCs w:val="24"/>
        </w:rPr>
        <w:t xml:space="preserve"> State, Nigeria</w:t>
      </w:r>
    </w:p>
    <w:p w14:paraId="12CD90EA" w14:textId="561F77E9" w:rsidR="00CE12BB" w:rsidRPr="00E71565" w:rsidRDefault="00CE12BB" w:rsidP="00CE12BB">
      <w:pPr>
        <w:spacing w:after="4"/>
        <w:ind w:left="10" w:right="5" w:hanging="10"/>
        <w:jc w:val="center"/>
        <w:rPr>
          <w:rFonts w:ascii="Times New Roman" w:hAnsi="Times New Roman" w:cs="Times New Roman"/>
          <w:sz w:val="24"/>
          <w:szCs w:val="24"/>
        </w:rPr>
      </w:pPr>
      <w:r w:rsidRPr="00E71565">
        <w:rPr>
          <w:rFonts w:ascii="Times New Roman" w:hAnsi="Times New Roman" w:cs="Times New Roman"/>
          <w:sz w:val="24"/>
          <w:szCs w:val="24"/>
          <w:vertAlign w:val="superscript"/>
        </w:rPr>
        <w:t>2</w:t>
      </w:r>
      <w:r w:rsidRPr="00E71565">
        <w:rPr>
          <w:rFonts w:ascii="Times New Roman" w:hAnsi="Times New Roman" w:cs="Times New Roman"/>
          <w:sz w:val="24"/>
          <w:szCs w:val="24"/>
        </w:rPr>
        <w:t>Depart</w:t>
      </w:r>
      <w:r w:rsidR="00F91AF1" w:rsidRPr="00E71565">
        <w:rPr>
          <w:rFonts w:ascii="Times New Roman" w:hAnsi="Times New Roman" w:cs="Times New Roman"/>
          <w:sz w:val="24"/>
          <w:szCs w:val="24"/>
        </w:rPr>
        <w:t>ment of Architecture</w:t>
      </w:r>
      <w:r w:rsidRPr="00E71565">
        <w:rPr>
          <w:rFonts w:ascii="Times New Roman" w:hAnsi="Times New Roman" w:cs="Times New Roman"/>
          <w:sz w:val="24"/>
          <w:szCs w:val="24"/>
        </w:rPr>
        <w:t xml:space="preserve">, </w:t>
      </w:r>
      <w:r w:rsidR="00F91AF1" w:rsidRPr="00E71565">
        <w:rPr>
          <w:rFonts w:ascii="Times New Roman" w:hAnsi="Times New Roman" w:cs="Times New Roman"/>
          <w:sz w:val="24"/>
          <w:szCs w:val="24"/>
        </w:rPr>
        <w:t xml:space="preserve">Federal University of technology </w:t>
      </w:r>
      <w:proofErr w:type="spellStart"/>
      <w:r w:rsidR="00F91AF1" w:rsidRPr="00E71565">
        <w:rPr>
          <w:rFonts w:ascii="Times New Roman" w:hAnsi="Times New Roman" w:cs="Times New Roman"/>
          <w:sz w:val="24"/>
          <w:szCs w:val="24"/>
        </w:rPr>
        <w:t>Minna</w:t>
      </w:r>
      <w:proofErr w:type="spellEnd"/>
      <w:r w:rsidR="004C74CA">
        <w:rPr>
          <w:rFonts w:ascii="Times New Roman" w:hAnsi="Times New Roman" w:cs="Times New Roman"/>
          <w:sz w:val="24"/>
          <w:szCs w:val="24"/>
        </w:rPr>
        <w:t>,</w:t>
      </w:r>
      <w:r w:rsidR="00F91AF1" w:rsidRPr="00E71565">
        <w:rPr>
          <w:rFonts w:ascii="Times New Roman" w:hAnsi="Times New Roman" w:cs="Times New Roman"/>
          <w:sz w:val="24"/>
          <w:szCs w:val="24"/>
        </w:rPr>
        <w:t xml:space="preserve"> Niger State, Nigeria</w:t>
      </w:r>
    </w:p>
    <w:p w14:paraId="733D1A07" w14:textId="6E1073ED" w:rsidR="00CE12BB" w:rsidRPr="00E71565" w:rsidRDefault="00F91AF1" w:rsidP="00CE12BB">
      <w:pPr>
        <w:spacing w:after="4"/>
        <w:ind w:left="10" w:right="5" w:hanging="10"/>
        <w:jc w:val="center"/>
        <w:rPr>
          <w:rFonts w:ascii="Times New Roman" w:hAnsi="Times New Roman" w:cs="Times New Roman"/>
          <w:sz w:val="24"/>
          <w:szCs w:val="24"/>
        </w:rPr>
      </w:pPr>
      <w:r w:rsidRPr="00E71565">
        <w:rPr>
          <w:rFonts w:ascii="Times New Roman" w:hAnsi="Times New Roman" w:cs="Times New Roman"/>
          <w:sz w:val="24"/>
          <w:szCs w:val="24"/>
        </w:rPr>
        <w:t>Corresponding author email: sekinat.abdul@futminna.edu.ng</w:t>
      </w:r>
    </w:p>
    <w:p w14:paraId="1048082E" w14:textId="77777777" w:rsidR="004C74CA" w:rsidRDefault="004C74CA" w:rsidP="00F91AF1">
      <w:pPr>
        <w:pStyle w:val="Heading1"/>
        <w:numPr>
          <w:ilvl w:val="0"/>
          <w:numId w:val="0"/>
        </w:numPr>
        <w:spacing w:after="0"/>
        <w:rPr>
          <w:i/>
          <w:sz w:val="24"/>
          <w:szCs w:val="24"/>
        </w:rPr>
      </w:pPr>
    </w:p>
    <w:p w14:paraId="5C6F1BBB" w14:textId="77777777" w:rsidR="00F91AF1" w:rsidRPr="00E71565" w:rsidRDefault="00F91AF1" w:rsidP="00F91AF1">
      <w:pPr>
        <w:pStyle w:val="Heading1"/>
        <w:numPr>
          <w:ilvl w:val="0"/>
          <w:numId w:val="0"/>
        </w:numPr>
        <w:spacing w:after="0"/>
        <w:rPr>
          <w:i/>
          <w:sz w:val="24"/>
          <w:szCs w:val="24"/>
        </w:rPr>
      </w:pPr>
      <w:r w:rsidRPr="00E71565">
        <w:rPr>
          <w:i/>
          <w:sz w:val="24"/>
          <w:szCs w:val="24"/>
        </w:rPr>
        <w:t>ABSTRACT</w:t>
      </w:r>
    </w:p>
    <w:p w14:paraId="58E725A8" w14:textId="7605393C" w:rsidR="00F91AF1" w:rsidRPr="00E71565" w:rsidRDefault="00F91AF1" w:rsidP="004C74CA">
      <w:pPr>
        <w:spacing w:after="0"/>
        <w:jc w:val="both"/>
        <w:rPr>
          <w:rFonts w:ascii="Times New Roman" w:hAnsi="Times New Roman" w:cs="Times New Roman"/>
          <w:i/>
          <w:sz w:val="24"/>
          <w:szCs w:val="24"/>
        </w:rPr>
      </w:pPr>
      <w:r w:rsidRPr="00E71565">
        <w:rPr>
          <w:rFonts w:ascii="Times New Roman" w:hAnsi="Times New Roman" w:cs="Times New Roman"/>
          <w:b/>
          <w:i/>
          <w:sz w:val="24"/>
          <w:szCs w:val="24"/>
        </w:rPr>
        <w:t>Purpose:</w:t>
      </w:r>
      <w:r w:rsidRPr="00E71565">
        <w:rPr>
          <w:rFonts w:ascii="Times New Roman" w:hAnsi="Times New Roman" w:cs="Times New Roman"/>
          <w:i/>
          <w:sz w:val="24"/>
          <w:szCs w:val="24"/>
        </w:rPr>
        <w:t xml:space="preserve"> </w:t>
      </w:r>
      <w:r w:rsidRPr="00E71565">
        <w:rPr>
          <w:rFonts w:ascii="Times New Roman" w:hAnsi="Times New Roman" w:cs="Times New Roman"/>
          <w:bCs/>
          <w:i/>
          <w:sz w:val="24"/>
          <w:szCs w:val="24"/>
        </w:rPr>
        <w:t xml:space="preserve">The rental value of residential properties is determined by a complex interplay of socio-economic and physical factors, among which neighborhood density and location are paramount. The aim of this study is to investigate the rental value dynamics of residential properties across low, medium, and high-density neighborhoods—specifically </w:t>
      </w:r>
      <w:proofErr w:type="spellStart"/>
      <w:r w:rsidRPr="00E71565">
        <w:rPr>
          <w:rFonts w:ascii="Times New Roman" w:hAnsi="Times New Roman" w:cs="Times New Roman"/>
          <w:bCs/>
          <w:i/>
          <w:sz w:val="24"/>
          <w:szCs w:val="24"/>
        </w:rPr>
        <w:t>Fadikpe</w:t>
      </w:r>
      <w:proofErr w:type="spellEnd"/>
      <w:r w:rsidRPr="00E71565">
        <w:rPr>
          <w:rFonts w:ascii="Times New Roman" w:hAnsi="Times New Roman" w:cs="Times New Roman"/>
          <w:bCs/>
          <w:i/>
          <w:sz w:val="24"/>
          <w:szCs w:val="24"/>
        </w:rPr>
        <w:t xml:space="preserve">, </w:t>
      </w:r>
      <w:proofErr w:type="spellStart"/>
      <w:r w:rsidRPr="00E71565">
        <w:rPr>
          <w:rFonts w:ascii="Times New Roman" w:hAnsi="Times New Roman" w:cs="Times New Roman"/>
          <w:bCs/>
          <w:i/>
          <w:sz w:val="24"/>
          <w:szCs w:val="24"/>
        </w:rPr>
        <w:t>Tundun</w:t>
      </w:r>
      <w:proofErr w:type="spellEnd"/>
      <w:r w:rsidRPr="00E71565">
        <w:rPr>
          <w:rFonts w:ascii="Times New Roman" w:hAnsi="Times New Roman" w:cs="Times New Roman"/>
          <w:bCs/>
          <w:i/>
          <w:sz w:val="24"/>
          <w:szCs w:val="24"/>
        </w:rPr>
        <w:t xml:space="preserve"> Fulani, and </w:t>
      </w:r>
      <w:proofErr w:type="spellStart"/>
      <w:r w:rsidRPr="00E71565">
        <w:rPr>
          <w:rFonts w:ascii="Times New Roman" w:hAnsi="Times New Roman" w:cs="Times New Roman"/>
          <w:bCs/>
          <w:i/>
          <w:sz w:val="24"/>
          <w:szCs w:val="24"/>
        </w:rPr>
        <w:t>Bosso</w:t>
      </w:r>
      <w:proofErr w:type="spellEnd"/>
      <w:r w:rsidRPr="00E71565">
        <w:rPr>
          <w:rFonts w:ascii="Times New Roman" w:hAnsi="Times New Roman" w:cs="Times New Roman"/>
          <w:bCs/>
          <w:i/>
          <w:sz w:val="24"/>
          <w:szCs w:val="24"/>
        </w:rPr>
        <w:t xml:space="preserve"> Estate, respectively—in </w:t>
      </w:r>
      <w:proofErr w:type="spellStart"/>
      <w:r w:rsidRPr="00E71565">
        <w:rPr>
          <w:rFonts w:ascii="Times New Roman" w:hAnsi="Times New Roman" w:cs="Times New Roman"/>
          <w:bCs/>
          <w:i/>
          <w:sz w:val="24"/>
          <w:szCs w:val="24"/>
        </w:rPr>
        <w:t>Minna</w:t>
      </w:r>
      <w:proofErr w:type="spellEnd"/>
      <w:r w:rsidRPr="00E71565">
        <w:rPr>
          <w:rFonts w:ascii="Times New Roman" w:hAnsi="Times New Roman" w:cs="Times New Roman"/>
          <w:bCs/>
          <w:i/>
          <w:sz w:val="24"/>
          <w:szCs w:val="24"/>
        </w:rPr>
        <w:t>, Nigeria, for the period 2013–2025.</w:t>
      </w:r>
    </w:p>
    <w:p w14:paraId="60D659CD" w14:textId="64FC7619" w:rsidR="00726C50" w:rsidRPr="00E71565" w:rsidRDefault="00F91AF1" w:rsidP="004C74CA">
      <w:pPr>
        <w:spacing w:after="0"/>
        <w:jc w:val="both"/>
        <w:rPr>
          <w:rFonts w:ascii="Times New Roman" w:hAnsi="Times New Roman" w:cs="Times New Roman"/>
          <w:i/>
          <w:sz w:val="24"/>
          <w:szCs w:val="24"/>
        </w:rPr>
      </w:pPr>
      <w:r w:rsidRPr="00E71565">
        <w:rPr>
          <w:rFonts w:ascii="Times New Roman" w:hAnsi="Times New Roman" w:cs="Times New Roman"/>
          <w:b/>
          <w:i/>
          <w:sz w:val="24"/>
          <w:szCs w:val="24"/>
        </w:rPr>
        <w:t>Design/methodology/approach:</w:t>
      </w:r>
      <w:r w:rsidRPr="00E71565">
        <w:rPr>
          <w:rFonts w:ascii="Times New Roman" w:hAnsi="Times New Roman" w:cs="Times New Roman"/>
          <w:i/>
          <w:sz w:val="24"/>
          <w:szCs w:val="24"/>
        </w:rPr>
        <w:t xml:space="preserve"> To achieve this aim, </w:t>
      </w:r>
      <w:r w:rsidR="00726C50" w:rsidRPr="00E71565">
        <w:rPr>
          <w:rFonts w:ascii="Times New Roman" w:hAnsi="Times New Roman" w:cs="Times New Roman"/>
          <w:bCs/>
          <w:i/>
          <w:sz w:val="24"/>
          <w:szCs w:val="24"/>
        </w:rPr>
        <w:t xml:space="preserve">primary data were elicited from a sample of 226 tenants and 10 registered Estate Surveyors and </w:t>
      </w:r>
      <w:proofErr w:type="spellStart"/>
      <w:r w:rsidR="00726C50" w:rsidRPr="00E71565">
        <w:rPr>
          <w:rFonts w:ascii="Times New Roman" w:hAnsi="Times New Roman" w:cs="Times New Roman"/>
          <w:bCs/>
          <w:i/>
          <w:sz w:val="24"/>
          <w:szCs w:val="24"/>
        </w:rPr>
        <w:t>Valuers</w:t>
      </w:r>
      <w:proofErr w:type="spellEnd"/>
      <w:r w:rsidR="00726C50" w:rsidRPr="00E71565">
        <w:rPr>
          <w:rFonts w:ascii="Times New Roman" w:hAnsi="Times New Roman" w:cs="Times New Roman"/>
          <w:bCs/>
          <w:i/>
          <w:sz w:val="24"/>
          <w:szCs w:val="24"/>
        </w:rPr>
        <w:t xml:space="preserve"> within the selected density zones. The data were analyzed using descriptive statistics, including tables, percentages, and charts. To evaluate the pace of appreciation, the Rental Growth Rate (RGR) was calculated annually, while a Two-way Analysis of Variance (ANOVA) was employed to test for statistically significant variations in rental values across different property types and neighborhood densities.</w:t>
      </w:r>
    </w:p>
    <w:p w14:paraId="40C37BED" w14:textId="18A792B3" w:rsidR="00726C50" w:rsidRPr="00E71565" w:rsidRDefault="00F91AF1" w:rsidP="004C74CA">
      <w:pPr>
        <w:spacing w:after="0"/>
        <w:jc w:val="both"/>
        <w:rPr>
          <w:rFonts w:ascii="Times New Roman" w:hAnsi="Times New Roman" w:cs="Times New Roman"/>
          <w:b/>
          <w:i/>
          <w:sz w:val="24"/>
          <w:szCs w:val="24"/>
        </w:rPr>
      </w:pPr>
      <w:r w:rsidRPr="00E71565">
        <w:rPr>
          <w:rFonts w:ascii="Times New Roman" w:hAnsi="Times New Roman" w:cs="Times New Roman"/>
          <w:b/>
          <w:i/>
          <w:sz w:val="24"/>
          <w:szCs w:val="24"/>
        </w:rPr>
        <w:t xml:space="preserve">Findings: </w:t>
      </w:r>
      <w:r w:rsidR="00726C50" w:rsidRPr="00E71565">
        <w:rPr>
          <w:rFonts w:ascii="Times New Roman" w:hAnsi="Times New Roman" w:cs="Times New Roman"/>
          <w:bCs/>
          <w:i/>
          <w:sz w:val="24"/>
          <w:szCs w:val="24"/>
        </w:rPr>
        <w:t xml:space="preserve">Findings indicated a sustained increase in demand for rental housing in </w:t>
      </w:r>
      <w:proofErr w:type="spellStart"/>
      <w:r w:rsidR="00726C50" w:rsidRPr="00E71565">
        <w:rPr>
          <w:rFonts w:ascii="Times New Roman" w:hAnsi="Times New Roman" w:cs="Times New Roman"/>
          <w:bCs/>
          <w:i/>
          <w:sz w:val="24"/>
          <w:szCs w:val="24"/>
        </w:rPr>
        <w:t>Minna</w:t>
      </w:r>
      <w:proofErr w:type="spellEnd"/>
      <w:r w:rsidR="00726C50" w:rsidRPr="00E71565">
        <w:rPr>
          <w:rFonts w:ascii="Times New Roman" w:hAnsi="Times New Roman" w:cs="Times New Roman"/>
          <w:bCs/>
          <w:i/>
          <w:sz w:val="24"/>
          <w:szCs w:val="24"/>
        </w:rPr>
        <w:t>, exerting significant upward pressure on rental values for all residential categories. The inferential analysis further confirmed statistically significant variations in rental values across the studied density zones.</w:t>
      </w:r>
    </w:p>
    <w:p w14:paraId="7097E559" w14:textId="2B7572CB" w:rsidR="004C74CA" w:rsidRPr="004C74CA" w:rsidRDefault="00F91AF1" w:rsidP="004C74CA">
      <w:pPr>
        <w:spacing w:after="0"/>
        <w:jc w:val="both"/>
        <w:rPr>
          <w:rFonts w:ascii="Times New Roman" w:hAnsi="Times New Roman" w:cs="Times New Roman"/>
          <w:i/>
          <w:sz w:val="24"/>
          <w:szCs w:val="24"/>
        </w:rPr>
      </w:pPr>
      <w:r w:rsidRPr="00E71565">
        <w:rPr>
          <w:rFonts w:ascii="Times New Roman" w:hAnsi="Times New Roman" w:cs="Times New Roman"/>
          <w:b/>
          <w:i/>
          <w:sz w:val="24"/>
          <w:szCs w:val="24"/>
        </w:rPr>
        <w:t>Research limitations/Implications</w:t>
      </w:r>
      <w:r w:rsidRPr="00E71565">
        <w:rPr>
          <w:rFonts w:ascii="Times New Roman" w:hAnsi="Times New Roman" w:cs="Times New Roman"/>
          <w:i/>
          <w:sz w:val="24"/>
          <w:szCs w:val="24"/>
        </w:rPr>
        <w:t xml:space="preserve">: The limitations include </w:t>
      </w:r>
      <w:r w:rsidR="00726C50" w:rsidRPr="00E71565">
        <w:rPr>
          <w:rFonts w:ascii="Times New Roman" w:hAnsi="Times New Roman" w:cs="Times New Roman"/>
          <w:i/>
          <w:sz w:val="24"/>
          <w:szCs w:val="24"/>
        </w:rPr>
        <w:t>the use of only three neighborhood densities</w:t>
      </w:r>
      <w:r w:rsidRPr="00E71565">
        <w:rPr>
          <w:rFonts w:ascii="Times New Roman" w:hAnsi="Times New Roman" w:cs="Times New Roman"/>
          <w:i/>
          <w:sz w:val="24"/>
          <w:szCs w:val="24"/>
        </w:rPr>
        <w:t xml:space="preserve"> and </w:t>
      </w:r>
      <w:r w:rsidR="00726C50" w:rsidRPr="00E71565">
        <w:rPr>
          <w:rFonts w:ascii="Times New Roman" w:hAnsi="Times New Roman" w:cs="Times New Roman"/>
          <w:i/>
          <w:sz w:val="24"/>
          <w:szCs w:val="24"/>
        </w:rPr>
        <w:t xml:space="preserve">three types of residential properties in </w:t>
      </w:r>
      <w:proofErr w:type="spellStart"/>
      <w:r w:rsidR="00726C50" w:rsidRPr="00E71565">
        <w:rPr>
          <w:rFonts w:ascii="Times New Roman" w:hAnsi="Times New Roman" w:cs="Times New Roman"/>
          <w:i/>
          <w:sz w:val="24"/>
          <w:szCs w:val="24"/>
        </w:rPr>
        <w:t>Minna</w:t>
      </w:r>
      <w:proofErr w:type="spellEnd"/>
      <w:r w:rsidR="00726C50" w:rsidRPr="00E71565">
        <w:rPr>
          <w:rFonts w:ascii="Times New Roman" w:hAnsi="Times New Roman" w:cs="Times New Roman"/>
          <w:i/>
          <w:sz w:val="24"/>
          <w:szCs w:val="24"/>
        </w:rPr>
        <w:t xml:space="preserve">, Nigeria. </w:t>
      </w:r>
      <w:r w:rsidR="004C74CA">
        <w:rPr>
          <w:rFonts w:ascii="Times New Roman" w:hAnsi="Times New Roman" w:cs="Times New Roman"/>
          <w:i/>
          <w:sz w:val="24"/>
          <w:szCs w:val="24"/>
        </w:rPr>
        <w:t>This research highlights that</w:t>
      </w:r>
      <w:r w:rsidR="004C74CA" w:rsidRPr="00E71565">
        <w:rPr>
          <w:rFonts w:ascii="Times New Roman" w:hAnsi="Times New Roman" w:cs="Times New Roman"/>
          <w:i/>
          <w:sz w:val="24"/>
          <w:szCs w:val="24"/>
        </w:rPr>
        <w:t xml:space="preserve"> </w:t>
      </w:r>
      <w:r w:rsidR="00667989">
        <w:rPr>
          <w:rFonts w:ascii="Times New Roman" w:hAnsi="Times New Roman" w:cs="Times New Roman"/>
          <w:i/>
          <w:sz w:val="24"/>
          <w:szCs w:val="24"/>
        </w:rPr>
        <w:t xml:space="preserve">the </w:t>
      </w:r>
      <w:r w:rsidR="004C74CA" w:rsidRPr="00E71565">
        <w:rPr>
          <w:rFonts w:ascii="Times New Roman" w:hAnsi="Times New Roman" w:cs="Times New Roman"/>
          <w:bCs/>
          <w:i/>
          <w:sz w:val="24"/>
          <w:szCs w:val="24"/>
        </w:rPr>
        <w:t xml:space="preserve">rental disparities have profound implications for housing affordability, living conditions, investment patterns, and broader urban development. </w:t>
      </w:r>
      <w:r w:rsidR="004C74CA">
        <w:rPr>
          <w:rFonts w:ascii="Times New Roman" w:hAnsi="Times New Roman" w:cs="Times New Roman"/>
          <w:i/>
          <w:sz w:val="24"/>
          <w:szCs w:val="24"/>
        </w:rPr>
        <w:t>W</w:t>
      </w:r>
      <w:r w:rsidR="004C74CA" w:rsidRPr="00277D65">
        <w:rPr>
          <w:rFonts w:ascii="Times New Roman" w:hAnsi="Times New Roman" w:cs="Times New Roman"/>
          <w:i/>
          <w:sz w:val="24"/>
          <w:szCs w:val="24"/>
        </w:rPr>
        <w:t xml:space="preserve">here high-yield gentrification in high-density zones </w:t>
      </w:r>
      <w:r w:rsidR="004C74CA">
        <w:rPr>
          <w:rFonts w:ascii="Times New Roman" w:hAnsi="Times New Roman" w:cs="Times New Roman"/>
          <w:i/>
          <w:sz w:val="24"/>
          <w:szCs w:val="24"/>
        </w:rPr>
        <w:t xml:space="preserve">threatens housing affordability and overcrowding; </w:t>
      </w:r>
      <w:r w:rsidR="004C74CA" w:rsidRPr="00E71565">
        <w:rPr>
          <w:rFonts w:ascii="Times New Roman" w:hAnsi="Times New Roman" w:cs="Times New Roman"/>
          <w:bCs/>
          <w:i/>
          <w:sz w:val="24"/>
          <w:szCs w:val="24"/>
        </w:rPr>
        <w:t>conversely, low-density neighborhoods experienced relative underdevelopment due to limited investment</w:t>
      </w:r>
      <w:r w:rsidR="004C74CA">
        <w:rPr>
          <w:rFonts w:ascii="Times New Roman" w:hAnsi="Times New Roman" w:cs="Times New Roman"/>
          <w:bCs/>
          <w:i/>
          <w:sz w:val="24"/>
          <w:szCs w:val="24"/>
        </w:rPr>
        <w:t xml:space="preserve">. This implies that </w:t>
      </w:r>
      <w:r w:rsidR="004C74CA" w:rsidRPr="00277D65">
        <w:rPr>
          <w:rFonts w:ascii="Times New Roman" w:hAnsi="Times New Roman" w:cs="Times New Roman"/>
          <w:i/>
          <w:sz w:val="24"/>
          <w:szCs w:val="24"/>
        </w:rPr>
        <w:t xml:space="preserve">without balanced policy intervention and infrastructure upgrades in low-density areas, urban inequality and overcrowding in </w:t>
      </w:r>
      <w:proofErr w:type="spellStart"/>
      <w:r w:rsidR="004C74CA" w:rsidRPr="00277D65">
        <w:rPr>
          <w:rFonts w:ascii="Times New Roman" w:hAnsi="Times New Roman" w:cs="Times New Roman"/>
          <w:i/>
          <w:sz w:val="24"/>
          <w:szCs w:val="24"/>
        </w:rPr>
        <w:t>Minna</w:t>
      </w:r>
      <w:proofErr w:type="spellEnd"/>
      <w:r w:rsidR="004C74CA" w:rsidRPr="00277D65">
        <w:rPr>
          <w:rFonts w:ascii="Times New Roman" w:hAnsi="Times New Roman" w:cs="Times New Roman"/>
          <w:i/>
          <w:sz w:val="24"/>
          <w:szCs w:val="24"/>
        </w:rPr>
        <w:t xml:space="preserve"> will continue to intensify.</w:t>
      </w:r>
    </w:p>
    <w:p w14:paraId="20EC367F" w14:textId="77777777" w:rsidR="00D03433" w:rsidRPr="00E71565" w:rsidRDefault="00F91AF1" w:rsidP="004C74CA">
      <w:pPr>
        <w:pStyle w:val="BodyText"/>
        <w:spacing w:line="240" w:lineRule="auto"/>
        <w:jc w:val="both"/>
        <w:rPr>
          <w:rFonts w:ascii="Times New Roman" w:hAnsi="Times New Roman" w:cs="Times New Roman"/>
          <w:bCs/>
          <w:i/>
          <w:sz w:val="24"/>
          <w:szCs w:val="24"/>
        </w:rPr>
      </w:pPr>
      <w:r w:rsidRPr="00E71565">
        <w:rPr>
          <w:rFonts w:ascii="Times New Roman" w:hAnsi="Times New Roman" w:cs="Times New Roman"/>
          <w:b/>
          <w:i/>
          <w:sz w:val="24"/>
          <w:szCs w:val="24"/>
        </w:rPr>
        <w:t xml:space="preserve">Practical implications: </w:t>
      </w:r>
      <w:r w:rsidRPr="00E71565">
        <w:rPr>
          <w:rFonts w:ascii="Times New Roman" w:hAnsi="Times New Roman" w:cs="Times New Roman"/>
          <w:i/>
          <w:sz w:val="24"/>
          <w:szCs w:val="24"/>
        </w:rPr>
        <w:t xml:space="preserve">It is recommended that </w:t>
      </w:r>
      <w:r w:rsidR="00D03433" w:rsidRPr="00E71565">
        <w:rPr>
          <w:rFonts w:ascii="Times New Roman" w:hAnsi="Times New Roman" w:cs="Times New Roman"/>
          <w:bCs/>
          <w:i/>
          <w:sz w:val="24"/>
          <w:szCs w:val="24"/>
        </w:rPr>
        <w:t>policymakers should implement balanced development strategies, promote infrastructure upgrades in low-density areas and enforce rent control regulations to ensure housing affordability across all neighborhoods density.</w:t>
      </w:r>
    </w:p>
    <w:p w14:paraId="6F47AD4C" w14:textId="46D46380" w:rsidR="00277D65" w:rsidRDefault="00F91AF1" w:rsidP="004C74CA">
      <w:pPr>
        <w:spacing w:after="0"/>
        <w:jc w:val="both"/>
        <w:rPr>
          <w:rFonts w:ascii="Times New Roman" w:hAnsi="Times New Roman" w:cs="Times New Roman"/>
          <w:i/>
          <w:sz w:val="24"/>
          <w:szCs w:val="24"/>
        </w:rPr>
      </w:pPr>
      <w:r w:rsidRPr="00E71565">
        <w:rPr>
          <w:rFonts w:ascii="Times New Roman" w:hAnsi="Times New Roman" w:cs="Times New Roman"/>
          <w:b/>
          <w:i/>
          <w:sz w:val="24"/>
          <w:szCs w:val="24"/>
        </w:rPr>
        <w:t>Originality/value</w:t>
      </w:r>
      <w:r w:rsidR="00D740D1" w:rsidRPr="00E71565">
        <w:rPr>
          <w:rFonts w:ascii="Times New Roman" w:hAnsi="Times New Roman" w:cs="Times New Roman"/>
          <w:i/>
          <w:sz w:val="24"/>
          <w:szCs w:val="24"/>
        </w:rPr>
        <w:t xml:space="preserve"> – </w:t>
      </w:r>
      <w:r w:rsidR="00277D65">
        <w:rPr>
          <w:rFonts w:ascii="Times New Roman" w:hAnsi="Times New Roman" w:cs="Times New Roman"/>
          <w:i/>
          <w:sz w:val="24"/>
          <w:szCs w:val="24"/>
        </w:rPr>
        <w:t>T</w:t>
      </w:r>
      <w:r w:rsidR="00277D65" w:rsidRPr="00277D65">
        <w:rPr>
          <w:rFonts w:ascii="Times New Roman" w:hAnsi="Times New Roman" w:cs="Times New Roman"/>
          <w:i/>
          <w:sz w:val="24"/>
          <w:szCs w:val="24"/>
        </w:rPr>
        <w:t>his research uniquely establishes the statistical interaction between property types and neighborhoo</w:t>
      </w:r>
      <w:r w:rsidR="00277D65">
        <w:rPr>
          <w:rFonts w:ascii="Times New Roman" w:hAnsi="Times New Roman" w:cs="Times New Roman"/>
          <w:i/>
          <w:sz w:val="24"/>
          <w:szCs w:val="24"/>
        </w:rPr>
        <w:t xml:space="preserve">d density in </w:t>
      </w:r>
      <w:proofErr w:type="spellStart"/>
      <w:r w:rsidR="00277D65">
        <w:rPr>
          <w:rFonts w:ascii="Times New Roman" w:hAnsi="Times New Roman" w:cs="Times New Roman"/>
          <w:i/>
          <w:sz w:val="24"/>
          <w:szCs w:val="24"/>
        </w:rPr>
        <w:t>Minna</w:t>
      </w:r>
      <w:proofErr w:type="spellEnd"/>
      <w:r w:rsidR="00277D65">
        <w:rPr>
          <w:rFonts w:ascii="Times New Roman" w:hAnsi="Times New Roman" w:cs="Times New Roman"/>
          <w:i/>
          <w:sz w:val="24"/>
          <w:szCs w:val="24"/>
        </w:rPr>
        <w:t xml:space="preserve"> over a thirteen</w:t>
      </w:r>
      <w:r w:rsidR="00277D65" w:rsidRPr="00277D65">
        <w:rPr>
          <w:rFonts w:ascii="Times New Roman" w:hAnsi="Times New Roman" w:cs="Times New Roman"/>
          <w:i/>
          <w:sz w:val="24"/>
          <w:szCs w:val="24"/>
        </w:rPr>
        <w:t>-year period (</w:t>
      </w:r>
      <w:r w:rsidR="00277D65" w:rsidRPr="00277D65">
        <w:rPr>
          <w:rFonts w:ascii="Times New Roman" w:hAnsi="Times New Roman" w:cs="Times New Roman"/>
          <w:bCs/>
          <w:i/>
          <w:sz w:val="24"/>
          <w:szCs w:val="24"/>
        </w:rPr>
        <w:t>2013–2025</w:t>
      </w:r>
      <w:r w:rsidR="00277D65" w:rsidRPr="00277D65">
        <w:rPr>
          <w:rFonts w:ascii="Times New Roman" w:hAnsi="Times New Roman" w:cs="Times New Roman"/>
          <w:i/>
          <w:sz w:val="24"/>
          <w:szCs w:val="24"/>
        </w:rPr>
        <w:t xml:space="preserve">), uncovering an </w:t>
      </w:r>
      <w:r w:rsidR="00277D65" w:rsidRPr="00277D65">
        <w:rPr>
          <w:rFonts w:ascii="Times New Roman" w:hAnsi="Times New Roman" w:cs="Times New Roman"/>
          <w:i/>
          <w:sz w:val="24"/>
          <w:szCs w:val="24"/>
        </w:rPr>
        <w:lastRenderedPageBreak/>
        <w:t>"investment-infrastructural paradox" where high-yield gentrification in high-density zones contrasts with investment stagnation in low-density areas.</w:t>
      </w:r>
    </w:p>
    <w:p w14:paraId="3309C3F3" w14:textId="77777777" w:rsidR="004969AF" w:rsidRPr="00E71565" w:rsidRDefault="004969AF" w:rsidP="007A19BE">
      <w:pPr>
        <w:spacing w:line="240" w:lineRule="auto"/>
        <w:jc w:val="both"/>
        <w:rPr>
          <w:rFonts w:ascii="Times New Roman" w:hAnsi="Times New Roman" w:cs="Times New Roman"/>
          <w:b/>
          <w:sz w:val="24"/>
          <w:szCs w:val="24"/>
        </w:rPr>
      </w:pPr>
      <w:r w:rsidRPr="00E71565">
        <w:rPr>
          <w:rFonts w:ascii="Times New Roman" w:hAnsi="Times New Roman" w:cs="Times New Roman"/>
          <w:b/>
          <w:sz w:val="24"/>
          <w:szCs w:val="24"/>
        </w:rPr>
        <w:t>Keywords: Rental Growth, Rental Values, Rental Variation, Residential Property Types, Neighborhood Density</w:t>
      </w:r>
    </w:p>
    <w:p w14:paraId="48F6708B" w14:textId="77777777" w:rsidR="004C74CA" w:rsidRDefault="004C74CA" w:rsidP="007A19BE">
      <w:pPr>
        <w:tabs>
          <w:tab w:val="left" w:pos="5714"/>
        </w:tabs>
        <w:spacing w:line="240" w:lineRule="auto"/>
        <w:rPr>
          <w:rFonts w:ascii="Times New Roman" w:hAnsi="Times New Roman" w:cs="Times New Roman"/>
          <w:b/>
          <w:bCs/>
          <w:sz w:val="24"/>
          <w:szCs w:val="24"/>
        </w:rPr>
      </w:pPr>
    </w:p>
    <w:p w14:paraId="0ED8B4C8" w14:textId="3366599C" w:rsidR="003B5F26" w:rsidRPr="00E71565" w:rsidRDefault="00684776" w:rsidP="007A19BE">
      <w:pPr>
        <w:tabs>
          <w:tab w:val="left" w:pos="5714"/>
        </w:tabs>
        <w:spacing w:line="240" w:lineRule="auto"/>
        <w:rPr>
          <w:rFonts w:ascii="Times New Roman" w:hAnsi="Times New Roman" w:cs="Times New Roman"/>
          <w:b/>
          <w:bCs/>
          <w:sz w:val="24"/>
          <w:szCs w:val="24"/>
        </w:rPr>
      </w:pPr>
      <w:r w:rsidRPr="00E71565">
        <w:rPr>
          <w:rFonts w:ascii="Times New Roman" w:hAnsi="Times New Roman" w:cs="Times New Roman"/>
          <w:b/>
          <w:bCs/>
          <w:sz w:val="24"/>
          <w:szCs w:val="24"/>
        </w:rPr>
        <w:t>1.0 INTRODUCTION</w:t>
      </w:r>
      <w:r w:rsidR="003B5F26" w:rsidRPr="00E71565">
        <w:rPr>
          <w:rFonts w:ascii="Times New Roman" w:hAnsi="Times New Roman" w:cs="Times New Roman"/>
          <w:b/>
          <w:bCs/>
          <w:sz w:val="24"/>
          <w:szCs w:val="24"/>
        </w:rPr>
        <w:tab/>
      </w:r>
    </w:p>
    <w:p w14:paraId="2A9C275D" w14:textId="77777777" w:rsidR="003B5F26" w:rsidRPr="00E71565" w:rsidRDefault="003B5F26"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Investment in the real estate sector has recently followed a dramatic trajectory, driven primarily by the escalating demand for urban housing and competing land uses (</w:t>
      </w:r>
      <w:proofErr w:type="spellStart"/>
      <w:r w:rsidRPr="00E71565">
        <w:rPr>
          <w:rFonts w:ascii="Times New Roman" w:hAnsi="Times New Roman" w:cs="Times New Roman"/>
          <w:bCs/>
          <w:sz w:val="24"/>
          <w:szCs w:val="24"/>
        </w:rPr>
        <w:t>Ankeli</w:t>
      </w:r>
      <w:proofErr w:type="spellEnd"/>
      <w:r w:rsidRPr="00E71565">
        <w:rPr>
          <w:rFonts w:ascii="Times New Roman" w:hAnsi="Times New Roman" w:cs="Times New Roman"/>
          <w:bCs/>
          <w:sz w:val="24"/>
          <w:szCs w:val="24"/>
        </w:rPr>
        <w:t xml:space="preserve">, 2022; </w:t>
      </w:r>
      <w:proofErr w:type="spellStart"/>
      <w:r w:rsidRPr="00E71565">
        <w:rPr>
          <w:rFonts w:ascii="Times New Roman" w:hAnsi="Times New Roman" w:cs="Times New Roman"/>
          <w:bCs/>
          <w:sz w:val="24"/>
          <w:szCs w:val="24"/>
        </w:rPr>
        <w:t>Lawal</w:t>
      </w:r>
      <w:proofErr w:type="spellEnd"/>
      <w:r w:rsidRPr="00E71565">
        <w:rPr>
          <w:rFonts w:ascii="Times New Roman" w:hAnsi="Times New Roman" w:cs="Times New Roman"/>
          <w:bCs/>
          <w:sz w:val="24"/>
          <w:szCs w:val="24"/>
        </w:rPr>
        <w:t xml:space="preserve">, 2023; </w:t>
      </w:r>
      <w:proofErr w:type="spellStart"/>
      <w:r w:rsidRPr="00E71565">
        <w:rPr>
          <w:rFonts w:ascii="Times New Roman" w:hAnsi="Times New Roman" w:cs="Times New Roman"/>
          <w:bCs/>
          <w:sz w:val="24"/>
          <w:szCs w:val="24"/>
        </w:rPr>
        <w:t>Babatunde</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2021</w:t>
      </w:r>
      <w:r w:rsidRPr="00E71565">
        <w:rPr>
          <w:rFonts w:ascii="Times New Roman" w:hAnsi="Times New Roman" w:cs="Times New Roman"/>
          <w:sz w:val="24"/>
          <w:szCs w:val="24"/>
        </w:rPr>
        <w:t>). Aside from food, residential property is a fundamental human requirement and a critical component for physical survival (</w:t>
      </w:r>
      <w:proofErr w:type="spellStart"/>
      <w:r w:rsidRPr="00E71565">
        <w:rPr>
          <w:rFonts w:ascii="Times New Roman" w:hAnsi="Times New Roman" w:cs="Times New Roman"/>
          <w:bCs/>
          <w:sz w:val="24"/>
          <w:szCs w:val="24"/>
        </w:rPr>
        <w:t>Olayiwola</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2005; </w:t>
      </w:r>
      <w:proofErr w:type="spellStart"/>
      <w:r w:rsidRPr="00E71565">
        <w:rPr>
          <w:rFonts w:ascii="Times New Roman" w:hAnsi="Times New Roman" w:cs="Times New Roman"/>
          <w:bCs/>
          <w:sz w:val="24"/>
          <w:szCs w:val="24"/>
        </w:rPr>
        <w:t>Abisuga</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2020; </w:t>
      </w:r>
      <w:proofErr w:type="spellStart"/>
      <w:r w:rsidRPr="00E71565">
        <w:rPr>
          <w:rFonts w:ascii="Times New Roman" w:hAnsi="Times New Roman" w:cs="Times New Roman"/>
          <w:bCs/>
          <w:sz w:val="24"/>
          <w:szCs w:val="24"/>
        </w:rPr>
        <w:t>Ojo</w:t>
      </w:r>
      <w:proofErr w:type="spellEnd"/>
      <w:r w:rsidRPr="00E71565">
        <w:rPr>
          <w:rFonts w:ascii="Times New Roman" w:hAnsi="Times New Roman" w:cs="Times New Roman"/>
          <w:bCs/>
          <w:sz w:val="24"/>
          <w:szCs w:val="24"/>
        </w:rPr>
        <w:t>, 2019</w:t>
      </w:r>
      <w:r w:rsidRPr="00E71565">
        <w:rPr>
          <w:rFonts w:ascii="Times New Roman" w:hAnsi="Times New Roman" w:cs="Times New Roman"/>
          <w:sz w:val="24"/>
          <w:szCs w:val="24"/>
        </w:rPr>
        <w:t>). These properties serve as essential habitations and shelters; consequently, they command high demand in prime locations (</w:t>
      </w:r>
      <w:proofErr w:type="spellStart"/>
      <w:r w:rsidRPr="00E71565">
        <w:rPr>
          <w:rFonts w:ascii="Times New Roman" w:hAnsi="Times New Roman" w:cs="Times New Roman"/>
          <w:bCs/>
          <w:sz w:val="24"/>
          <w:szCs w:val="24"/>
        </w:rPr>
        <w:t>Aina</w:t>
      </w:r>
      <w:proofErr w:type="spellEnd"/>
      <w:r w:rsidRPr="00E71565">
        <w:rPr>
          <w:rFonts w:ascii="Times New Roman" w:hAnsi="Times New Roman" w:cs="Times New Roman"/>
          <w:bCs/>
          <w:sz w:val="24"/>
          <w:szCs w:val="24"/>
        </w:rPr>
        <w:t xml:space="preserve"> &amp; </w:t>
      </w:r>
      <w:proofErr w:type="spellStart"/>
      <w:r w:rsidRPr="00E71565">
        <w:rPr>
          <w:rFonts w:ascii="Times New Roman" w:hAnsi="Times New Roman" w:cs="Times New Roman"/>
          <w:bCs/>
          <w:sz w:val="24"/>
          <w:szCs w:val="24"/>
        </w:rPr>
        <w:t>Somefun</w:t>
      </w:r>
      <w:proofErr w:type="spellEnd"/>
      <w:r w:rsidRPr="00E71565">
        <w:rPr>
          <w:rFonts w:ascii="Times New Roman" w:hAnsi="Times New Roman" w:cs="Times New Roman"/>
          <w:bCs/>
          <w:sz w:val="24"/>
          <w:szCs w:val="24"/>
        </w:rPr>
        <w:t xml:space="preserve">, 2007; </w:t>
      </w:r>
      <w:proofErr w:type="spellStart"/>
      <w:r w:rsidRPr="00E71565">
        <w:rPr>
          <w:rFonts w:ascii="Times New Roman" w:hAnsi="Times New Roman" w:cs="Times New Roman"/>
          <w:bCs/>
          <w:sz w:val="24"/>
          <w:szCs w:val="24"/>
        </w:rPr>
        <w:t>Oloke</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2017; </w:t>
      </w:r>
      <w:proofErr w:type="spellStart"/>
      <w:r w:rsidRPr="00E71565">
        <w:rPr>
          <w:rFonts w:ascii="Times New Roman" w:hAnsi="Times New Roman" w:cs="Times New Roman"/>
          <w:bCs/>
          <w:sz w:val="24"/>
          <w:szCs w:val="24"/>
        </w:rPr>
        <w:t>Dabara</w:t>
      </w:r>
      <w:proofErr w:type="spellEnd"/>
      <w:r w:rsidRPr="00E71565">
        <w:rPr>
          <w:rFonts w:ascii="Times New Roman" w:hAnsi="Times New Roman" w:cs="Times New Roman"/>
          <w:bCs/>
          <w:sz w:val="24"/>
          <w:szCs w:val="24"/>
        </w:rPr>
        <w:t>, 2021</w:t>
      </w:r>
      <w:r w:rsidRPr="00E71565">
        <w:rPr>
          <w:rFonts w:ascii="Times New Roman" w:hAnsi="Times New Roman" w:cs="Times New Roman"/>
          <w:sz w:val="24"/>
          <w:szCs w:val="24"/>
        </w:rPr>
        <w:t>).</w:t>
      </w:r>
    </w:p>
    <w:p w14:paraId="439ED1EF" w14:textId="733D5845" w:rsidR="003B5F26" w:rsidRPr="00E71565" w:rsidRDefault="003B5F26"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Residential properties</w:t>
      </w:r>
      <w:r w:rsidR="00427FFC" w:rsidRPr="00E71565">
        <w:rPr>
          <w:rFonts w:ascii="Times New Roman" w:hAnsi="Times New Roman" w:cs="Times New Roman"/>
          <w:sz w:val="24"/>
          <w:szCs w:val="24"/>
        </w:rPr>
        <w:t xml:space="preserve"> </w:t>
      </w:r>
      <w:proofErr w:type="spellStart"/>
      <w:r w:rsidRPr="00E71565">
        <w:rPr>
          <w:rFonts w:ascii="Times New Roman" w:hAnsi="Times New Roman" w:cs="Times New Roman"/>
          <w:sz w:val="24"/>
          <w:szCs w:val="24"/>
        </w:rPr>
        <w:t>anging</w:t>
      </w:r>
      <w:proofErr w:type="spellEnd"/>
      <w:r w:rsidRPr="00E71565">
        <w:rPr>
          <w:rFonts w:ascii="Times New Roman" w:hAnsi="Times New Roman" w:cs="Times New Roman"/>
          <w:sz w:val="24"/>
          <w:szCs w:val="24"/>
        </w:rPr>
        <w:t xml:space="preserve"> from tenements and bungalows to mansions and semi-detached duplexes</w:t>
      </w:r>
      <w:r w:rsidR="00427FFC" w:rsidRPr="00E71565">
        <w:rPr>
          <w:rFonts w:ascii="Times New Roman" w:hAnsi="Times New Roman" w:cs="Times New Roman"/>
          <w:sz w:val="24"/>
          <w:szCs w:val="24"/>
        </w:rPr>
        <w:t xml:space="preserve"> </w:t>
      </w:r>
      <w:r w:rsidRPr="00E71565">
        <w:rPr>
          <w:rFonts w:ascii="Times New Roman" w:hAnsi="Times New Roman" w:cs="Times New Roman"/>
          <w:sz w:val="24"/>
          <w:szCs w:val="24"/>
        </w:rPr>
        <w:t>re typically classified by density (high, medium, or low) and situated in rural, semi-rural, or urban settings (</w:t>
      </w:r>
      <w:r w:rsidRPr="00E71565">
        <w:rPr>
          <w:rFonts w:ascii="Times New Roman" w:hAnsi="Times New Roman" w:cs="Times New Roman"/>
          <w:bCs/>
          <w:sz w:val="24"/>
          <w:szCs w:val="24"/>
        </w:rPr>
        <w:t xml:space="preserve">Felix &amp; </w:t>
      </w:r>
      <w:proofErr w:type="spellStart"/>
      <w:r w:rsidRPr="00E71565">
        <w:rPr>
          <w:rFonts w:ascii="Times New Roman" w:hAnsi="Times New Roman" w:cs="Times New Roman"/>
          <w:bCs/>
          <w:sz w:val="24"/>
          <w:szCs w:val="24"/>
        </w:rPr>
        <w:t>Adeniran</w:t>
      </w:r>
      <w:proofErr w:type="spellEnd"/>
      <w:r w:rsidRPr="00E71565">
        <w:rPr>
          <w:rFonts w:ascii="Times New Roman" w:hAnsi="Times New Roman" w:cs="Times New Roman"/>
          <w:bCs/>
          <w:sz w:val="24"/>
          <w:szCs w:val="24"/>
        </w:rPr>
        <w:t xml:space="preserve">, 2019; </w:t>
      </w:r>
      <w:proofErr w:type="spellStart"/>
      <w:r w:rsidRPr="00E71565">
        <w:rPr>
          <w:rFonts w:ascii="Times New Roman" w:hAnsi="Times New Roman" w:cs="Times New Roman"/>
          <w:bCs/>
          <w:sz w:val="24"/>
          <w:szCs w:val="24"/>
        </w:rPr>
        <w:t>Ifediora</w:t>
      </w:r>
      <w:proofErr w:type="spellEnd"/>
      <w:r w:rsidRPr="00E71565">
        <w:rPr>
          <w:rFonts w:ascii="Times New Roman" w:hAnsi="Times New Roman" w:cs="Times New Roman"/>
          <w:bCs/>
          <w:sz w:val="24"/>
          <w:szCs w:val="24"/>
        </w:rPr>
        <w:t>, 2020; Oni, 2022</w:t>
      </w:r>
      <w:r w:rsidRPr="00E71565">
        <w:rPr>
          <w:rFonts w:ascii="Times New Roman" w:hAnsi="Times New Roman" w:cs="Times New Roman"/>
          <w:sz w:val="24"/>
          <w:szCs w:val="24"/>
        </w:rPr>
        <w:t>). Globally, the residential market is a cornerstone of urbanization, as residential land use remains the largest consumer of land in urban centers (</w:t>
      </w:r>
      <w:r w:rsidRPr="00E71565">
        <w:rPr>
          <w:rFonts w:ascii="Times New Roman" w:hAnsi="Times New Roman" w:cs="Times New Roman"/>
          <w:bCs/>
          <w:sz w:val="24"/>
          <w:szCs w:val="24"/>
        </w:rPr>
        <w:t xml:space="preserve">World Bank, 2020; </w:t>
      </w:r>
      <w:proofErr w:type="spellStart"/>
      <w:r w:rsidRPr="00E71565">
        <w:rPr>
          <w:rFonts w:ascii="Times New Roman" w:hAnsi="Times New Roman" w:cs="Times New Roman"/>
          <w:bCs/>
          <w:sz w:val="24"/>
          <w:szCs w:val="24"/>
        </w:rPr>
        <w:t>Olayiwola</w:t>
      </w:r>
      <w:proofErr w:type="spellEnd"/>
      <w:r w:rsidRPr="00E71565">
        <w:rPr>
          <w:rFonts w:ascii="Times New Roman" w:hAnsi="Times New Roman" w:cs="Times New Roman"/>
          <w:bCs/>
          <w:sz w:val="24"/>
          <w:szCs w:val="24"/>
        </w:rPr>
        <w:t>, 2000; UN-Habitat, 2022</w:t>
      </w:r>
      <w:r w:rsidRPr="00E71565">
        <w:rPr>
          <w:rFonts w:ascii="Times New Roman" w:hAnsi="Times New Roman" w:cs="Times New Roman"/>
          <w:sz w:val="24"/>
          <w:szCs w:val="24"/>
        </w:rPr>
        <w:t>).</w:t>
      </w:r>
    </w:p>
    <w:p w14:paraId="632F7AAB" w14:textId="77777777" w:rsidR="0054060D" w:rsidRPr="00E71565" w:rsidRDefault="003B5F26"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The economic return on these land resources is realized through rent</w:t>
      </w:r>
      <w:r w:rsidR="0054060D" w:rsidRPr="00E71565">
        <w:rPr>
          <w:rFonts w:ascii="Times New Roman" w:hAnsi="Times New Roman" w:cs="Times New Roman"/>
          <w:sz w:val="24"/>
          <w:szCs w:val="24"/>
        </w:rPr>
        <w:t xml:space="preserve"> -t</w:t>
      </w:r>
      <w:r w:rsidRPr="00E71565">
        <w:rPr>
          <w:rFonts w:ascii="Times New Roman" w:hAnsi="Times New Roman" w:cs="Times New Roman"/>
          <w:sz w:val="24"/>
          <w:szCs w:val="24"/>
        </w:rPr>
        <w:t>he financial compensation paid for the use of land in production. For tenants, rent represents a significant cost of living, while for landlords, it serves as a primary source of revenue (</w:t>
      </w:r>
      <w:proofErr w:type="spellStart"/>
      <w:r w:rsidRPr="00E71565">
        <w:rPr>
          <w:rFonts w:ascii="Times New Roman" w:hAnsi="Times New Roman" w:cs="Times New Roman"/>
          <w:bCs/>
          <w:sz w:val="24"/>
          <w:szCs w:val="24"/>
        </w:rPr>
        <w:t>Udoekanem</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2015; </w:t>
      </w:r>
      <w:proofErr w:type="spellStart"/>
      <w:r w:rsidRPr="00E71565">
        <w:rPr>
          <w:rFonts w:ascii="Times New Roman" w:hAnsi="Times New Roman" w:cs="Times New Roman"/>
          <w:bCs/>
          <w:sz w:val="24"/>
          <w:szCs w:val="24"/>
        </w:rPr>
        <w:t>Nwosu</w:t>
      </w:r>
      <w:proofErr w:type="spellEnd"/>
      <w:r w:rsidRPr="00E71565">
        <w:rPr>
          <w:rFonts w:ascii="Times New Roman" w:hAnsi="Times New Roman" w:cs="Times New Roman"/>
          <w:bCs/>
          <w:sz w:val="24"/>
          <w:szCs w:val="24"/>
        </w:rPr>
        <w:t xml:space="preserve">, 2019; </w:t>
      </w:r>
      <w:proofErr w:type="spellStart"/>
      <w:r w:rsidRPr="00E71565">
        <w:rPr>
          <w:rFonts w:ascii="Times New Roman" w:hAnsi="Times New Roman" w:cs="Times New Roman"/>
          <w:bCs/>
          <w:sz w:val="24"/>
          <w:szCs w:val="24"/>
        </w:rPr>
        <w:t>Aliyu</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2021</w:t>
      </w:r>
      <w:r w:rsidRPr="00E71565">
        <w:rPr>
          <w:rFonts w:ascii="Times New Roman" w:hAnsi="Times New Roman" w:cs="Times New Roman"/>
          <w:sz w:val="24"/>
          <w:szCs w:val="24"/>
        </w:rPr>
        <w:t>). In the modern economy, the availability of rental properties is vital; high construction costs and the complexities of land acquisition have made outright homeownership unattainable for many (</w:t>
      </w:r>
      <w:proofErr w:type="spellStart"/>
      <w:r w:rsidRPr="00E71565">
        <w:rPr>
          <w:rFonts w:ascii="Times New Roman" w:hAnsi="Times New Roman" w:cs="Times New Roman"/>
          <w:bCs/>
          <w:sz w:val="24"/>
          <w:szCs w:val="24"/>
        </w:rPr>
        <w:t>Rubaszek</w:t>
      </w:r>
      <w:proofErr w:type="spellEnd"/>
      <w:r w:rsidRPr="00E71565">
        <w:rPr>
          <w:rFonts w:ascii="Times New Roman" w:hAnsi="Times New Roman" w:cs="Times New Roman"/>
          <w:bCs/>
          <w:sz w:val="24"/>
          <w:szCs w:val="24"/>
        </w:rPr>
        <w:t xml:space="preserve">, 2019; </w:t>
      </w:r>
      <w:proofErr w:type="spellStart"/>
      <w:r w:rsidRPr="00E71565">
        <w:rPr>
          <w:rFonts w:ascii="Times New Roman" w:hAnsi="Times New Roman" w:cs="Times New Roman"/>
          <w:bCs/>
          <w:sz w:val="24"/>
          <w:szCs w:val="24"/>
        </w:rPr>
        <w:t>Gholipour</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2022; </w:t>
      </w:r>
      <w:proofErr w:type="spellStart"/>
      <w:r w:rsidRPr="00E71565">
        <w:rPr>
          <w:rFonts w:ascii="Times New Roman" w:hAnsi="Times New Roman" w:cs="Times New Roman"/>
          <w:bCs/>
          <w:sz w:val="24"/>
          <w:szCs w:val="24"/>
        </w:rPr>
        <w:t>Olanrele</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2020</w:t>
      </w:r>
      <w:r w:rsidRPr="00E71565">
        <w:rPr>
          <w:rFonts w:ascii="Times New Roman" w:hAnsi="Times New Roman" w:cs="Times New Roman"/>
          <w:sz w:val="24"/>
          <w:szCs w:val="24"/>
        </w:rPr>
        <w:t>). As a result, approximately 40% of the world's population resides in rental housing, a trend that continues to attract significant interest from real estate developers (</w:t>
      </w: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2018; Peppercorn &amp; </w:t>
      </w:r>
      <w:proofErr w:type="spellStart"/>
      <w:r w:rsidRPr="00E71565">
        <w:rPr>
          <w:rFonts w:ascii="Times New Roman" w:hAnsi="Times New Roman" w:cs="Times New Roman"/>
          <w:bCs/>
          <w:sz w:val="24"/>
          <w:szCs w:val="24"/>
        </w:rPr>
        <w:t>Taffin</w:t>
      </w:r>
      <w:proofErr w:type="spellEnd"/>
      <w:r w:rsidRPr="00E71565">
        <w:rPr>
          <w:rFonts w:ascii="Times New Roman" w:hAnsi="Times New Roman" w:cs="Times New Roman"/>
          <w:bCs/>
          <w:sz w:val="24"/>
          <w:szCs w:val="24"/>
        </w:rPr>
        <w:t xml:space="preserve">, 2021; </w:t>
      </w:r>
      <w:proofErr w:type="spellStart"/>
      <w:r w:rsidRPr="00E71565">
        <w:rPr>
          <w:rFonts w:ascii="Times New Roman" w:hAnsi="Times New Roman" w:cs="Times New Roman"/>
          <w:bCs/>
          <w:sz w:val="24"/>
          <w:szCs w:val="24"/>
        </w:rPr>
        <w:t>Adewusi</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2022</w:t>
      </w:r>
      <w:r w:rsidRPr="00E71565">
        <w:rPr>
          <w:rFonts w:ascii="Times New Roman" w:hAnsi="Times New Roman" w:cs="Times New Roman"/>
          <w:sz w:val="24"/>
          <w:szCs w:val="24"/>
        </w:rPr>
        <w:t>).</w:t>
      </w:r>
      <w:r w:rsidR="0054060D" w:rsidRPr="00E71565">
        <w:rPr>
          <w:rFonts w:ascii="Times New Roman" w:hAnsi="Times New Roman" w:cs="Times New Roman"/>
          <w:sz w:val="24"/>
          <w:szCs w:val="24"/>
        </w:rPr>
        <w:t xml:space="preserve"> </w:t>
      </w:r>
    </w:p>
    <w:p w14:paraId="7A433B1E" w14:textId="2F81D88D" w:rsidR="003B5F26" w:rsidRPr="00E71565" w:rsidRDefault="003B5F26" w:rsidP="00684776">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Identifying the factors that drive variances in rental rates is a complex yet essential task. Analyzing rental trends is critical for making informed investment decisions that support and stabilize a nation’s property market (</w:t>
      </w:r>
      <w:r w:rsidRPr="00E71565">
        <w:rPr>
          <w:rFonts w:ascii="Times New Roman" w:hAnsi="Times New Roman" w:cs="Times New Roman"/>
          <w:bCs/>
          <w:sz w:val="24"/>
          <w:szCs w:val="24"/>
        </w:rPr>
        <w:t xml:space="preserve">Boon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2007; </w:t>
      </w:r>
      <w:proofErr w:type="spellStart"/>
      <w:r w:rsidRPr="00E71565">
        <w:rPr>
          <w:rFonts w:ascii="Times New Roman" w:hAnsi="Times New Roman" w:cs="Times New Roman"/>
          <w:bCs/>
          <w:sz w:val="24"/>
          <w:szCs w:val="24"/>
        </w:rPr>
        <w:t>Olawumi</w:t>
      </w:r>
      <w:proofErr w:type="spellEnd"/>
      <w:r w:rsidRPr="00E71565">
        <w:rPr>
          <w:rFonts w:ascii="Times New Roman" w:hAnsi="Times New Roman" w:cs="Times New Roman"/>
          <w:bCs/>
          <w:sz w:val="24"/>
          <w:szCs w:val="24"/>
        </w:rPr>
        <w:t xml:space="preserve"> &amp; Chan, 2018; </w:t>
      </w:r>
      <w:proofErr w:type="spellStart"/>
      <w:r w:rsidRPr="00E71565">
        <w:rPr>
          <w:rFonts w:ascii="Times New Roman" w:hAnsi="Times New Roman" w:cs="Times New Roman"/>
          <w:bCs/>
          <w:sz w:val="24"/>
          <w:szCs w:val="24"/>
        </w:rPr>
        <w:t>Thontteh</w:t>
      </w:r>
      <w:proofErr w:type="spellEnd"/>
      <w:r w:rsidRPr="00E71565">
        <w:rPr>
          <w:rFonts w:ascii="Times New Roman" w:hAnsi="Times New Roman" w:cs="Times New Roman"/>
          <w:bCs/>
          <w:sz w:val="24"/>
          <w:szCs w:val="24"/>
        </w:rPr>
        <w:t>, 2022</w:t>
      </w:r>
      <w:r w:rsidRPr="00E71565">
        <w:rPr>
          <w:rFonts w:ascii="Times New Roman" w:hAnsi="Times New Roman" w:cs="Times New Roman"/>
          <w:sz w:val="24"/>
          <w:szCs w:val="24"/>
        </w:rPr>
        <w:t>).</w:t>
      </w:r>
    </w:p>
    <w:p w14:paraId="003FF4D9" w14:textId="77777777" w:rsidR="003B5F26" w:rsidRPr="00E71565" w:rsidRDefault="003B5F26"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Despite the vital role of housing in urban stability, the rental market in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Nigeria</w:t>
      </w:r>
      <w:r w:rsidRPr="00E71565">
        <w:rPr>
          <w:rFonts w:ascii="Times New Roman" w:hAnsi="Times New Roman" w:cs="Times New Roman"/>
          <w:sz w:val="24"/>
          <w:szCs w:val="24"/>
        </w:rPr>
        <w:t>, has experienced unprecedented volatility. The city’s population growth rate stands at 8%—nearly triple the national average—compounded by its strategic proximity to the Federal Capital Territory, Abuja (</w:t>
      </w:r>
      <w:r w:rsidRPr="00E71565">
        <w:rPr>
          <w:rFonts w:ascii="Times New Roman" w:hAnsi="Times New Roman" w:cs="Times New Roman"/>
          <w:bCs/>
          <w:sz w:val="24"/>
          <w:szCs w:val="24"/>
        </w:rPr>
        <w:t xml:space="preserve">Bello &amp; Muhammad, 2022; </w:t>
      </w:r>
      <w:proofErr w:type="spellStart"/>
      <w:r w:rsidRPr="00E71565">
        <w:rPr>
          <w:rFonts w:ascii="Times New Roman" w:hAnsi="Times New Roman" w:cs="Times New Roman"/>
          <w:bCs/>
          <w:sz w:val="24"/>
          <w:szCs w:val="24"/>
        </w:rPr>
        <w:t>Jimoh</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2021</w:t>
      </w:r>
      <w:r w:rsidRPr="00E71565">
        <w:rPr>
          <w:rFonts w:ascii="Times New Roman" w:hAnsi="Times New Roman" w:cs="Times New Roman"/>
          <w:sz w:val="24"/>
          <w:szCs w:val="24"/>
        </w:rPr>
        <w:t>). This rapid expansion has created a massive housing deficit. However, there is a distinct lack of empirical data regarding how neighborhood density (Low, Medium, and High) specifically influences rental values across different property types (</w:t>
      </w:r>
      <w:proofErr w:type="spellStart"/>
      <w:r w:rsidRPr="00E71565">
        <w:rPr>
          <w:rFonts w:ascii="Times New Roman" w:hAnsi="Times New Roman" w:cs="Times New Roman"/>
          <w:bCs/>
          <w:sz w:val="24"/>
          <w:szCs w:val="24"/>
        </w:rPr>
        <w:t>Olapade</w:t>
      </w:r>
      <w:proofErr w:type="spellEnd"/>
      <w:r w:rsidRPr="00E71565">
        <w:rPr>
          <w:rFonts w:ascii="Times New Roman" w:hAnsi="Times New Roman" w:cs="Times New Roman"/>
          <w:bCs/>
          <w:sz w:val="24"/>
          <w:szCs w:val="24"/>
        </w:rPr>
        <w:t xml:space="preserve">, 2023; </w:t>
      </w:r>
      <w:proofErr w:type="spellStart"/>
      <w:r w:rsidRPr="00E71565">
        <w:rPr>
          <w:rFonts w:ascii="Times New Roman" w:hAnsi="Times New Roman" w:cs="Times New Roman"/>
          <w:bCs/>
          <w:sz w:val="24"/>
          <w:szCs w:val="24"/>
        </w:rPr>
        <w:t>Zubairu</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2020</w:t>
      </w:r>
      <w:r w:rsidRPr="00E71565">
        <w:rPr>
          <w:rFonts w:ascii="Times New Roman" w:hAnsi="Times New Roman" w:cs="Times New Roman"/>
          <w:sz w:val="24"/>
          <w:szCs w:val="24"/>
        </w:rPr>
        <w:t>). This data gap creates several critical challenges:</w:t>
      </w:r>
    </w:p>
    <w:p w14:paraId="30A0E18E" w14:textId="77777777" w:rsidR="003B5F26" w:rsidRPr="00E71565" w:rsidRDefault="003B5F26" w:rsidP="007A19BE">
      <w:pPr>
        <w:numPr>
          <w:ilvl w:val="0"/>
          <w:numId w:val="4"/>
        </w:numPr>
        <w:spacing w:line="240" w:lineRule="auto"/>
        <w:jc w:val="both"/>
        <w:rPr>
          <w:rFonts w:ascii="Times New Roman" w:hAnsi="Times New Roman" w:cs="Times New Roman"/>
          <w:sz w:val="24"/>
          <w:szCs w:val="24"/>
        </w:rPr>
      </w:pPr>
      <w:r w:rsidRPr="00E71565">
        <w:rPr>
          <w:rFonts w:ascii="Times New Roman" w:hAnsi="Times New Roman" w:cs="Times New Roman"/>
          <w:bCs/>
          <w:sz w:val="24"/>
          <w:szCs w:val="24"/>
        </w:rPr>
        <w:t>Investment Uncertainty:</w:t>
      </w:r>
      <w:r w:rsidRPr="00E71565">
        <w:rPr>
          <w:rFonts w:ascii="Times New Roman" w:hAnsi="Times New Roman" w:cs="Times New Roman"/>
          <w:sz w:val="24"/>
          <w:szCs w:val="24"/>
        </w:rPr>
        <w:t xml:space="preserve"> Real estate investors lack the benchmarks necessary to identify which density zones offer the most stable growth and highest returns (</w:t>
      </w:r>
      <w:proofErr w:type="spellStart"/>
      <w:r w:rsidRPr="00E71565">
        <w:rPr>
          <w:rFonts w:ascii="Times New Roman" w:hAnsi="Times New Roman" w:cs="Times New Roman"/>
          <w:bCs/>
          <w:sz w:val="24"/>
          <w:szCs w:val="24"/>
        </w:rPr>
        <w:t>Gyamfi-Yeboah</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2021; </w:t>
      </w:r>
      <w:proofErr w:type="spellStart"/>
      <w:r w:rsidRPr="00E71565">
        <w:rPr>
          <w:rFonts w:ascii="Times New Roman" w:hAnsi="Times New Roman" w:cs="Times New Roman"/>
          <w:bCs/>
          <w:sz w:val="24"/>
          <w:szCs w:val="24"/>
        </w:rPr>
        <w:t>Udobi</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2022</w:t>
      </w:r>
      <w:r w:rsidRPr="00E71565">
        <w:rPr>
          <w:rFonts w:ascii="Times New Roman" w:hAnsi="Times New Roman" w:cs="Times New Roman"/>
          <w:sz w:val="24"/>
          <w:szCs w:val="24"/>
        </w:rPr>
        <w:t>).</w:t>
      </w:r>
    </w:p>
    <w:p w14:paraId="26F9CB52" w14:textId="77777777" w:rsidR="003B5F26" w:rsidRPr="00E71565" w:rsidRDefault="003B5F26" w:rsidP="007A19BE">
      <w:pPr>
        <w:numPr>
          <w:ilvl w:val="0"/>
          <w:numId w:val="4"/>
        </w:numPr>
        <w:spacing w:line="240" w:lineRule="auto"/>
        <w:jc w:val="both"/>
        <w:rPr>
          <w:rFonts w:ascii="Times New Roman" w:hAnsi="Times New Roman" w:cs="Times New Roman"/>
          <w:sz w:val="24"/>
          <w:szCs w:val="24"/>
        </w:rPr>
      </w:pPr>
      <w:r w:rsidRPr="00E71565">
        <w:rPr>
          <w:rFonts w:ascii="Times New Roman" w:hAnsi="Times New Roman" w:cs="Times New Roman"/>
          <w:bCs/>
          <w:sz w:val="24"/>
          <w:szCs w:val="24"/>
        </w:rPr>
        <w:lastRenderedPageBreak/>
        <w:t>Affordability Crises:</w:t>
      </w:r>
      <w:r w:rsidRPr="00E71565">
        <w:rPr>
          <w:rFonts w:ascii="Times New Roman" w:hAnsi="Times New Roman" w:cs="Times New Roman"/>
          <w:sz w:val="24"/>
          <w:szCs w:val="24"/>
        </w:rPr>
        <w:t xml:space="preserve"> Rapidly rising rents in high-density areas may trigger gentrification and overcrowding, yet the specific drivers of these variations remain under-analyzed (</w:t>
      </w:r>
      <w:proofErr w:type="spellStart"/>
      <w:r w:rsidRPr="00E71565">
        <w:rPr>
          <w:rFonts w:ascii="Times New Roman" w:hAnsi="Times New Roman" w:cs="Times New Roman"/>
          <w:bCs/>
          <w:sz w:val="24"/>
          <w:szCs w:val="24"/>
        </w:rPr>
        <w:t>Ayedun</w:t>
      </w:r>
      <w:proofErr w:type="spellEnd"/>
      <w:r w:rsidRPr="00E71565">
        <w:rPr>
          <w:rFonts w:ascii="Times New Roman" w:hAnsi="Times New Roman" w:cs="Times New Roman"/>
          <w:bCs/>
          <w:i/>
          <w:sz w:val="24"/>
          <w:szCs w:val="24"/>
        </w:rPr>
        <w:t xml:space="preserve"> et al.,</w:t>
      </w:r>
      <w:r w:rsidRPr="00E71565">
        <w:rPr>
          <w:rFonts w:ascii="Times New Roman" w:hAnsi="Times New Roman" w:cs="Times New Roman"/>
          <w:bCs/>
          <w:sz w:val="24"/>
          <w:szCs w:val="24"/>
        </w:rPr>
        <w:t xml:space="preserve"> 2021; Daniel </w:t>
      </w:r>
      <w:r w:rsidRPr="00E71565">
        <w:rPr>
          <w:rFonts w:ascii="Times New Roman" w:hAnsi="Times New Roman" w:cs="Times New Roman"/>
          <w:bCs/>
          <w:i/>
          <w:sz w:val="24"/>
          <w:szCs w:val="24"/>
        </w:rPr>
        <w:t>et al.,</w:t>
      </w:r>
      <w:r w:rsidRPr="00E71565">
        <w:rPr>
          <w:rFonts w:ascii="Times New Roman" w:hAnsi="Times New Roman" w:cs="Times New Roman"/>
          <w:bCs/>
          <w:sz w:val="24"/>
          <w:szCs w:val="24"/>
        </w:rPr>
        <w:t xml:space="preserve"> 2023</w:t>
      </w:r>
      <w:r w:rsidRPr="00E71565">
        <w:rPr>
          <w:rFonts w:ascii="Times New Roman" w:hAnsi="Times New Roman" w:cs="Times New Roman"/>
          <w:sz w:val="24"/>
          <w:szCs w:val="24"/>
        </w:rPr>
        <w:t>).</w:t>
      </w:r>
    </w:p>
    <w:p w14:paraId="57F9DCA2" w14:textId="77777777" w:rsidR="003B5F26" w:rsidRPr="00E71565" w:rsidRDefault="003B5F26" w:rsidP="007A19BE">
      <w:pPr>
        <w:numPr>
          <w:ilvl w:val="0"/>
          <w:numId w:val="4"/>
        </w:numPr>
        <w:spacing w:line="240" w:lineRule="auto"/>
        <w:jc w:val="both"/>
        <w:rPr>
          <w:rFonts w:ascii="Times New Roman" w:hAnsi="Times New Roman" w:cs="Times New Roman"/>
          <w:sz w:val="24"/>
          <w:szCs w:val="24"/>
        </w:rPr>
      </w:pPr>
      <w:r w:rsidRPr="00E71565">
        <w:rPr>
          <w:rFonts w:ascii="Times New Roman" w:hAnsi="Times New Roman" w:cs="Times New Roman"/>
          <w:bCs/>
          <w:sz w:val="24"/>
          <w:szCs w:val="24"/>
        </w:rPr>
        <w:t>Urban Policy Gaps:</w:t>
      </w:r>
      <w:r w:rsidRPr="00E71565">
        <w:rPr>
          <w:rFonts w:ascii="Times New Roman" w:hAnsi="Times New Roman" w:cs="Times New Roman"/>
          <w:sz w:val="24"/>
          <w:szCs w:val="24"/>
        </w:rPr>
        <w:t xml:space="preserve"> Without an analysis of long-term rental trends (2013–2022), urban planners cannot effectively manage land use or address the relative underdevelopment of low-density neighborhoods (</w:t>
      </w:r>
      <w:proofErr w:type="spellStart"/>
      <w:r w:rsidRPr="00E71565">
        <w:rPr>
          <w:rFonts w:ascii="Times New Roman" w:hAnsi="Times New Roman" w:cs="Times New Roman"/>
          <w:bCs/>
          <w:sz w:val="24"/>
          <w:szCs w:val="24"/>
        </w:rPr>
        <w:t>Adama</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sz w:val="24"/>
          <w:szCs w:val="24"/>
        </w:rPr>
        <w:t xml:space="preserve">et al., </w:t>
      </w:r>
      <w:r w:rsidRPr="00E71565">
        <w:rPr>
          <w:rFonts w:ascii="Times New Roman" w:hAnsi="Times New Roman" w:cs="Times New Roman"/>
          <w:bCs/>
          <w:sz w:val="24"/>
          <w:szCs w:val="24"/>
        </w:rPr>
        <w:t xml:space="preserve">2022; </w:t>
      </w:r>
      <w:proofErr w:type="spellStart"/>
      <w:r w:rsidRPr="00E71565">
        <w:rPr>
          <w:rFonts w:ascii="Times New Roman" w:hAnsi="Times New Roman" w:cs="Times New Roman"/>
          <w:bCs/>
          <w:sz w:val="24"/>
          <w:szCs w:val="24"/>
        </w:rPr>
        <w:t>Garba</w:t>
      </w:r>
      <w:proofErr w:type="spellEnd"/>
      <w:r w:rsidRPr="00E71565">
        <w:rPr>
          <w:rFonts w:ascii="Times New Roman" w:hAnsi="Times New Roman" w:cs="Times New Roman"/>
          <w:bCs/>
          <w:sz w:val="24"/>
          <w:szCs w:val="24"/>
        </w:rPr>
        <w:t>, 2021</w:t>
      </w:r>
      <w:r w:rsidRPr="00E71565">
        <w:rPr>
          <w:rFonts w:ascii="Times New Roman" w:hAnsi="Times New Roman" w:cs="Times New Roman"/>
          <w:sz w:val="24"/>
          <w:szCs w:val="24"/>
        </w:rPr>
        <w:t>).</w:t>
      </w:r>
    </w:p>
    <w:p w14:paraId="27921682" w14:textId="788894E7" w:rsidR="003B5F26" w:rsidRPr="00E71565" w:rsidRDefault="0054060D"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Based on the aforementioned, this study analyzes</w:t>
      </w:r>
      <w:r w:rsidR="00C93CEB" w:rsidRPr="00E71565">
        <w:rPr>
          <w:rFonts w:ascii="Times New Roman" w:hAnsi="Times New Roman" w:cs="Times New Roman"/>
          <w:sz w:val="24"/>
          <w:szCs w:val="24"/>
        </w:rPr>
        <w:t xml:space="preserve"> </w:t>
      </w:r>
      <w:r w:rsidR="00684776" w:rsidRPr="00E71565">
        <w:rPr>
          <w:rFonts w:ascii="Times New Roman" w:hAnsi="Times New Roman" w:cs="Times New Roman"/>
          <w:sz w:val="24"/>
          <w:szCs w:val="24"/>
        </w:rPr>
        <w:t xml:space="preserve">residential </w:t>
      </w:r>
      <w:r w:rsidR="00C93CEB" w:rsidRPr="00E71565">
        <w:rPr>
          <w:rFonts w:ascii="Times New Roman" w:hAnsi="Times New Roman" w:cs="Times New Roman"/>
          <w:sz w:val="24"/>
          <w:szCs w:val="24"/>
        </w:rPr>
        <w:t xml:space="preserve">rental value </w:t>
      </w:r>
      <w:r w:rsidR="003B5F26" w:rsidRPr="00E71565">
        <w:rPr>
          <w:rFonts w:ascii="Times New Roman" w:hAnsi="Times New Roman" w:cs="Times New Roman"/>
          <w:sz w:val="24"/>
          <w:szCs w:val="24"/>
        </w:rPr>
        <w:t xml:space="preserve">and statistical variations across three distinct neighborhoods in </w:t>
      </w:r>
      <w:proofErr w:type="spellStart"/>
      <w:r w:rsidR="003B5F26" w:rsidRPr="00E71565">
        <w:rPr>
          <w:rFonts w:ascii="Times New Roman" w:hAnsi="Times New Roman" w:cs="Times New Roman"/>
          <w:sz w:val="24"/>
          <w:szCs w:val="24"/>
        </w:rPr>
        <w:t>Minna</w:t>
      </w:r>
      <w:proofErr w:type="spellEnd"/>
      <w:r w:rsidR="003B5F26" w:rsidRPr="00E71565">
        <w:rPr>
          <w:rFonts w:ascii="Times New Roman" w:hAnsi="Times New Roman" w:cs="Times New Roman"/>
          <w:sz w:val="24"/>
          <w:szCs w:val="24"/>
        </w:rPr>
        <w:t xml:space="preserve">: </w:t>
      </w:r>
      <w:proofErr w:type="spellStart"/>
      <w:r w:rsidR="003B5F26" w:rsidRPr="00E71565">
        <w:rPr>
          <w:rFonts w:ascii="Times New Roman" w:hAnsi="Times New Roman" w:cs="Times New Roman"/>
          <w:bCs/>
          <w:sz w:val="24"/>
          <w:szCs w:val="24"/>
        </w:rPr>
        <w:t>Fadikpe</w:t>
      </w:r>
      <w:proofErr w:type="spellEnd"/>
      <w:r w:rsidR="003B5F26" w:rsidRPr="00E71565">
        <w:rPr>
          <w:rFonts w:ascii="Times New Roman" w:hAnsi="Times New Roman" w:cs="Times New Roman"/>
          <w:sz w:val="24"/>
          <w:szCs w:val="24"/>
        </w:rPr>
        <w:t xml:space="preserve"> (Low Density), </w:t>
      </w:r>
      <w:proofErr w:type="spellStart"/>
      <w:r w:rsidR="003B5F26" w:rsidRPr="00E71565">
        <w:rPr>
          <w:rFonts w:ascii="Times New Roman" w:hAnsi="Times New Roman" w:cs="Times New Roman"/>
          <w:bCs/>
          <w:sz w:val="24"/>
          <w:szCs w:val="24"/>
        </w:rPr>
        <w:t>Tundun</w:t>
      </w:r>
      <w:proofErr w:type="spellEnd"/>
      <w:r w:rsidR="003B5F26" w:rsidRPr="00E71565">
        <w:rPr>
          <w:rFonts w:ascii="Times New Roman" w:hAnsi="Times New Roman" w:cs="Times New Roman"/>
          <w:bCs/>
          <w:sz w:val="24"/>
          <w:szCs w:val="24"/>
        </w:rPr>
        <w:t xml:space="preserve"> Fulani</w:t>
      </w:r>
      <w:r w:rsidR="003B5F26" w:rsidRPr="00E71565">
        <w:rPr>
          <w:rFonts w:ascii="Times New Roman" w:hAnsi="Times New Roman" w:cs="Times New Roman"/>
          <w:sz w:val="24"/>
          <w:szCs w:val="24"/>
        </w:rPr>
        <w:t xml:space="preserve"> (Medium Density), and </w:t>
      </w:r>
      <w:proofErr w:type="spellStart"/>
      <w:r w:rsidR="003B5F26" w:rsidRPr="00E71565">
        <w:rPr>
          <w:rFonts w:ascii="Times New Roman" w:hAnsi="Times New Roman" w:cs="Times New Roman"/>
          <w:bCs/>
          <w:sz w:val="24"/>
          <w:szCs w:val="24"/>
        </w:rPr>
        <w:t>Bosso</w:t>
      </w:r>
      <w:proofErr w:type="spellEnd"/>
      <w:r w:rsidR="003B5F26" w:rsidRPr="00E71565">
        <w:rPr>
          <w:rFonts w:ascii="Times New Roman" w:hAnsi="Times New Roman" w:cs="Times New Roman"/>
          <w:bCs/>
          <w:sz w:val="24"/>
          <w:szCs w:val="24"/>
        </w:rPr>
        <w:t xml:space="preserve"> Estate</w:t>
      </w:r>
      <w:r w:rsidR="003B5F26" w:rsidRPr="00E71565">
        <w:rPr>
          <w:rFonts w:ascii="Times New Roman" w:hAnsi="Times New Roman" w:cs="Times New Roman"/>
          <w:sz w:val="24"/>
          <w:szCs w:val="24"/>
        </w:rPr>
        <w:t xml:space="preserve"> (High Density). By examining a</w:t>
      </w:r>
      <w:r w:rsidRPr="00E71565">
        <w:rPr>
          <w:rFonts w:ascii="Times New Roman" w:hAnsi="Times New Roman" w:cs="Times New Roman"/>
          <w:sz w:val="24"/>
          <w:szCs w:val="24"/>
        </w:rPr>
        <w:t xml:space="preserve"> thirteen</w:t>
      </w:r>
      <w:r w:rsidR="000C3E50" w:rsidRPr="00E71565">
        <w:rPr>
          <w:rFonts w:ascii="Times New Roman" w:hAnsi="Times New Roman" w:cs="Times New Roman"/>
          <w:sz w:val="24"/>
          <w:szCs w:val="24"/>
        </w:rPr>
        <w:t>-year trend from 2013 to 2025</w:t>
      </w:r>
      <w:r w:rsidR="00C93CEB" w:rsidRPr="00E71565">
        <w:rPr>
          <w:rFonts w:ascii="Times New Roman" w:hAnsi="Times New Roman" w:cs="Times New Roman"/>
          <w:sz w:val="24"/>
          <w:szCs w:val="24"/>
        </w:rPr>
        <w:t xml:space="preserve">, the </w:t>
      </w:r>
      <w:r w:rsidR="003B5F26" w:rsidRPr="00E71565">
        <w:rPr>
          <w:rFonts w:ascii="Times New Roman" w:hAnsi="Times New Roman" w:cs="Times New Roman"/>
          <w:sz w:val="24"/>
          <w:szCs w:val="24"/>
        </w:rPr>
        <w:t>research aims to provide a framework for informed investment and strategic urban management.</w:t>
      </w:r>
    </w:p>
    <w:p w14:paraId="2A764308" w14:textId="2F219C71" w:rsidR="003B5F26" w:rsidRDefault="00684776" w:rsidP="007A19BE">
      <w:pPr>
        <w:spacing w:line="240" w:lineRule="auto"/>
        <w:jc w:val="both"/>
        <w:rPr>
          <w:rFonts w:ascii="Times New Roman" w:hAnsi="Times New Roman" w:cs="Times New Roman"/>
          <w:b/>
          <w:bCs/>
          <w:sz w:val="24"/>
          <w:szCs w:val="24"/>
        </w:rPr>
      </w:pPr>
      <w:r w:rsidRPr="00E71565">
        <w:rPr>
          <w:rFonts w:ascii="Times New Roman" w:hAnsi="Times New Roman" w:cs="Times New Roman"/>
          <w:b/>
          <w:bCs/>
          <w:sz w:val="24"/>
          <w:szCs w:val="24"/>
        </w:rPr>
        <w:t>2.0 LITERATURE REVIEW</w:t>
      </w:r>
    </w:p>
    <w:p w14:paraId="10C88E28" w14:textId="5D1DBD6B" w:rsidR="00D40864" w:rsidRPr="0013400C" w:rsidRDefault="0013400C" w:rsidP="00D40864">
      <w:pPr>
        <w:spacing w:line="240" w:lineRule="auto"/>
        <w:jc w:val="both"/>
        <w:rPr>
          <w:rFonts w:ascii="Times New Roman" w:hAnsi="Times New Roman" w:cs="Times New Roman"/>
          <w:bCs/>
          <w:sz w:val="24"/>
          <w:szCs w:val="24"/>
        </w:rPr>
      </w:pPr>
      <w:r w:rsidRPr="0013400C">
        <w:rPr>
          <w:rFonts w:ascii="Times New Roman" w:hAnsi="Times New Roman" w:cs="Times New Roman"/>
          <w:bCs/>
          <w:sz w:val="24"/>
          <w:szCs w:val="24"/>
        </w:rPr>
        <w:t xml:space="preserve">Recent academic inquiries into </w:t>
      </w:r>
      <w:proofErr w:type="spellStart"/>
      <w:r w:rsidRPr="0013400C">
        <w:rPr>
          <w:rFonts w:ascii="Times New Roman" w:hAnsi="Times New Roman" w:cs="Times New Roman"/>
          <w:bCs/>
          <w:sz w:val="24"/>
          <w:szCs w:val="24"/>
        </w:rPr>
        <w:t>Minna’s</w:t>
      </w:r>
      <w:proofErr w:type="spellEnd"/>
      <w:r w:rsidRPr="0013400C">
        <w:rPr>
          <w:rFonts w:ascii="Times New Roman" w:hAnsi="Times New Roman" w:cs="Times New Roman"/>
          <w:bCs/>
          <w:sz w:val="24"/>
          <w:szCs w:val="24"/>
        </w:rPr>
        <w:t xml:space="preserve"> residential market have largely focused on the broad determinants of property value and the physical state of urban infrastructure. </w:t>
      </w:r>
      <w:r w:rsidR="00237070">
        <w:rPr>
          <w:rFonts w:ascii="Times New Roman" w:hAnsi="Times New Roman" w:cs="Times New Roman"/>
          <w:bCs/>
          <w:sz w:val="24"/>
          <w:szCs w:val="24"/>
        </w:rPr>
        <w:t>Existing s</w:t>
      </w:r>
      <w:r w:rsidRPr="0013400C">
        <w:rPr>
          <w:rFonts w:ascii="Times New Roman" w:hAnsi="Times New Roman" w:cs="Times New Roman"/>
          <w:bCs/>
          <w:sz w:val="24"/>
          <w:szCs w:val="24"/>
        </w:rPr>
        <w:t>tudies</w:t>
      </w:r>
      <w:r w:rsidR="00237070">
        <w:rPr>
          <w:rFonts w:ascii="Times New Roman" w:hAnsi="Times New Roman" w:cs="Times New Roman"/>
          <w:bCs/>
          <w:sz w:val="24"/>
          <w:szCs w:val="24"/>
        </w:rPr>
        <w:t xml:space="preserve"> have </w:t>
      </w:r>
      <w:r w:rsidRPr="0013400C">
        <w:rPr>
          <w:rFonts w:ascii="Times New Roman" w:hAnsi="Times New Roman" w:cs="Times New Roman"/>
          <w:bCs/>
          <w:sz w:val="24"/>
          <w:szCs w:val="24"/>
        </w:rPr>
        <w:t>establish</w:t>
      </w:r>
      <w:r w:rsidR="00237070">
        <w:rPr>
          <w:rFonts w:ascii="Times New Roman" w:hAnsi="Times New Roman" w:cs="Times New Roman"/>
          <w:bCs/>
          <w:sz w:val="24"/>
          <w:szCs w:val="24"/>
        </w:rPr>
        <w:t>ed</w:t>
      </w:r>
      <w:r w:rsidRPr="0013400C">
        <w:rPr>
          <w:rFonts w:ascii="Times New Roman" w:hAnsi="Times New Roman" w:cs="Times New Roman"/>
          <w:bCs/>
          <w:sz w:val="24"/>
          <w:szCs w:val="24"/>
        </w:rPr>
        <w:t xml:space="preserve"> that housing quality and infrastructure decay are primary drivers of rental variance, particularly in high-density zones where drainage and road failures create a ceiling on potential rent.</w:t>
      </w:r>
      <w:r w:rsidR="00237070">
        <w:rPr>
          <w:rFonts w:ascii="Times New Roman" w:hAnsi="Times New Roman" w:cs="Times New Roman"/>
          <w:bCs/>
          <w:sz w:val="24"/>
          <w:szCs w:val="24"/>
        </w:rPr>
        <w:t xml:space="preserve"> For instance, the study of </w:t>
      </w:r>
      <w:proofErr w:type="spellStart"/>
      <w:r w:rsidR="00D40864" w:rsidRPr="0013400C">
        <w:rPr>
          <w:rFonts w:ascii="Times New Roman" w:hAnsi="Times New Roman" w:cs="Times New Roman"/>
          <w:bCs/>
          <w:sz w:val="24"/>
          <w:szCs w:val="24"/>
        </w:rPr>
        <w:t>Kemiki</w:t>
      </w:r>
      <w:proofErr w:type="spellEnd"/>
      <w:r w:rsidR="00D40864" w:rsidRPr="0013400C">
        <w:rPr>
          <w:rFonts w:ascii="Times New Roman" w:hAnsi="Times New Roman" w:cs="Times New Roman"/>
          <w:bCs/>
          <w:sz w:val="24"/>
          <w:szCs w:val="24"/>
        </w:rPr>
        <w:t xml:space="preserve"> </w:t>
      </w:r>
      <w:r w:rsidR="004C74CA">
        <w:rPr>
          <w:rFonts w:ascii="Times New Roman" w:hAnsi="Times New Roman" w:cs="Times New Roman"/>
          <w:bCs/>
          <w:i/>
          <w:sz w:val="24"/>
          <w:szCs w:val="24"/>
        </w:rPr>
        <w:t>et al</w:t>
      </w:r>
      <w:r w:rsidR="00AB6A9F">
        <w:rPr>
          <w:rFonts w:ascii="Times New Roman" w:hAnsi="Times New Roman" w:cs="Times New Roman"/>
          <w:bCs/>
          <w:i/>
          <w:sz w:val="24"/>
          <w:szCs w:val="24"/>
        </w:rPr>
        <w:t>.</w:t>
      </w:r>
      <w:r w:rsidR="00AB6A9F" w:rsidRPr="0013400C">
        <w:rPr>
          <w:rFonts w:ascii="Times New Roman" w:hAnsi="Times New Roman" w:cs="Times New Roman"/>
          <w:bCs/>
          <w:sz w:val="24"/>
          <w:szCs w:val="24"/>
        </w:rPr>
        <w:t xml:space="preserve"> (</w:t>
      </w:r>
      <w:r w:rsidR="00D40864" w:rsidRPr="0013400C">
        <w:rPr>
          <w:rFonts w:ascii="Times New Roman" w:hAnsi="Times New Roman" w:cs="Times New Roman"/>
          <w:bCs/>
          <w:sz w:val="24"/>
          <w:szCs w:val="24"/>
        </w:rPr>
        <w:t xml:space="preserve">2018) </w:t>
      </w:r>
      <w:proofErr w:type="spellStart"/>
      <w:r w:rsidR="00D40864" w:rsidRPr="0013400C">
        <w:rPr>
          <w:rFonts w:ascii="Times New Roman" w:hAnsi="Times New Roman" w:cs="Times New Roman"/>
          <w:bCs/>
          <w:sz w:val="24"/>
          <w:szCs w:val="24"/>
        </w:rPr>
        <w:t>analysed</w:t>
      </w:r>
      <w:proofErr w:type="spellEnd"/>
      <w:r w:rsidR="00D40864" w:rsidRPr="0013400C">
        <w:rPr>
          <w:rFonts w:ascii="Times New Roman" w:hAnsi="Times New Roman" w:cs="Times New Roman"/>
          <w:bCs/>
          <w:sz w:val="24"/>
          <w:szCs w:val="24"/>
        </w:rPr>
        <w:t xml:space="preserve"> the determinants of Rental Growth in Urban Residential Properties </w:t>
      </w:r>
      <w:proofErr w:type="spellStart"/>
      <w:r w:rsidR="00D40864" w:rsidRPr="0013400C">
        <w:rPr>
          <w:rFonts w:ascii="Times New Roman" w:hAnsi="Times New Roman" w:cs="Times New Roman"/>
          <w:bCs/>
          <w:sz w:val="24"/>
          <w:szCs w:val="24"/>
        </w:rPr>
        <w:t>Minna</w:t>
      </w:r>
      <w:proofErr w:type="spellEnd"/>
      <w:r w:rsidR="00D40864" w:rsidRPr="0013400C">
        <w:rPr>
          <w:rFonts w:ascii="Times New Roman" w:hAnsi="Times New Roman" w:cs="Times New Roman"/>
          <w:bCs/>
          <w:sz w:val="24"/>
          <w:szCs w:val="24"/>
        </w:rPr>
        <w:t xml:space="preserve"> Niger state.  Hedonic Pricing Model (HPM) was applied to 450 residential properties across different density zones. Data was analyzed using Ordinary Least Squares (OLS) and Regression. The study found out that rental growth is non-uniform; structural factors (bedrooms) matter in low-density zones, while "security" and "water" dominate in high-density areas.</w:t>
      </w:r>
    </w:p>
    <w:p w14:paraId="63D9A718" w14:textId="7B696D7A" w:rsidR="00D40864" w:rsidRDefault="00655633" w:rsidP="00D40864">
      <w:pPr>
        <w:spacing w:line="240" w:lineRule="auto"/>
        <w:jc w:val="both"/>
        <w:rPr>
          <w:rFonts w:ascii="Times New Roman" w:hAnsi="Times New Roman" w:cs="Times New Roman"/>
          <w:bCs/>
          <w:sz w:val="24"/>
          <w:szCs w:val="24"/>
        </w:rPr>
      </w:pPr>
      <w:proofErr w:type="spellStart"/>
      <w:r w:rsidRPr="0013400C">
        <w:rPr>
          <w:rFonts w:ascii="Times New Roman" w:hAnsi="Times New Roman" w:cs="Times New Roman"/>
          <w:bCs/>
          <w:sz w:val="24"/>
          <w:szCs w:val="24"/>
        </w:rPr>
        <w:t>Abisuga</w:t>
      </w:r>
      <w:proofErr w:type="spellEnd"/>
      <w:r w:rsidRPr="0013400C">
        <w:rPr>
          <w:rFonts w:ascii="Times New Roman" w:hAnsi="Times New Roman" w:cs="Times New Roman"/>
          <w:bCs/>
          <w:sz w:val="24"/>
          <w:szCs w:val="24"/>
        </w:rPr>
        <w:t xml:space="preserve"> </w:t>
      </w:r>
      <w:r w:rsidRPr="004C74CA">
        <w:rPr>
          <w:rFonts w:ascii="Times New Roman" w:hAnsi="Times New Roman" w:cs="Times New Roman"/>
          <w:bCs/>
          <w:i/>
          <w:sz w:val="24"/>
          <w:szCs w:val="24"/>
        </w:rPr>
        <w:t>et al</w:t>
      </w:r>
      <w:r w:rsidR="004C74CA">
        <w:rPr>
          <w:rFonts w:ascii="Times New Roman" w:hAnsi="Times New Roman" w:cs="Times New Roman"/>
          <w:bCs/>
          <w:sz w:val="24"/>
          <w:szCs w:val="24"/>
        </w:rPr>
        <w:t>.</w:t>
      </w:r>
      <w:r w:rsidRPr="0013400C">
        <w:rPr>
          <w:rFonts w:ascii="Times New Roman" w:hAnsi="Times New Roman" w:cs="Times New Roman"/>
          <w:bCs/>
          <w:sz w:val="24"/>
          <w:szCs w:val="24"/>
        </w:rPr>
        <w:t xml:space="preserve"> (2020) examined the </w:t>
      </w:r>
      <w:r w:rsidR="00D028E3" w:rsidRPr="0013400C">
        <w:rPr>
          <w:rFonts w:ascii="Times New Roman" w:hAnsi="Times New Roman" w:cs="Times New Roman"/>
          <w:bCs/>
          <w:sz w:val="24"/>
          <w:szCs w:val="24"/>
        </w:rPr>
        <w:t>Residential Satisfact</w:t>
      </w:r>
      <w:r w:rsidRPr="0013400C">
        <w:rPr>
          <w:rFonts w:ascii="Times New Roman" w:hAnsi="Times New Roman" w:cs="Times New Roman"/>
          <w:bCs/>
          <w:sz w:val="24"/>
          <w:szCs w:val="24"/>
        </w:rPr>
        <w:t xml:space="preserve">ion and Housing Quality by administering questionnaires to 384 residents in Lagos Nigeria. The data collected was analyzed using Descriptive Statistics and Mean Satisfaction Score (MSS). The revealed that High-density areas suffer from "spatial compression," leading to lower satisfaction despite proximity to jobs. Infrastructure quality was established as the primary predictor of rental premium. </w:t>
      </w:r>
      <w:proofErr w:type="spellStart"/>
      <w:r w:rsidR="00D40864" w:rsidRPr="0013400C">
        <w:rPr>
          <w:rFonts w:ascii="Times New Roman" w:hAnsi="Times New Roman" w:cs="Times New Roman"/>
          <w:bCs/>
          <w:sz w:val="24"/>
          <w:szCs w:val="24"/>
        </w:rPr>
        <w:t>Jimoh</w:t>
      </w:r>
      <w:proofErr w:type="spellEnd"/>
      <w:r w:rsidR="00D40864" w:rsidRPr="0013400C">
        <w:rPr>
          <w:rFonts w:ascii="Times New Roman" w:hAnsi="Times New Roman" w:cs="Times New Roman"/>
          <w:bCs/>
          <w:sz w:val="24"/>
          <w:szCs w:val="24"/>
        </w:rPr>
        <w:t xml:space="preserve"> </w:t>
      </w:r>
      <w:r w:rsidR="004C74CA">
        <w:rPr>
          <w:rFonts w:ascii="Times New Roman" w:hAnsi="Times New Roman" w:cs="Times New Roman"/>
          <w:bCs/>
          <w:i/>
          <w:sz w:val="24"/>
          <w:szCs w:val="24"/>
        </w:rPr>
        <w:t>et al.</w:t>
      </w:r>
      <w:r w:rsidR="00D40864" w:rsidRPr="0013400C">
        <w:rPr>
          <w:rFonts w:ascii="Times New Roman" w:hAnsi="Times New Roman" w:cs="Times New Roman"/>
          <w:bCs/>
          <w:sz w:val="24"/>
          <w:szCs w:val="24"/>
        </w:rPr>
        <w:t xml:space="preserve"> (2021)</w:t>
      </w:r>
      <w:r w:rsidR="008A3B02" w:rsidRPr="0013400C">
        <w:rPr>
          <w:rFonts w:ascii="Times New Roman" w:hAnsi="Times New Roman" w:cs="Times New Roman"/>
          <w:bCs/>
          <w:sz w:val="24"/>
          <w:szCs w:val="24"/>
        </w:rPr>
        <w:t xml:space="preserve"> assessed Infrastructure Decay in High-Density Residential Areas of </w:t>
      </w:r>
      <w:proofErr w:type="spellStart"/>
      <w:r w:rsidR="008A3B02" w:rsidRPr="0013400C">
        <w:rPr>
          <w:rFonts w:ascii="Times New Roman" w:hAnsi="Times New Roman" w:cs="Times New Roman"/>
          <w:bCs/>
          <w:sz w:val="24"/>
          <w:szCs w:val="24"/>
        </w:rPr>
        <w:t>Minna</w:t>
      </w:r>
      <w:proofErr w:type="spellEnd"/>
      <w:r w:rsidR="008A3B02" w:rsidRPr="0013400C">
        <w:rPr>
          <w:rFonts w:ascii="Times New Roman" w:hAnsi="Times New Roman" w:cs="Times New Roman"/>
          <w:bCs/>
          <w:sz w:val="24"/>
          <w:szCs w:val="24"/>
        </w:rPr>
        <w:t>, Nigeria. Using Descriptive Survey &amp; Physical Condition Mapping evaluated 12 specific high-density neighborhoods using Condition Index Ratings. The study revealed a direct inverse relationship between density and maintenance. High-density areas have 60% higher drainage failure, keeping rents low despite high demand.</w:t>
      </w:r>
      <w:r w:rsidR="00E67936">
        <w:rPr>
          <w:rFonts w:ascii="Times New Roman" w:hAnsi="Times New Roman" w:cs="Times New Roman"/>
          <w:bCs/>
          <w:sz w:val="24"/>
          <w:szCs w:val="24"/>
        </w:rPr>
        <w:t xml:space="preserve"> </w:t>
      </w:r>
      <w:proofErr w:type="spellStart"/>
      <w:r w:rsidR="00E67936" w:rsidRPr="00E67936">
        <w:rPr>
          <w:rFonts w:ascii="Times New Roman" w:hAnsi="Times New Roman" w:cs="Times New Roman"/>
          <w:bCs/>
          <w:sz w:val="24"/>
          <w:szCs w:val="24"/>
        </w:rPr>
        <w:t>Aliyu</w:t>
      </w:r>
      <w:proofErr w:type="spellEnd"/>
      <w:r w:rsidR="00E67936" w:rsidRPr="00E67936">
        <w:rPr>
          <w:rFonts w:ascii="Times New Roman" w:hAnsi="Times New Roman" w:cs="Times New Roman"/>
          <w:bCs/>
          <w:sz w:val="24"/>
          <w:szCs w:val="24"/>
        </w:rPr>
        <w:t xml:space="preserve"> </w:t>
      </w:r>
      <w:r w:rsidR="004C74CA">
        <w:rPr>
          <w:rFonts w:ascii="Times New Roman" w:hAnsi="Times New Roman" w:cs="Times New Roman"/>
          <w:bCs/>
          <w:i/>
          <w:sz w:val="24"/>
          <w:szCs w:val="24"/>
        </w:rPr>
        <w:t>et al.</w:t>
      </w:r>
      <w:r w:rsidR="00E67936">
        <w:rPr>
          <w:rFonts w:ascii="Times New Roman" w:hAnsi="Times New Roman" w:cs="Times New Roman"/>
          <w:bCs/>
          <w:sz w:val="24"/>
          <w:szCs w:val="24"/>
        </w:rPr>
        <w:t xml:space="preserve"> (2021) determined </w:t>
      </w:r>
      <w:r w:rsidR="00E67936" w:rsidRPr="00E67936">
        <w:rPr>
          <w:rFonts w:ascii="Times New Roman" w:hAnsi="Times New Roman" w:cs="Times New Roman"/>
          <w:bCs/>
          <w:sz w:val="24"/>
          <w:szCs w:val="24"/>
        </w:rPr>
        <w:t xml:space="preserve">the Impact of Location on Residential Property Rental Values in </w:t>
      </w:r>
      <w:proofErr w:type="spellStart"/>
      <w:r w:rsidR="00E67936" w:rsidRPr="00E67936">
        <w:rPr>
          <w:rFonts w:ascii="Times New Roman" w:hAnsi="Times New Roman" w:cs="Times New Roman"/>
          <w:bCs/>
          <w:sz w:val="24"/>
          <w:szCs w:val="24"/>
        </w:rPr>
        <w:t>Bida</w:t>
      </w:r>
      <w:proofErr w:type="spellEnd"/>
      <w:r w:rsidR="00E67936" w:rsidRPr="00E67936">
        <w:rPr>
          <w:rFonts w:ascii="Times New Roman" w:hAnsi="Times New Roman" w:cs="Times New Roman"/>
          <w:bCs/>
          <w:sz w:val="24"/>
          <w:szCs w:val="24"/>
        </w:rPr>
        <w:t>, Niger State. The study used ArcGIS (Inverse Distance Weighted interpolation) to model rental values across 196 properties. The study confirmed a "South-ward Value Gradient" where properties in the southern axes command significantly higher rents (up to ₦200k for 3-bedroom) compared to the northern and core areas. It proved that distance from the city center inversely affects value for 1-bedroom units but positively affects 2-bedroom units</w:t>
      </w:r>
    </w:p>
    <w:p w14:paraId="2CF19200" w14:textId="77844809" w:rsidR="00237070" w:rsidRDefault="0013400C" w:rsidP="0013400C">
      <w:pPr>
        <w:spacing w:line="240" w:lineRule="auto"/>
        <w:jc w:val="both"/>
        <w:rPr>
          <w:rFonts w:ascii="Times New Roman" w:hAnsi="Times New Roman" w:cs="Times New Roman"/>
          <w:bCs/>
          <w:sz w:val="24"/>
          <w:szCs w:val="24"/>
        </w:rPr>
      </w:pPr>
      <w:r w:rsidRPr="0013400C">
        <w:rPr>
          <w:rFonts w:ascii="Times New Roman" w:hAnsi="Times New Roman" w:cs="Times New Roman"/>
          <w:bCs/>
          <w:sz w:val="24"/>
          <w:szCs w:val="24"/>
        </w:rPr>
        <w:t>Further</w:t>
      </w:r>
      <w:r w:rsidR="00C247A8">
        <w:rPr>
          <w:rFonts w:ascii="Times New Roman" w:hAnsi="Times New Roman" w:cs="Times New Roman"/>
          <w:bCs/>
          <w:sz w:val="24"/>
          <w:szCs w:val="24"/>
        </w:rPr>
        <w:t>more,</w:t>
      </w:r>
      <w:r w:rsidRPr="0013400C">
        <w:rPr>
          <w:rFonts w:ascii="Times New Roman" w:hAnsi="Times New Roman" w:cs="Times New Roman"/>
          <w:bCs/>
          <w:sz w:val="24"/>
          <w:szCs w:val="24"/>
        </w:rPr>
        <w:t xml:space="preserve"> </w:t>
      </w:r>
      <w:r w:rsidR="00237070">
        <w:rPr>
          <w:rFonts w:ascii="Times New Roman" w:hAnsi="Times New Roman" w:cs="Times New Roman"/>
          <w:bCs/>
          <w:sz w:val="24"/>
          <w:szCs w:val="24"/>
        </w:rPr>
        <w:t>other researches highlight</w:t>
      </w:r>
      <w:r w:rsidR="00237070" w:rsidRPr="0013400C">
        <w:rPr>
          <w:rFonts w:ascii="Times New Roman" w:hAnsi="Times New Roman" w:cs="Times New Roman"/>
          <w:bCs/>
          <w:sz w:val="24"/>
          <w:szCs w:val="24"/>
        </w:rPr>
        <w:t xml:space="preserve"> the external pressures of urban sprawl and </w:t>
      </w:r>
      <w:proofErr w:type="spellStart"/>
      <w:r w:rsidR="00237070" w:rsidRPr="0013400C">
        <w:rPr>
          <w:rFonts w:ascii="Times New Roman" w:hAnsi="Times New Roman" w:cs="Times New Roman"/>
          <w:bCs/>
          <w:sz w:val="24"/>
          <w:szCs w:val="24"/>
        </w:rPr>
        <w:t>Minna’s</w:t>
      </w:r>
      <w:proofErr w:type="spellEnd"/>
      <w:r w:rsidR="00237070" w:rsidRPr="0013400C">
        <w:rPr>
          <w:rFonts w:ascii="Times New Roman" w:hAnsi="Times New Roman" w:cs="Times New Roman"/>
          <w:bCs/>
          <w:sz w:val="24"/>
          <w:szCs w:val="24"/>
        </w:rPr>
        <w:t xml:space="preserve"> proximity to Abuja as catalysts for rapid appreciation in southern corridors.</w:t>
      </w:r>
      <w:r w:rsidR="00237070">
        <w:rPr>
          <w:rFonts w:ascii="Times New Roman" w:hAnsi="Times New Roman" w:cs="Times New Roman"/>
          <w:bCs/>
          <w:sz w:val="24"/>
          <w:szCs w:val="24"/>
        </w:rPr>
        <w:t xml:space="preserve"> This is noticed in the research of</w:t>
      </w:r>
      <w:r w:rsidR="00655633" w:rsidRPr="0013400C">
        <w:rPr>
          <w:rFonts w:ascii="Times New Roman" w:hAnsi="Times New Roman" w:cs="Times New Roman"/>
          <w:bCs/>
          <w:sz w:val="24"/>
          <w:szCs w:val="24"/>
        </w:rPr>
        <w:t xml:space="preserve"> </w:t>
      </w:r>
      <w:r w:rsidR="00237070">
        <w:rPr>
          <w:rFonts w:ascii="Times New Roman" w:hAnsi="Times New Roman" w:cs="Times New Roman"/>
          <w:bCs/>
          <w:sz w:val="24"/>
          <w:szCs w:val="24"/>
        </w:rPr>
        <w:t xml:space="preserve">Bello &amp; Muhammad </w:t>
      </w:r>
      <w:r w:rsidR="00655633" w:rsidRPr="0013400C">
        <w:rPr>
          <w:rFonts w:ascii="Times New Roman" w:hAnsi="Times New Roman" w:cs="Times New Roman"/>
          <w:bCs/>
          <w:sz w:val="24"/>
          <w:szCs w:val="24"/>
        </w:rPr>
        <w:t xml:space="preserve">(2022) </w:t>
      </w:r>
      <w:r w:rsidR="00237070">
        <w:rPr>
          <w:rFonts w:ascii="Times New Roman" w:hAnsi="Times New Roman" w:cs="Times New Roman"/>
          <w:bCs/>
          <w:sz w:val="24"/>
          <w:szCs w:val="24"/>
        </w:rPr>
        <w:t xml:space="preserve">that </w:t>
      </w:r>
      <w:proofErr w:type="spellStart"/>
      <w:r w:rsidR="00655633" w:rsidRPr="0013400C">
        <w:rPr>
          <w:rFonts w:ascii="Times New Roman" w:hAnsi="Times New Roman" w:cs="Times New Roman"/>
          <w:bCs/>
          <w:sz w:val="24"/>
          <w:szCs w:val="24"/>
        </w:rPr>
        <w:t>analysed</w:t>
      </w:r>
      <w:proofErr w:type="spellEnd"/>
      <w:r w:rsidR="00655633" w:rsidRPr="0013400C">
        <w:rPr>
          <w:rFonts w:ascii="Times New Roman" w:hAnsi="Times New Roman" w:cs="Times New Roman"/>
          <w:bCs/>
          <w:sz w:val="24"/>
          <w:szCs w:val="24"/>
        </w:rPr>
        <w:t xml:space="preserve"> the impact of Abuja’s Proximity on the Housing Market of </w:t>
      </w:r>
      <w:proofErr w:type="spellStart"/>
      <w:r w:rsidR="00655633" w:rsidRPr="0013400C">
        <w:rPr>
          <w:rFonts w:ascii="Times New Roman" w:hAnsi="Times New Roman" w:cs="Times New Roman"/>
          <w:bCs/>
          <w:sz w:val="24"/>
          <w:szCs w:val="24"/>
        </w:rPr>
        <w:t>Minna</w:t>
      </w:r>
      <w:proofErr w:type="spellEnd"/>
      <w:r w:rsidR="00655633" w:rsidRPr="0013400C">
        <w:rPr>
          <w:rFonts w:ascii="Times New Roman" w:hAnsi="Times New Roman" w:cs="Times New Roman"/>
          <w:bCs/>
          <w:sz w:val="24"/>
          <w:szCs w:val="24"/>
        </w:rPr>
        <w:t>, Nigeria</w:t>
      </w:r>
      <w:r w:rsidR="00D40864" w:rsidRPr="0013400C">
        <w:rPr>
          <w:rFonts w:ascii="Times New Roman" w:hAnsi="Times New Roman" w:cs="Times New Roman"/>
          <w:bCs/>
          <w:sz w:val="24"/>
          <w:szCs w:val="24"/>
        </w:rPr>
        <w:t xml:space="preserve">. The research analyzed 10-year rental trends (2012–2022) and used Multiple Regression to correlate rental growth with distance from Abuja. The study revealed </w:t>
      </w:r>
      <w:r w:rsidR="00D40864" w:rsidRPr="0013400C">
        <w:rPr>
          <w:rFonts w:ascii="Times New Roman" w:hAnsi="Times New Roman" w:cs="Times New Roman"/>
          <w:bCs/>
          <w:sz w:val="24"/>
          <w:szCs w:val="24"/>
        </w:rPr>
        <w:lastRenderedPageBreak/>
        <w:t xml:space="preserve">that proximity to Abuja acts as a value driver for </w:t>
      </w:r>
      <w:proofErr w:type="spellStart"/>
      <w:r w:rsidR="00D40864" w:rsidRPr="0013400C">
        <w:rPr>
          <w:rFonts w:ascii="Times New Roman" w:hAnsi="Times New Roman" w:cs="Times New Roman"/>
          <w:bCs/>
          <w:sz w:val="24"/>
          <w:szCs w:val="24"/>
        </w:rPr>
        <w:t>Minna’s</w:t>
      </w:r>
      <w:proofErr w:type="spellEnd"/>
      <w:r w:rsidR="00D40864" w:rsidRPr="0013400C">
        <w:rPr>
          <w:rFonts w:ascii="Times New Roman" w:hAnsi="Times New Roman" w:cs="Times New Roman"/>
          <w:bCs/>
          <w:sz w:val="24"/>
          <w:szCs w:val="24"/>
        </w:rPr>
        <w:t xml:space="preserve"> southern corridors (</w:t>
      </w:r>
      <w:proofErr w:type="spellStart"/>
      <w:r w:rsidR="00D40864" w:rsidRPr="0013400C">
        <w:rPr>
          <w:rFonts w:ascii="Times New Roman" w:hAnsi="Times New Roman" w:cs="Times New Roman"/>
          <w:bCs/>
          <w:sz w:val="24"/>
          <w:szCs w:val="24"/>
        </w:rPr>
        <w:t>Tunga</w:t>
      </w:r>
      <w:proofErr w:type="spellEnd"/>
      <w:r w:rsidR="00D40864" w:rsidRPr="0013400C">
        <w:rPr>
          <w:rFonts w:ascii="Times New Roman" w:hAnsi="Times New Roman" w:cs="Times New Roman"/>
          <w:bCs/>
          <w:sz w:val="24"/>
          <w:szCs w:val="24"/>
        </w:rPr>
        <w:t>/</w:t>
      </w:r>
      <w:proofErr w:type="spellStart"/>
      <w:r w:rsidR="00D40864" w:rsidRPr="0013400C">
        <w:rPr>
          <w:rFonts w:ascii="Times New Roman" w:hAnsi="Times New Roman" w:cs="Times New Roman"/>
          <w:bCs/>
          <w:sz w:val="24"/>
          <w:szCs w:val="24"/>
        </w:rPr>
        <w:t>Shango</w:t>
      </w:r>
      <w:proofErr w:type="spellEnd"/>
      <w:r w:rsidR="00D40864" w:rsidRPr="0013400C">
        <w:rPr>
          <w:rFonts w:ascii="Times New Roman" w:hAnsi="Times New Roman" w:cs="Times New Roman"/>
          <w:bCs/>
          <w:sz w:val="24"/>
          <w:szCs w:val="24"/>
        </w:rPr>
        <w:t>), leading to a 15% annual rental appreciation compared to the city average of 9%.</w:t>
      </w:r>
      <w:r w:rsidR="00237070">
        <w:rPr>
          <w:rFonts w:ascii="Times New Roman" w:hAnsi="Times New Roman" w:cs="Times New Roman"/>
          <w:bCs/>
          <w:sz w:val="24"/>
          <w:szCs w:val="24"/>
        </w:rPr>
        <w:t xml:space="preserve"> </w:t>
      </w:r>
      <w:proofErr w:type="spellStart"/>
      <w:r w:rsidR="008A3B02" w:rsidRPr="0013400C">
        <w:rPr>
          <w:rFonts w:ascii="Times New Roman" w:hAnsi="Times New Roman" w:cs="Times New Roman"/>
          <w:bCs/>
          <w:sz w:val="24"/>
          <w:szCs w:val="24"/>
        </w:rPr>
        <w:t>Adewusi</w:t>
      </w:r>
      <w:proofErr w:type="spellEnd"/>
      <w:r w:rsidR="008A3B02" w:rsidRPr="0013400C">
        <w:rPr>
          <w:rFonts w:ascii="Times New Roman" w:hAnsi="Times New Roman" w:cs="Times New Roman"/>
          <w:bCs/>
          <w:sz w:val="24"/>
          <w:szCs w:val="24"/>
        </w:rPr>
        <w:t xml:space="preserve"> </w:t>
      </w:r>
      <w:r w:rsidR="00237070">
        <w:rPr>
          <w:rFonts w:ascii="Times New Roman" w:hAnsi="Times New Roman" w:cs="Times New Roman"/>
          <w:bCs/>
          <w:i/>
          <w:sz w:val="24"/>
          <w:szCs w:val="24"/>
        </w:rPr>
        <w:t>et al.</w:t>
      </w:r>
      <w:r w:rsidR="008A3B02" w:rsidRPr="0013400C">
        <w:rPr>
          <w:rFonts w:ascii="Times New Roman" w:hAnsi="Times New Roman" w:cs="Times New Roman"/>
          <w:bCs/>
          <w:sz w:val="24"/>
          <w:szCs w:val="24"/>
        </w:rPr>
        <w:t xml:space="preserve"> (2022) </w:t>
      </w:r>
      <w:proofErr w:type="spellStart"/>
      <w:r w:rsidR="008A3B02" w:rsidRPr="0013400C">
        <w:rPr>
          <w:rFonts w:ascii="Times New Roman" w:hAnsi="Times New Roman" w:cs="Times New Roman"/>
          <w:bCs/>
          <w:sz w:val="24"/>
          <w:szCs w:val="24"/>
        </w:rPr>
        <w:t>analysed</w:t>
      </w:r>
      <w:proofErr w:type="spellEnd"/>
      <w:r w:rsidR="008A3B02" w:rsidRPr="0013400C">
        <w:rPr>
          <w:rFonts w:ascii="Times New Roman" w:hAnsi="Times New Roman" w:cs="Times New Roman"/>
          <w:bCs/>
          <w:sz w:val="24"/>
          <w:szCs w:val="24"/>
        </w:rPr>
        <w:t xml:space="preserve"> the dynamics of Rental Housing Markets in Developing Economies using </w:t>
      </w:r>
      <w:r w:rsidR="00237070">
        <w:rPr>
          <w:rFonts w:ascii="Times New Roman" w:hAnsi="Times New Roman" w:cs="Times New Roman"/>
          <w:bCs/>
          <w:sz w:val="24"/>
          <w:szCs w:val="24"/>
        </w:rPr>
        <w:t xml:space="preserve">Selected Developing Urban </w:t>
      </w:r>
      <w:r w:rsidR="008A3B02" w:rsidRPr="0013400C">
        <w:rPr>
          <w:rFonts w:ascii="Times New Roman" w:hAnsi="Times New Roman" w:cs="Times New Roman"/>
          <w:bCs/>
          <w:sz w:val="24"/>
          <w:szCs w:val="24"/>
        </w:rPr>
        <w:t xml:space="preserve">Centers (Lagos/Ibadan) in Nigeria. Qualitative Interviews were conducted on 25 Estate Surveyors and </w:t>
      </w:r>
      <w:proofErr w:type="spellStart"/>
      <w:r w:rsidR="008A3B02" w:rsidRPr="0013400C">
        <w:rPr>
          <w:rFonts w:ascii="Times New Roman" w:hAnsi="Times New Roman" w:cs="Times New Roman"/>
          <w:bCs/>
          <w:sz w:val="24"/>
          <w:szCs w:val="24"/>
        </w:rPr>
        <w:t>Valuers</w:t>
      </w:r>
      <w:proofErr w:type="spellEnd"/>
      <w:r w:rsidR="008A3B02" w:rsidRPr="0013400C">
        <w:rPr>
          <w:rFonts w:ascii="Times New Roman" w:hAnsi="Times New Roman" w:cs="Times New Roman"/>
          <w:bCs/>
          <w:sz w:val="24"/>
          <w:szCs w:val="24"/>
        </w:rPr>
        <w:t xml:space="preserve"> in the study area to identify "under-the-table" rental dynamics and informal market shifts. The study identified a "gentrification gap" where high-density neighborhoods near institutions see rapid rent hikes that displace original low-income residents</w:t>
      </w:r>
      <w:r w:rsidRPr="0013400C">
        <w:rPr>
          <w:rFonts w:ascii="Times New Roman" w:hAnsi="Times New Roman" w:cs="Times New Roman"/>
          <w:bCs/>
          <w:sz w:val="24"/>
          <w:szCs w:val="24"/>
        </w:rPr>
        <w:t>.</w:t>
      </w:r>
    </w:p>
    <w:p w14:paraId="42337E16" w14:textId="0683D3CB" w:rsidR="00D40864" w:rsidRDefault="0013400C" w:rsidP="00655633">
      <w:pPr>
        <w:spacing w:line="240" w:lineRule="auto"/>
        <w:jc w:val="both"/>
        <w:rPr>
          <w:rFonts w:ascii="Times New Roman" w:hAnsi="Times New Roman" w:cs="Times New Roman"/>
          <w:bCs/>
          <w:sz w:val="24"/>
          <w:szCs w:val="24"/>
        </w:rPr>
      </w:pPr>
      <w:proofErr w:type="spellStart"/>
      <w:r w:rsidRPr="0013400C">
        <w:rPr>
          <w:rFonts w:ascii="Times New Roman" w:hAnsi="Times New Roman" w:cs="Times New Roman"/>
          <w:bCs/>
          <w:sz w:val="24"/>
          <w:szCs w:val="24"/>
        </w:rPr>
        <w:t>Adama</w:t>
      </w:r>
      <w:proofErr w:type="spellEnd"/>
      <w:r w:rsidRPr="0013400C">
        <w:rPr>
          <w:rFonts w:ascii="Times New Roman" w:hAnsi="Times New Roman" w:cs="Times New Roman"/>
          <w:bCs/>
          <w:sz w:val="24"/>
          <w:szCs w:val="24"/>
        </w:rPr>
        <w:t xml:space="preserve"> </w:t>
      </w:r>
      <w:r w:rsidRPr="00C247A8">
        <w:rPr>
          <w:rFonts w:ascii="Times New Roman" w:hAnsi="Times New Roman" w:cs="Times New Roman"/>
          <w:bCs/>
          <w:i/>
          <w:sz w:val="24"/>
          <w:szCs w:val="24"/>
        </w:rPr>
        <w:t>et al.,</w:t>
      </w:r>
      <w:r w:rsidRPr="0013400C">
        <w:rPr>
          <w:rFonts w:ascii="Times New Roman" w:hAnsi="Times New Roman" w:cs="Times New Roman"/>
          <w:bCs/>
          <w:sz w:val="24"/>
          <w:szCs w:val="24"/>
        </w:rPr>
        <w:t xml:space="preserve"> (2022) examined Urban Sprawl and Land Use Dynamics in </w:t>
      </w:r>
      <w:proofErr w:type="spellStart"/>
      <w:r w:rsidRPr="0013400C">
        <w:rPr>
          <w:rFonts w:ascii="Times New Roman" w:hAnsi="Times New Roman" w:cs="Times New Roman"/>
          <w:bCs/>
          <w:sz w:val="24"/>
          <w:szCs w:val="24"/>
        </w:rPr>
        <w:t>Minna</w:t>
      </w:r>
      <w:proofErr w:type="spellEnd"/>
      <w:r w:rsidRPr="0013400C">
        <w:rPr>
          <w:rFonts w:ascii="Times New Roman" w:hAnsi="Times New Roman" w:cs="Times New Roman"/>
          <w:bCs/>
          <w:sz w:val="24"/>
          <w:szCs w:val="24"/>
        </w:rPr>
        <w:t xml:space="preserve"> </w:t>
      </w:r>
      <w:proofErr w:type="spellStart"/>
      <w:r w:rsidRPr="0013400C">
        <w:rPr>
          <w:rFonts w:ascii="Times New Roman" w:hAnsi="Times New Roman" w:cs="Times New Roman"/>
          <w:bCs/>
          <w:sz w:val="24"/>
          <w:szCs w:val="24"/>
        </w:rPr>
        <w:t>Peri</w:t>
      </w:r>
      <w:proofErr w:type="spellEnd"/>
      <w:r w:rsidRPr="0013400C">
        <w:rPr>
          <w:rFonts w:ascii="Times New Roman" w:hAnsi="Times New Roman" w:cs="Times New Roman"/>
          <w:bCs/>
          <w:sz w:val="24"/>
          <w:szCs w:val="24"/>
        </w:rPr>
        <w:t xml:space="preserve">-urban Fringe, Niger State. The study utilized Remote Sensing &amp; GIS Analysis, using satellite imagery from 2000–2020 to map expansion and correlated it with land value changes. The study discovered that, </w:t>
      </w:r>
      <w:proofErr w:type="spellStart"/>
      <w:r w:rsidRPr="0013400C">
        <w:rPr>
          <w:rFonts w:ascii="Times New Roman" w:hAnsi="Times New Roman" w:cs="Times New Roman"/>
          <w:bCs/>
          <w:sz w:val="24"/>
          <w:szCs w:val="24"/>
        </w:rPr>
        <w:t>Minna</w:t>
      </w:r>
      <w:proofErr w:type="spellEnd"/>
      <w:r w:rsidRPr="0013400C">
        <w:rPr>
          <w:rFonts w:ascii="Times New Roman" w:hAnsi="Times New Roman" w:cs="Times New Roman"/>
          <w:bCs/>
          <w:sz w:val="24"/>
          <w:szCs w:val="24"/>
        </w:rPr>
        <w:t xml:space="preserve"> expanded by 45% in two decades, creating "unplanned high-density clusters" on the outskirts with highly volatile rental values.</w:t>
      </w:r>
      <w:r w:rsidR="00237070">
        <w:rPr>
          <w:rFonts w:ascii="Times New Roman" w:hAnsi="Times New Roman" w:cs="Times New Roman"/>
          <w:bCs/>
          <w:sz w:val="24"/>
          <w:szCs w:val="24"/>
        </w:rPr>
        <w:t xml:space="preserve"> </w:t>
      </w:r>
      <w:proofErr w:type="spellStart"/>
      <w:r w:rsidR="008A3B02" w:rsidRPr="0013400C">
        <w:rPr>
          <w:rFonts w:ascii="Times New Roman" w:hAnsi="Times New Roman" w:cs="Times New Roman"/>
          <w:bCs/>
          <w:sz w:val="24"/>
          <w:szCs w:val="24"/>
        </w:rPr>
        <w:t>Olapade</w:t>
      </w:r>
      <w:proofErr w:type="spellEnd"/>
      <w:r w:rsidR="008A3B02" w:rsidRPr="0013400C">
        <w:rPr>
          <w:rFonts w:ascii="Times New Roman" w:hAnsi="Times New Roman" w:cs="Times New Roman"/>
          <w:bCs/>
          <w:sz w:val="24"/>
          <w:szCs w:val="24"/>
        </w:rPr>
        <w:t xml:space="preserve"> (2023) </w:t>
      </w:r>
      <w:proofErr w:type="spellStart"/>
      <w:r w:rsidR="008A3B02" w:rsidRPr="0013400C">
        <w:rPr>
          <w:rFonts w:ascii="Times New Roman" w:hAnsi="Times New Roman" w:cs="Times New Roman"/>
          <w:bCs/>
          <w:sz w:val="24"/>
          <w:szCs w:val="24"/>
        </w:rPr>
        <w:t>analysed</w:t>
      </w:r>
      <w:proofErr w:type="spellEnd"/>
      <w:r w:rsidR="008A3B02" w:rsidRPr="0013400C">
        <w:rPr>
          <w:rFonts w:ascii="Times New Roman" w:hAnsi="Times New Roman" w:cs="Times New Roman"/>
          <w:bCs/>
          <w:sz w:val="24"/>
          <w:szCs w:val="24"/>
        </w:rPr>
        <w:t xml:space="preserve"> Neighborhood Density and Residential Rental Values in selected cities in South-West &amp; North-Central Nigeria using Cross-Sectional Analysis. The study compared rental datasets from 3 cities using Analysis of Variance (ANOVA) to test value differences across density strata. The study found out that "Medium-Density" neighborhoods often provide the highest Return on Investment (ROI) for landlords due to balanced maintenance costs and high occupancy</w:t>
      </w:r>
      <w:r w:rsidR="00237070">
        <w:rPr>
          <w:rFonts w:ascii="Times New Roman" w:hAnsi="Times New Roman" w:cs="Times New Roman"/>
          <w:bCs/>
          <w:sz w:val="24"/>
          <w:szCs w:val="24"/>
        </w:rPr>
        <w:t>,</w:t>
      </w:r>
    </w:p>
    <w:p w14:paraId="454F1921" w14:textId="41785556" w:rsidR="00237070" w:rsidRPr="00237070" w:rsidRDefault="00237070" w:rsidP="00AB6A9F">
      <w:pPr>
        <w:spacing w:after="0" w:line="240" w:lineRule="auto"/>
        <w:jc w:val="both"/>
        <w:rPr>
          <w:rFonts w:ascii="Times New Roman" w:hAnsi="Times New Roman" w:cs="Times New Roman"/>
          <w:bCs/>
          <w:sz w:val="24"/>
          <w:szCs w:val="24"/>
        </w:rPr>
      </w:pPr>
      <w:r w:rsidRPr="00237070">
        <w:rPr>
          <w:rFonts w:ascii="Times New Roman" w:hAnsi="Times New Roman" w:cs="Times New Roman"/>
          <w:bCs/>
          <w:sz w:val="24"/>
          <w:szCs w:val="24"/>
        </w:rPr>
        <w:t>While these studies provide a foundational understanding of "what" drives value, they often treat neighborhood density as a static, secondary characteristic rather than a dynamic variable that interacts directly with specific property types over an extended economic cycle.</w:t>
      </w:r>
      <w:r>
        <w:rPr>
          <w:rFonts w:ascii="Times New Roman" w:hAnsi="Times New Roman" w:cs="Times New Roman"/>
          <w:bCs/>
          <w:sz w:val="24"/>
          <w:szCs w:val="24"/>
        </w:rPr>
        <w:t xml:space="preserve"> This study</w:t>
      </w:r>
      <w:r w:rsidRPr="00237070">
        <w:rPr>
          <w:rFonts w:ascii="Times New Roman" w:hAnsi="Times New Roman" w:cs="Times New Roman"/>
          <w:bCs/>
          <w:sz w:val="24"/>
          <w:szCs w:val="24"/>
        </w:rPr>
        <w:t xml:space="preserve"> establishes a</w:t>
      </w:r>
      <w:r>
        <w:rPr>
          <w:rFonts w:ascii="Times New Roman" w:hAnsi="Times New Roman" w:cs="Times New Roman"/>
          <w:bCs/>
          <w:sz w:val="24"/>
          <w:szCs w:val="24"/>
        </w:rPr>
        <w:t xml:space="preserve"> significant departure from the</w:t>
      </w:r>
      <w:r w:rsidRPr="00237070">
        <w:rPr>
          <w:rFonts w:ascii="Times New Roman" w:hAnsi="Times New Roman" w:cs="Times New Roman"/>
          <w:bCs/>
          <w:sz w:val="24"/>
          <w:szCs w:val="24"/>
        </w:rPr>
        <w:t xml:space="preserve"> existing body of work by addressing three critical gaps: the temporal gap, the methodological interaction gap, and the perspective gap. Unlike previous cross-sectional studies that offer </w:t>
      </w:r>
      <w:r>
        <w:rPr>
          <w:rFonts w:ascii="Times New Roman" w:hAnsi="Times New Roman" w:cs="Times New Roman"/>
          <w:bCs/>
          <w:sz w:val="24"/>
          <w:szCs w:val="24"/>
        </w:rPr>
        <w:t>a "snapshot" of the market, this study 13</w:t>
      </w:r>
      <w:r w:rsidRPr="00237070">
        <w:rPr>
          <w:rFonts w:ascii="Times New Roman" w:hAnsi="Times New Roman" w:cs="Times New Roman"/>
          <w:bCs/>
          <w:sz w:val="24"/>
          <w:szCs w:val="24"/>
        </w:rPr>
        <w:t xml:space="preserve">-year longitudinal analysis (2013–2025) captures the specific impact of Nigeria’s recent inflationary volatility on Rental Growth Rates (RGR). Methodologically, while prior research (such as </w:t>
      </w:r>
      <w:proofErr w:type="spellStart"/>
      <w:r w:rsidRPr="00237070">
        <w:rPr>
          <w:rFonts w:ascii="Times New Roman" w:hAnsi="Times New Roman" w:cs="Times New Roman"/>
          <w:bCs/>
          <w:sz w:val="24"/>
          <w:szCs w:val="24"/>
        </w:rPr>
        <w:t>Olapade</w:t>
      </w:r>
      <w:proofErr w:type="spellEnd"/>
      <w:r w:rsidRPr="00237070">
        <w:rPr>
          <w:rFonts w:ascii="Times New Roman" w:hAnsi="Times New Roman" w:cs="Times New Roman"/>
          <w:bCs/>
          <w:sz w:val="24"/>
          <w:szCs w:val="24"/>
        </w:rPr>
        <w:t>, 2023) analyzes density or p</w:t>
      </w:r>
      <w:r>
        <w:rPr>
          <w:rFonts w:ascii="Times New Roman" w:hAnsi="Times New Roman" w:cs="Times New Roman"/>
          <w:bCs/>
          <w:sz w:val="24"/>
          <w:szCs w:val="24"/>
        </w:rPr>
        <w:t xml:space="preserve">roperty type in isolation, this study </w:t>
      </w:r>
      <w:r w:rsidRPr="00237070">
        <w:rPr>
          <w:rFonts w:ascii="Times New Roman" w:hAnsi="Times New Roman" w:cs="Times New Roman"/>
          <w:bCs/>
          <w:sz w:val="24"/>
          <w:szCs w:val="24"/>
        </w:rPr>
        <w:t>use</w:t>
      </w:r>
      <w:r>
        <w:rPr>
          <w:rFonts w:ascii="Times New Roman" w:hAnsi="Times New Roman" w:cs="Times New Roman"/>
          <w:bCs/>
          <w:sz w:val="24"/>
          <w:szCs w:val="24"/>
        </w:rPr>
        <w:t>s</w:t>
      </w:r>
      <w:r w:rsidRPr="00237070">
        <w:rPr>
          <w:rFonts w:ascii="Times New Roman" w:hAnsi="Times New Roman" w:cs="Times New Roman"/>
          <w:bCs/>
          <w:sz w:val="24"/>
          <w:szCs w:val="24"/>
        </w:rPr>
        <w:t xml:space="preserve"> Two-way ANOVA</w:t>
      </w:r>
      <w:r>
        <w:rPr>
          <w:rFonts w:ascii="Times New Roman" w:hAnsi="Times New Roman" w:cs="Times New Roman"/>
          <w:bCs/>
          <w:sz w:val="24"/>
          <w:szCs w:val="24"/>
        </w:rPr>
        <w:t xml:space="preserve"> to</w:t>
      </w:r>
      <w:r w:rsidRPr="00237070">
        <w:rPr>
          <w:rFonts w:ascii="Times New Roman" w:hAnsi="Times New Roman" w:cs="Times New Roman"/>
          <w:bCs/>
          <w:sz w:val="24"/>
          <w:szCs w:val="24"/>
        </w:rPr>
        <w:t xml:space="preserve"> provides empirical evidence of the "interaction effect"—proving that the value of a specific house type is fundamentally altered by the density of the neighborhood it occupies. Finally, by triangulating data from both 226 tenants and 10 professional </w:t>
      </w:r>
      <w:proofErr w:type="spellStart"/>
      <w:r w:rsidRPr="00237070">
        <w:rPr>
          <w:rFonts w:ascii="Times New Roman" w:hAnsi="Times New Roman" w:cs="Times New Roman"/>
          <w:bCs/>
          <w:sz w:val="24"/>
          <w:szCs w:val="24"/>
        </w:rPr>
        <w:t>Valuers</w:t>
      </w:r>
      <w:proofErr w:type="spellEnd"/>
      <w:r w:rsidR="00C247A8">
        <w:rPr>
          <w:rFonts w:ascii="Times New Roman" w:hAnsi="Times New Roman" w:cs="Times New Roman"/>
          <w:bCs/>
          <w:sz w:val="24"/>
          <w:szCs w:val="24"/>
        </w:rPr>
        <w:t>, this</w:t>
      </w:r>
      <w:r w:rsidRPr="00237070">
        <w:rPr>
          <w:rFonts w:ascii="Times New Roman" w:hAnsi="Times New Roman" w:cs="Times New Roman"/>
          <w:bCs/>
          <w:sz w:val="24"/>
          <w:szCs w:val="24"/>
        </w:rPr>
        <w:t xml:space="preserve"> study bridges the gap between consumer </w:t>
      </w:r>
      <w:r w:rsidR="00C247A8">
        <w:rPr>
          <w:rFonts w:ascii="Times New Roman" w:hAnsi="Times New Roman" w:cs="Times New Roman"/>
          <w:bCs/>
          <w:sz w:val="24"/>
          <w:szCs w:val="24"/>
        </w:rPr>
        <w:t>experience and expert valuation.</w:t>
      </w:r>
      <w:r w:rsidR="00C247A8" w:rsidRPr="00237070">
        <w:rPr>
          <w:rFonts w:ascii="Times New Roman" w:hAnsi="Times New Roman" w:cs="Times New Roman"/>
          <w:bCs/>
          <w:sz w:val="24"/>
          <w:szCs w:val="24"/>
        </w:rPr>
        <w:t xml:space="preserve"> </w:t>
      </w:r>
    </w:p>
    <w:p w14:paraId="4D2D4388" w14:textId="77777777" w:rsidR="0013400C" w:rsidRPr="00E71565" w:rsidRDefault="0013400C" w:rsidP="00655633">
      <w:pPr>
        <w:spacing w:line="240" w:lineRule="auto"/>
        <w:jc w:val="both"/>
        <w:rPr>
          <w:rFonts w:ascii="Times New Roman" w:hAnsi="Times New Roman" w:cs="Times New Roman"/>
          <w:b/>
          <w:bCs/>
          <w:sz w:val="24"/>
          <w:szCs w:val="24"/>
        </w:rPr>
      </w:pPr>
    </w:p>
    <w:p w14:paraId="6C288DE9" w14:textId="12578CCE" w:rsidR="003B5F26" w:rsidRPr="00E71565" w:rsidRDefault="00684776" w:rsidP="007A19BE">
      <w:pPr>
        <w:spacing w:line="240" w:lineRule="auto"/>
        <w:jc w:val="both"/>
        <w:rPr>
          <w:rFonts w:ascii="Times New Roman" w:hAnsi="Times New Roman" w:cs="Times New Roman"/>
          <w:b/>
          <w:bCs/>
          <w:sz w:val="24"/>
          <w:szCs w:val="24"/>
        </w:rPr>
      </w:pPr>
      <w:r w:rsidRPr="00E71565">
        <w:rPr>
          <w:rFonts w:ascii="Times New Roman" w:hAnsi="Times New Roman" w:cs="Times New Roman"/>
          <w:b/>
          <w:bCs/>
          <w:sz w:val="24"/>
          <w:szCs w:val="24"/>
        </w:rPr>
        <w:t xml:space="preserve">3.0 </w:t>
      </w:r>
      <w:r w:rsidRPr="00E71565">
        <w:rPr>
          <w:rFonts w:ascii="Times New Roman" w:hAnsi="Times New Roman" w:cs="Times New Roman"/>
          <w:b/>
          <w:sz w:val="24"/>
          <w:szCs w:val="24"/>
        </w:rPr>
        <w:t>AREA OF THE STUDY</w:t>
      </w:r>
      <w:r w:rsidR="00C93CEB" w:rsidRPr="00E71565">
        <w:rPr>
          <w:rFonts w:ascii="Times New Roman" w:hAnsi="Times New Roman" w:cs="Times New Roman"/>
          <w:b/>
          <w:bCs/>
          <w:sz w:val="24"/>
          <w:szCs w:val="24"/>
        </w:rPr>
        <w:t xml:space="preserve"> </w:t>
      </w:r>
      <w:r w:rsidR="00EF011F" w:rsidRPr="00E71565">
        <w:rPr>
          <w:rFonts w:ascii="Times New Roman" w:hAnsi="Times New Roman" w:cs="Times New Roman"/>
          <w:b/>
          <w:bCs/>
          <w:sz w:val="24"/>
          <w:szCs w:val="24"/>
        </w:rPr>
        <w:t>(</w:t>
      </w:r>
      <w:proofErr w:type="spellStart"/>
      <w:r w:rsidR="00C93CEB" w:rsidRPr="00E71565">
        <w:rPr>
          <w:rFonts w:ascii="Times New Roman" w:hAnsi="Times New Roman" w:cs="Times New Roman"/>
          <w:b/>
          <w:bCs/>
          <w:sz w:val="24"/>
          <w:szCs w:val="24"/>
        </w:rPr>
        <w:t>Minna</w:t>
      </w:r>
      <w:proofErr w:type="spellEnd"/>
      <w:r w:rsidR="00EF011F" w:rsidRPr="00E71565">
        <w:rPr>
          <w:rFonts w:ascii="Times New Roman" w:hAnsi="Times New Roman" w:cs="Times New Roman"/>
          <w:b/>
          <w:bCs/>
          <w:sz w:val="24"/>
          <w:szCs w:val="24"/>
        </w:rPr>
        <w:t>)</w:t>
      </w:r>
    </w:p>
    <w:p w14:paraId="6AD91250" w14:textId="77777777" w:rsidR="003B5F26" w:rsidRPr="00E71565" w:rsidRDefault="003B5F26" w:rsidP="007A19BE">
      <w:pPr>
        <w:spacing w:line="240" w:lineRule="auto"/>
        <w:jc w:val="both"/>
        <w:rPr>
          <w:rFonts w:ascii="Times New Roman" w:hAnsi="Times New Roman" w:cs="Times New Roman"/>
          <w:sz w:val="24"/>
          <w:szCs w:val="24"/>
        </w:rPr>
      </w:pPr>
      <w:proofErr w:type="spellStart"/>
      <w:r w:rsidRPr="00E71565">
        <w:rPr>
          <w:rFonts w:ascii="Times New Roman" w:hAnsi="Times New Roman" w:cs="Times New Roman"/>
          <w:sz w:val="24"/>
          <w:szCs w:val="24"/>
        </w:rPr>
        <w:t>Minna</w:t>
      </w:r>
      <w:proofErr w:type="spellEnd"/>
      <w:r w:rsidRPr="00E71565">
        <w:rPr>
          <w:rFonts w:ascii="Times New Roman" w:hAnsi="Times New Roman" w:cs="Times New Roman"/>
          <w:sz w:val="24"/>
          <w:szCs w:val="24"/>
        </w:rPr>
        <w:t xml:space="preserve"> represents a unique case study in North-Central Nigeria. Its expansion is largely fueled by the "overflow" effect from the Federal Capital Territory, Abuja, as workers seek more affordable housing within commuting distance (Bello &amp; Muhammad, 2022). Neighborhood density—categorized into low, medium, and high—serves as a primary determinant of both property value and inhabitant utility.</w:t>
      </w:r>
    </w:p>
    <w:p w14:paraId="5BF24839" w14:textId="77777777" w:rsidR="00EF011F" w:rsidRPr="00E71565" w:rsidRDefault="003B5F26" w:rsidP="00EF011F">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High-density areas (such as </w:t>
      </w:r>
      <w:proofErr w:type="spellStart"/>
      <w:r w:rsidRPr="00E71565">
        <w:rPr>
          <w:rFonts w:ascii="Times New Roman" w:hAnsi="Times New Roman" w:cs="Times New Roman"/>
          <w:sz w:val="24"/>
          <w:szCs w:val="24"/>
        </w:rPr>
        <w:t>Bosso</w:t>
      </w:r>
      <w:proofErr w:type="spellEnd"/>
      <w:r w:rsidRPr="00E71565">
        <w:rPr>
          <w:rFonts w:ascii="Times New Roman" w:hAnsi="Times New Roman" w:cs="Times New Roman"/>
          <w:sz w:val="24"/>
          <w:szCs w:val="24"/>
        </w:rPr>
        <w:t xml:space="preserve"> Estate) often provide higher cumulative yields for investors due to the volume of units, yet they present challenges of infrastructural decay and overcrowding (</w:t>
      </w:r>
      <w:proofErr w:type="spellStart"/>
      <w:r w:rsidRPr="00E71565">
        <w:rPr>
          <w:rFonts w:ascii="Times New Roman" w:hAnsi="Times New Roman" w:cs="Times New Roman"/>
          <w:sz w:val="24"/>
          <w:szCs w:val="24"/>
        </w:rPr>
        <w:t>Adama</w:t>
      </w:r>
      <w:proofErr w:type="spellEnd"/>
      <w:r w:rsidRPr="00E71565">
        <w:rPr>
          <w:rFonts w:ascii="Times New Roman" w:hAnsi="Times New Roman" w:cs="Times New Roman"/>
          <w:sz w:val="24"/>
          <w:szCs w:val="24"/>
        </w:rPr>
        <w:t xml:space="preserve"> </w:t>
      </w:r>
      <w:r w:rsidRPr="00E71565">
        <w:rPr>
          <w:rFonts w:ascii="Times New Roman" w:hAnsi="Times New Roman" w:cs="Times New Roman"/>
          <w:i/>
          <w:sz w:val="24"/>
          <w:szCs w:val="24"/>
        </w:rPr>
        <w:t xml:space="preserve">et al., </w:t>
      </w:r>
      <w:r w:rsidRPr="00E71565">
        <w:rPr>
          <w:rFonts w:ascii="Times New Roman" w:hAnsi="Times New Roman" w:cs="Times New Roman"/>
          <w:sz w:val="24"/>
          <w:szCs w:val="24"/>
        </w:rPr>
        <w:t xml:space="preserve">2022). Conversely, low-density areas (such as </w:t>
      </w:r>
      <w:proofErr w:type="spellStart"/>
      <w:r w:rsidRPr="00E71565">
        <w:rPr>
          <w:rFonts w:ascii="Times New Roman" w:hAnsi="Times New Roman" w:cs="Times New Roman"/>
          <w:sz w:val="24"/>
          <w:szCs w:val="24"/>
        </w:rPr>
        <w:t>Fadikpe</w:t>
      </w:r>
      <w:proofErr w:type="spellEnd"/>
      <w:r w:rsidRPr="00E71565">
        <w:rPr>
          <w:rFonts w:ascii="Times New Roman" w:hAnsi="Times New Roman" w:cs="Times New Roman"/>
          <w:sz w:val="24"/>
          <w:szCs w:val="24"/>
        </w:rPr>
        <w:t xml:space="preserve">) offer exclusivity and higher per-unit rents but may face slower capital appreciation if the area lacks connecting infrastructure (Felix &amp; </w:t>
      </w:r>
      <w:proofErr w:type="spellStart"/>
      <w:r w:rsidRPr="00E71565">
        <w:rPr>
          <w:rFonts w:ascii="Times New Roman" w:hAnsi="Times New Roman" w:cs="Times New Roman"/>
          <w:sz w:val="24"/>
          <w:szCs w:val="24"/>
        </w:rPr>
        <w:t>Adeniran</w:t>
      </w:r>
      <w:proofErr w:type="spellEnd"/>
      <w:r w:rsidRPr="00E71565">
        <w:rPr>
          <w:rFonts w:ascii="Times New Roman" w:hAnsi="Times New Roman" w:cs="Times New Roman"/>
          <w:sz w:val="24"/>
          <w:szCs w:val="24"/>
        </w:rPr>
        <w:t xml:space="preserve">, 2019). This study builds on these theories by providing a localized, longitudinal </w:t>
      </w:r>
      <w:r w:rsidRPr="00E71565">
        <w:rPr>
          <w:rFonts w:ascii="Times New Roman" w:hAnsi="Times New Roman" w:cs="Times New Roman"/>
          <w:sz w:val="24"/>
          <w:szCs w:val="24"/>
        </w:rPr>
        <w:lastRenderedPageBreak/>
        <w:t xml:space="preserve">analysis of </w:t>
      </w:r>
      <w:proofErr w:type="spellStart"/>
      <w:r w:rsidRPr="00E71565">
        <w:rPr>
          <w:rFonts w:ascii="Times New Roman" w:hAnsi="Times New Roman" w:cs="Times New Roman"/>
          <w:sz w:val="24"/>
          <w:szCs w:val="24"/>
        </w:rPr>
        <w:t>Minna’s</w:t>
      </w:r>
      <w:proofErr w:type="spellEnd"/>
      <w:r w:rsidRPr="00E71565">
        <w:rPr>
          <w:rFonts w:ascii="Times New Roman" w:hAnsi="Times New Roman" w:cs="Times New Roman"/>
          <w:sz w:val="24"/>
          <w:szCs w:val="24"/>
        </w:rPr>
        <w:t xml:space="preserve"> </w:t>
      </w:r>
      <w:r w:rsidR="00C93CEB" w:rsidRPr="00E71565">
        <w:rPr>
          <w:rFonts w:ascii="Times New Roman" w:hAnsi="Times New Roman" w:cs="Times New Roman"/>
          <w:sz w:val="24"/>
          <w:szCs w:val="24"/>
        </w:rPr>
        <w:t>rental market over the 2013–2025</w:t>
      </w:r>
      <w:r w:rsidRPr="00E71565">
        <w:rPr>
          <w:rFonts w:ascii="Times New Roman" w:hAnsi="Times New Roman" w:cs="Times New Roman"/>
          <w:sz w:val="24"/>
          <w:szCs w:val="24"/>
        </w:rPr>
        <w:t xml:space="preserve"> decade, bridging the gap between general urban theory and local market realities (</w:t>
      </w:r>
      <w:proofErr w:type="spellStart"/>
      <w:r w:rsidRPr="00E71565">
        <w:rPr>
          <w:rFonts w:ascii="Times New Roman" w:hAnsi="Times New Roman" w:cs="Times New Roman"/>
          <w:sz w:val="24"/>
          <w:szCs w:val="24"/>
        </w:rPr>
        <w:t>Jimoh</w:t>
      </w:r>
      <w:proofErr w:type="spellEnd"/>
      <w:r w:rsidRPr="00E71565">
        <w:rPr>
          <w:rFonts w:ascii="Times New Roman" w:hAnsi="Times New Roman" w:cs="Times New Roman"/>
          <w:sz w:val="24"/>
          <w:szCs w:val="24"/>
        </w:rPr>
        <w:t xml:space="preserve"> </w:t>
      </w:r>
      <w:r w:rsidRPr="00E71565">
        <w:rPr>
          <w:rFonts w:ascii="Times New Roman" w:hAnsi="Times New Roman" w:cs="Times New Roman"/>
          <w:i/>
          <w:sz w:val="24"/>
          <w:szCs w:val="24"/>
        </w:rPr>
        <w:t>et al.,</w:t>
      </w:r>
      <w:r w:rsidR="00EF011F" w:rsidRPr="00E71565">
        <w:rPr>
          <w:rFonts w:ascii="Times New Roman" w:hAnsi="Times New Roman" w:cs="Times New Roman"/>
          <w:sz w:val="24"/>
          <w:szCs w:val="24"/>
        </w:rPr>
        <w:t xml:space="preserve"> 2021).</w:t>
      </w:r>
    </w:p>
    <w:p w14:paraId="38E58765" w14:textId="6B1E1A9E" w:rsidR="00EF011F" w:rsidRPr="00E71565" w:rsidRDefault="00EF011F" w:rsidP="00EF011F">
      <w:pPr>
        <w:spacing w:line="240" w:lineRule="auto"/>
        <w:jc w:val="both"/>
        <w:rPr>
          <w:rFonts w:ascii="Times New Roman" w:hAnsi="Times New Roman" w:cs="Times New Roman"/>
          <w:b/>
          <w:sz w:val="24"/>
          <w:szCs w:val="24"/>
        </w:rPr>
      </w:pPr>
      <w:r w:rsidRPr="00E71565">
        <w:rPr>
          <w:rFonts w:ascii="Times New Roman" w:hAnsi="Times New Roman" w:cs="Times New Roman"/>
          <w:b/>
          <w:sz w:val="24"/>
          <w:szCs w:val="24"/>
        </w:rPr>
        <w:t>4.0 METHODOLOGY</w:t>
      </w:r>
    </w:p>
    <w:p w14:paraId="5B34BF9B" w14:textId="6B4052D2" w:rsidR="0035443E" w:rsidRPr="00E71565" w:rsidRDefault="0035443E" w:rsidP="007A19BE">
      <w:p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This study adopts a </w:t>
      </w:r>
      <w:r w:rsidRPr="00E71565">
        <w:rPr>
          <w:rFonts w:ascii="Times New Roman" w:hAnsi="Times New Roman" w:cs="Times New Roman"/>
          <w:bCs/>
          <w:sz w:val="24"/>
          <w:szCs w:val="24"/>
        </w:rPr>
        <w:t>survey research design</w:t>
      </w:r>
      <w:r w:rsidRPr="00E71565">
        <w:rPr>
          <w:rFonts w:ascii="Times New Roman" w:hAnsi="Times New Roman" w:cs="Times New Roman"/>
          <w:sz w:val="24"/>
          <w:szCs w:val="24"/>
        </w:rPr>
        <w:t xml:space="preserve">, which is uniquely suited for addressing the "how, when, where, and what" of residential market trends (Saunders et al., 2012). The geographic scope covers three distinct neighborhood densities within </w:t>
      </w:r>
      <w:proofErr w:type="spellStart"/>
      <w:r w:rsidRPr="00E71565">
        <w:rPr>
          <w:rFonts w:ascii="Times New Roman" w:hAnsi="Times New Roman" w:cs="Times New Roman"/>
          <w:sz w:val="24"/>
          <w:szCs w:val="24"/>
        </w:rPr>
        <w:t>Minna</w:t>
      </w:r>
      <w:proofErr w:type="spellEnd"/>
      <w:r w:rsidRPr="00E71565">
        <w:rPr>
          <w:rFonts w:ascii="Times New Roman" w:hAnsi="Times New Roman" w:cs="Times New Roman"/>
          <w:sz w:val="24"/>
          <w:szCs w:val="24"/>
        </w:rPr>
        <w:t xml:space="preserve">, Nigeria: </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sz w:val="24"/>
          <w:szCs w:val="24"/>
        </w:rPr>
        <w:t xml:space="preserve"> (Low Density),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w:t>
      </w:r>
      <w:r w:rsidRPr="00E71565">
        <w:rPr>
          <w:rFonts w:ascii="Times New Roman" w:hAnsi="Times New Roman" w:cs="Times New Roman"/>
          <w:sz w:val="24"/>
          <w:szCs w:val="24"/>
        </w:rPr>
        <w:t xml:space="preserve"> (Medium Density), and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w:t>
      </w:r>
      <w:r w:rsidRPr="00E71565">
        <w:rPr>
          <w:rFonts w:ascii="Times New Roman" w:hAnsi="Times New Roman" w:cs="Times New Roman"/>
          <w:sz w:val="24"/>
          <w:szCs w:val="24"/>
        </w:rPr>
        <w:t xml:space="preserve"> (High Density)</w:t>
      </w:r>
      <w:r w:rsidR="00C93CEB" w:rsidRPr="00E71565">
        <w:rPr>
          <w:rFonts w:ascii="Times New Roman" w:hAnsi="Times New Roman" w:cs="Times New Roman"/>
          <w:sz w:val="24"/>
          <w:szCs w:val="24"/>
        </w:rPr>
        <w:t>. The temporal scope spans a thirteen</w:t>
      </w:r>
      <w:r w:rsidRPr="00E71565">
        <w:rPr>
          <w:rFonts w:ascii="Times New Roman" w:hAnsi="Times New Roman" w:cs="Times New Roman"/>
          <w:sz w:val="24"/>
          <w:szCs w:val="24"/>
        </w:rPr>
        <w:t xml:space="preserve">-year period from </w:t>
      </w:r>
      <w:r w:rsidR="00C93CEB" w:rsidRPr="00E71565">
        <w:rPr>
          <w:rFonts w:ascii="Times New Roman" w:hAnsi="Times New Roman" w:cs="Times New Roman"/>
          <w:bCs/>
          <w:sz w:val="24"/>
          <w:szCs w:val="24"/>
        </w:rPr>
        <w:t>2013 to 2025</w:t>
      </w:r>
      <w:r w:rsidRPr="00E71565">
        <w:rPr>
          <w:rFonts w:ascii="Times New Roman" w:hAnsi="Times New Roman" w:cs="Times New Roman"/>
          <w:sz w:val="24"/>
          <w:szCs w:val="24"/>
        </w:rPr>
        <w:t>, allowing for a robust longitudinal analysis of market fluctuations.</w:t>
      </w:r>
    </w:p>
    <w:p w14:paraId="11A7805E" w14:textId="77777777" w:rsidR="0035443E" w:rsidRPr="00E71565" w:rsidRDefault="0035443E" w:rsidP="007A19BE">
      <w:p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The target population comprises tenants of rented residential properties and professional Estate Surveying and Valuation firms operating within the study area.</w:t>
      </w:r>
    </w:p>
    <w:p w14:paraId="61F44E91" w14:textId="77777777" w:rsidR="0035443E" w:rsidRPr="00E71565" w:rsidRDefault="0035443E" w:rsidP="007A19BE">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bCs/>
          <w:sz w:val="24"/>
          <w:szCs w:val="24"/>
        </w:rPr>
        <w:t>Tenants:</w:t>
      </w:r>
      <w:r w:rsidRPr="00E71565">
        <w:rPr>
          <w:rFonts w:ascii="Times New Roman" w:hAnsi="Times New Roman" w:cs="Times New Roman"/>
          <w:sz w:val="24"/>
          <w:szCs w:val="24"/>
        </w:rPr>
        <w:t xml:space="preserve"> A sample of </w:t>
      </w:r>
      <w:r w:rsidRPr="00E71565">
        <w:rPr>
          <w:rFonts w:ascii="Times New Roman" w:hAnsi="Times New Roman" w:cs="Times New Roman"/>
          <w:bCs/>
          <w:sz w:val="24"/>
          <w:szCs w:val="24"/>
        </w:rPr>
        <w:t>322 tenants</w:t>
      </w:r>
      <w:r w:rsidRPr="00E71565">
        <w:rPr>
          <w:rFonts w:ascii="Times New Roman" w:hAnsi="Times New Roman" w:cs="Times New Roman"/>
          <w:sz w:val="24"/>
          <w:szCs w:val="24"/>
        </w:rPr>
        <w:t xml:space="preserve"> was selected using a </w:t>
      </w:r>
      <w:r w:rsidRPr="00E71565">
        <w:rPr>
          <w:rFonts w:ascii="Times New Roman" w:hAnsi="Times New Roman" w:cs="Times New Roman"/>
          <w:bCs/>
          <w:sz w:val="24"/>
          <w:szCs w:val="24"/>
        </w:rPr>
        <w:t>snowball sampling technique</w:t>
      </w:r>
      <w:r w:rsidRPr="00E71565">
        <w:rPr>
          <w:rFonts w:ascii="Times New Roman" w:hAnsi="Times New Roman" w:cs="Times New Roman"/>
          <w:sz w:val="24"/>
          <w:szCs w:val="24"/>
        </w:rPr>
        <w:t>. This method was chosen due to its effectiveness in identifying respondents within specific residential clusters where a formal, centralized directory of tenants may be unavailable (</w:t>
      </w:r>
      <w:proofErr w:type="spellStart"/>
      <w:r w:rsidRPr="00E71565">
        <w:rPr>
          <w:rFonts w:ascii="Times New Roman" w:hAnsi="Times New Roman" w:cs="Times New Roman"/>
          <w:sz w:val="24"/>
          <w:szCs w:val="24"/>
        </w:rPr>
        <w:t>Naderifar</w:t>
      </w:r>
      <w:proofErr w:type="spellEnd"/>
      <w:r w:rsidRPr="00E71565">
        <w:rPr>
          <w:rFonts w:ascii="Times New Roman" w:hAnsi="Times New Roman" w:cs="Times New Roman"/>
          <w:sz w:val="24"/>
          <w:szCs w:val="24"/>
        </w:rPr>
        <w:t xml:space="preserve"> </w:t>
      </w:r>
      <w:r w:rsidRPr="00E71565">
        <w:rPr>
          <w:rFonts w:ascii="Times New Roman" w:hAnsi="Times New Roman" w:cs="Times New Roman"/>
          <w:i/>
          <w:sz w:val="24"/>
          <w:szCs w:val="24"/>
        </w:rPr>
        <w:t>et al.,</w:t>
      </w:r>
      <w:r w:rsidRPr="00E71565">
        <w:rPr>
          <w:rFonts w:ascii="Times New Roman" w:hAnsi="Times New Roman" w:cs="Times New Roman"/>
          <w:sz w:val="24"/>
          <w:szCs w:val="24"/>
        </w:rPr>
        <w:t xml:space="preserve"> 2017).</w:t>
      </w:r>
    </w:p>
    <w:p w14:paraId="74770842" w14:textId="77777777" w:rsidR="0035443E" w:rsidRPr="00E71565" w:rsidRDefault="0035443E" w:rsidP="007A19BE">
      <w:pPr>
        <w:numPr>
          <w:ilvl w:val="0"/>
          <w:numId w:val="7"/>
        </w:num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bCs/>
          <w:sz w:val="24"/>
          <w:szCs w:val="24"/>
        </w:rPr>
        <w:t>Professional Firms:</w:t>
      </w:r>
      <w:r w:rsidRPr="00E71565">
        <w:rPr>
          <w:rFonts w:ascii="Times New Roman" w:hAnsi="Times New Roman" w:cs="Times New Roman"/>
          <w:sz w:val="24"/>
          <w:szCs w:val="24"/>
        </w:rPr>
        <w:t xml:space="preserve"> </w:t>
      </w:r>
      <w:r w:rsidRPr="00E71565">
        <w:rPr>
          <w:rFonts w:ascii="Times New Roman" w:hAnsi="Times New Roman" w:cs="Times New Roman"/>
          <w:bCs/>
          <w:sz w:val="24"/>
          <w:szCs w:val="24"/>
        </w:rPr>
        <w:t>10 registered Estate Surveying and Valuation firms</w:t>
      </w:r>
      <w:r w:rsidRPr="00E71565">
        <w:rPr>
          <w:rFonts w:ascii="Times New Roman" w:hAnsi="Times New Roman" w:cs="Times New Roman"/>
          <w:sz w:val="24"/>
          <w:szCs w:val="24"/>
        </w:rPr>
        <w:t xml:space="preserve"> were selected using </w:t>
      </w:r>
      <w:r w:rsidRPr="00E71565">
        <w:rPr>
          <w:rFonts w:ascii="Times New Roman" w:hAnsi="Times New Roman" w:cs="Times New Roman"/>
          <w:bCs/>
          <w:sz w:val="24"/>
          <w:szCs w:val="24"/>
        </w:rPr>
        <w:t>purposive sampling</w:t>
      </w:r>
      <w:r w:rsidRPr="00E71565">
        <w:rPr>
          <w:rFonts w:ascii="Times New Roman" w:hAnsi="Times New Roman" w:cs="Times New Roman"/>
          <w:sz w:val="24"/>
          <w:szCs w:val="24"/>
        </w:rPr>
        <w:t xml:space="preserve">. This ensured that data was retrieved from experts with direct custody of historical rental records and professional experience in the </w:t>
      </w:r>
      <w:proofErr w:type="spellStart"/>
      <w:r w:rsidRPr="00E71565">
        <w:rPr>
          <w:rFonts w:ascii="Times New Roman" w:hAnsi="Times New Roman" w:cs="Times New Roman"/>
          <w:sz w:val="24"/>
          <w:szCs w:val="24"/>
        </w:rPr>
        <w:t>Minna</w:t>
      </w:r>
      <w:proofErr w:type="spellEnd"/>
      <w:r w:rsidRPr="00E71565">
        <w:rPr>
          <w:rFonts w:ascii="Times New Roman" w:hAnsi="Times New Roman" w:cs="Times New Roman"/>
          <w:sz w:val="24"/>
          <w:szCs w:val="24"/>
        </w:rPr>
        <w:t xml:space="preserve"> property market (Creswell &amp; Creswell, 2018).</w:t>
      </w:r>
    </w:p>
    <w:p w14:paraId="1584C849" w14:textId="77777777" w:rsidR="0035443E" w:rsidRPr="00E71565" w:rsidRDefault="0035443E" w:rsidP="007A19BE">
      <w:p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Primary data was gathered through structured </w:t>
      </w:r>
      <w:r w:rsidRPr="00E71565">
        <w:rPr>
          <w:rFonts w:ascii="Times New Roman" w:hAnsi="Times New Roman" w:cs="Times New Roman"/>
          <w:bCs/>
          <w:sz w:val="24"/>
          <w:szCs w:val="24"/>
        </w:rPr>
        <w:t>questionnaires</w:t>
      </w:r>
      <w:r w:rsidRPr="00E71565">
        <w:rPr>
          <w:rFonts w:ascii="Times New Roman" w:hAnsi="Times New Roman" w:cs="Times New Roman"/>
          <w:sz w:val="24"/>
          <w:szCs w:val="24"/>
        </w:rPr>
        <w:t xml:space="preserve"> administered to both groups of respondents. The study specifically focused on three prevalent residential property types -self-contained, one-bedroom, and two-bedroom apartments. </w:t>
      </w:r>
    </w:p>
    <w:p w14:paraId="2204592F" w14:textId="04753585" w:rsidR="0035443E" w:rsidRPr="00E71565" w:rsidRDefault="0035443E" w:rsidP="007A19BE">
      <w:pPr>
        <w:autoSpaceDE w:val="0"/>
        <w:autoSpaceDN w:val="0"/>
        <w:adjustRightInd w:val="0"/>
        <w:spacing w:after="120" w:line="240" w:lineRule="auto"/>
        <w:jc w:val="both"/>
        <w:rPr>
          <w:rFonts w:ascii="Times New Roman" w:hAnsi="Times New Roman" w:cs="Times New Roman"/>
          <w:bCs/>
          <w:sz w:val="24"/>
          <w:szCs w:val="24"/>
        </w:rPr>
      </w:pPr>
      <w:r w:rsidRPr="00E71565">
        <w:rPr>
          <w:rFonts w:ascii="Times New Roman" w:hAnsi="Times New Roman" w:cs="Times New Roman"/>
          <w:sz w:val="24"/>
          <w:szCs w:val="24"/>
        </w:rPr>
        <w:t>To analyze the trends and variations in the market, two primary levels of analysis</w:t>
      </w:r>
      <w:r w:rsidR="00EF011F" w:rsidRPr="00E71565">
        <w:rPr>
          <w:rFonts w:ascii="Times New Roman" w:hAnsi="Times New Roman" w:cs="Times New Roman"/>
          <w:sz w:val="24"/>
          <w:szCs w:val="24"/>
        </w:rPr>
        <w:t xml:space="preserve">- </w:t>
      </w:r>
      <w:r w:rsidR="00EF011F" w:rsidRPr="00E71565">
        <w:rPr>
          <w:rFonts w:ascii="Times New Roman" w:hAnsi="Times New Roman" w:cs="Times New Roman"/>
          <w:bCs/>
          <w:sz w:val="24"/>
          <w:szCs w:val="24"/>
        </w:rPr>
        <w:t>The Rental Growth Rate (RGR) and the Two-way Analysis of Variance (ANOVA)</w:t>
      </w:r>
      <w:r w:rsidRPr="00E71565">
        <w:rPr>
          <w:rFonts w:ascii="Times New Roman" w:hAnsi="Times New Roman" w:cs="Times New Roman"/>
          <w:sz w:val="24"/>
          <w:szCs w:val="24"/>
        </w:rPr>
        <w:t xml:space="preserve"> were employed:</w:t>
      </w:r>
    </w:p>
    <w:p w14:paraId="35F947D9" w14:textId="77777777" w:rsidR="0035443E" w:rsidRPr="00E71565" w:rsidRDefault="0035443E" w:rsidP="007A19BE">
      <w:p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The annual rate of appreciation for residential rents was calculated to determine the pace of market growth. The Rental Growth Rate is expressed as:</w:t>
      </w:r>
    </w:p>
    <w:p w14:paraId="37461345" w14:textId="77777777" w:rsidR="0035443E" w:rsidRPr="00E71565" w:rsidRDefault="008468F2" w:rsidP="007A19BE">
      <w:pPr>
        <w:spacing w:before="100" w:beforeAutospacing="1" w:after="100" w:afterAutospacing="1" w:line="24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RV</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-RV</m:t>
                  </m:r>
                  <m:d>
                    <m:dPr>
                      <m:ctrlPr>
                        <w:rPr>
                          <w:rFonts w:ascii="Cambria Math" w:hAnsi="Cambria Math" w:cs="Times New Roman"/>
                          <w:i/>
                          <w:sz w:val="24"/>
                          <w:szCs w:val="24"/>
                        </w:rPr>
                      </m:ctrlPr>
                    </m:dPr>
                    <m:e>
                      <m:r>
                        <w:rPr>
                          <w:rFonts w:ascii="Cambria Math" w:hAnsi="Cambria Math" w:cs="Times New Roman"/>
                          <w:sz w:val="24"/>
                          <w:szCs w:val="24"/>
                        </w:rPr>
                        <m:t>t-1</m:t>
                      </m:r>
                    </m:e>
                  </m:d>
                </m:e>
              </m:d>
            </m:num>
            <m:den>
              <m:r>
                <w:rPr>
                  <w:rFonts w:ascii="Cambria Math" w:hAnsi="Cambria Math" w:cs="Times New Roman"/>
                  <w:sz w:val="24"/>
                  <w:szCs w:val="24"/>
                </w:rPr>
                <m:t>RV(t-1)</m:t>
              </m:r>
            </m:den>
          </m:f>
          <m:r>
            <w:rPr>
              <w:rFonts w:ascii="Cambria Math" w:hAnsi="Cambria Math" w:cs="Times New Roman"/>
              <w:sz w:val="24"/>
              <w:szCs w:val="24"/>
            </w:rPr>
            <m:t>* 100</m:t>
          </m:r>
        </m:oMath>
      </m:oMathPara>
    </w:p>
    <w:p w14:paraId="165E03D4" w14:textId="77777777" w:rsidR="0035443E" w:rsidRPr="00E71565" w:rsidRDefault="0035443E" w:rsidP="007A19BE">
      <w:pPr>
        <w:spacing w:after="0" w:line="240" w:lineRule="auto"/>
        <w:jc w:val="both"/>
        <w:rPr>
          <w:rFonts w:ascii="Times New Roman" w:eastAsia="TimesNewRomanPSMT" w:hAnsi="Times New Roman" w:cs="Times New Roman"/>
          <w:sz w:val="24"/>
          <w:szCs w:val="24"/>
        </w:rPr>
      </w:pPr>
      <w:r w:rsidRPr="00E71565">
        <w:rPr>
          <w:rFonts w:ascii="Times New Roman" w:hAnsi="Times New Roman" w:cs="Times New Roman"/>
          <w:sz w:val="24"/>
          <w:szCs w:val="24"/>
        </w:rPr>
        <w:t>Where RV (t) = Rental Value for current year; and RV (t-1) = Rental Values for previous year.</w:t>
      </w:r>
      <w:r w:rsidRPr="00E71565">
        <w:rPr>
          <w:rFonts w:ascii="Times New Roman" w:eastAsia="TimesNewRomanPSMT" w:hAnsi="Times New Roman" w:cs="Times New Roman"/>
          <w:sz w:val="24"/>
          <w:szCs w:val="24"/>
        </w:rPr>
        <w:t xml:space="preserve"> </w:t>
      </w:r>
    </w:p>
    <w:p w14:paraId="2FC5939D" w14:textId="77777777" w:rsidR="0035443E" w:rsidRPr="00E71565" w:rsidRDefault="0035443E" w:rsidP="007A19BE">
      <w:pPr>
        <w:autoSpaceDE w:val="0"/>
        <w:autoSpaceDN w:val="0"/>
        <w:adjustRightInd w:val="0"/>
        <w:spacing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To determine if the observed differences in rent were statistically significant, a </w:t>
      </w:r>
      <w:r w:rsidRPr="00E71565">
        <w:rPr>
          <w:rFonts w:ascii="Times New Roman" w:hAnsi="Times New Roman" w:cs="Times New Roman"/>
          <w:bCs/>
          <w:sz w:val="24"/>
          <w:szCs w:val="24"/>
        </w:rPr>
        <w:t>Two-way Analysis of Variance (ANOVA)</w:t>
      </w:r>
      <w:r w:rsidRPr="00E71565">
        <w:rPr>
          <w:rFonts w:ascii="Times New Roman" w:hAnsi="Times New Roman" w:cs="Times New Roman"/>
          <w:sz w:val="24"/>
          <w:szCs w:val="24"/>
        </w:rPr>
        <w:t xml:space="preserve"> was utilized. This test was selected to evaluate the simultaneous effect of two independent variables: </w:t>
      </w:r>
      <w:r w:rsidRPr="00E71565">
        <w:rPr>
          <w:rFonts w:ascii="Times New Roman" w:hAnsi="Times New Roman" w:cs="Times New Roman"/>
          <w:bCs/>
          <w:sz w:val="24"/>
          <w:szCs w:val="24"/>
        </w:rPr>
        <w:t>neighborhood density</w:t>
      </w:r>
      <w:r w:rsidRPr="00E71565">
        <w:rPr>
          <w:rFonts w:ascii="Times New Roman" w:hAnsi="Times New Roman" w:cs="Times New Roman"/>
          <w:sz w:val="24"/>
          <w:szCs w:val="24"/>
        </w:rPr>
        <w:t xml:space="preserve"> and </w:t>
      </w:r>
      <w:r w:rsidRPr="00E71565">
        <w:rPr>
          <w:rFonts w:ascii="Times New Roman" w:hAnsi="Times New Roman" w:cs="Times New Roman"/>
          <w:bCs/>
          <w:sz w:val="24"/>
          <w:szCs w:val="24"/>
        </w:rPr>
        <w:t>property type</w:t>
      </w:r>
      <w:r w:rsidRPr="00E71565">
        <w:rPr>
          <w:rFonts w:ascii="Times New Roman" w:hAnsi="Times New Roman" w:cs="Times New Roman"/>
          <w:sz w:val="24"/>
          <w:szCs w:val="24"/>
        </w:rPr>
        <w:t xml:space="preserve"> on the dependent variable (</w:t>
      </w:r>
      <w:r w:rsidRPr="00E71565">
        <w:rPr>
          <w:rFonts w:ascii="Times New Roman" w:hAnsi="Times New Roman" w:cs="Times New Roman"/>
          <w:bCs/>
          <w:sz w:val="24"/>
          <w:szCs w:val="24"/>
        </w:rPr>
        <w:t>rental value</w:t>
      </w:r>
      <w:r w:rsidRPr="00E71565">
        <w:rPr>
          <w:rFonts w:ascii="Times New Roman" w:hAnsi="Times New Roman" w:cs="Times New Roman"/>
          <w:sz w:val="24"/>
          <w:szCs w:val="24"/>
        </w:rPr>
        <w:t>). This approach identifies whether variations are a result of the location's density, the structural type of the house, or an interaction between both factors (</w:t>
      </w:r>
      <w:proofErr w:type="spellStart"/>
      <w:r w:rsidRPr="00E71565">
        <w:rPr>
          <w:rFonts w:ascii="Times New Roman" w:hAnsi="Times New Roman" w:cs="Times New Roman"/>
          <w:sz w:val="24"/>
          <w:szCs w:val="24"/>
        </w:rPr>
        <w:t>Pallant</w:t>
      </w:r>
      <w:proofErr w:type="spellEnd"/>
      <w:r w:rsidRPr="00E71565">
        <w:rPr>
          <w:rFonts w:ascii="Times New Roman" w:hAnsi="Times New Roman" w:cs="Times New Roman"/>
          <w:sz w:val="24"/>
          <w:szCs w:val="24"/>
        </w:rPr>
        <w:t>, 2020).</w:t>
      </w:r>
    </w:p>
    <w:p w14:paraId="5C3572F3" w14:textId="77777777" w:rsidR="00B32E01" w:rsidRDefault="00B32E01" w:rsidP="00733F75">
      <w:pPr>
        <w:spacing w:before="100" w:beforeAutospacing="1" w:after="0" w:line="240" w:lineRule="auto"/>
        <w:jc w:val="both"/>
        <w:rPr>
          <w:rFonts w:ascii="Times New Roman" w:hAnsi="Times New Roman" w:cs="Times New Roman"/>
          <w:b/>
          <w:sz w:val="24"/>
          <w:szCs w:val="24"/>
        </w:rPr>
      </w:pPr>
    </w:p>
    <w:p w14:paraId="58F89F44" w14:textId="77777777" w:rsidR="00AB6A9F" w:rsidRDefault="00AB6A9F" w:rsidP="00733F75">
      <w:pPr>
        <w:spacing w:before="100" w:beforeAutospacing="1" w:after="0" w:line="240" w:lineRule="auto"/>
        <w:jc w:val="both"/>
        <w:rPr>
          <w:rFonts w:ascii="Times New Roman" w:hAnsi="Times New Roman" w:cs="Times New Roman"/>
          <w:b/>
          <w:sz w:val="24"/>
          <w:szCs w:val="24"/>
        </w:rPr>
      </w:pPr>
    </w:p>
    <w:p w14:paraId="5502D509" w14:textId="77777777" w:rsidR="00AB6A9F" w:rsidRDefault="00AB6A9F" w:rsidP="00733F75">
      <w:pPr>
        <w:spacing w:before="100" w:beforeAutospacing="1" w:after="0" w:line="240" w:lineRule="auto"/>
        <w:jc w:val="both"/>
        <w:rPr>
          <w:rFonts w:ascii="Times New Roman" w:hAnsi="Times New Roman" w:cs="Times New Roman"/>
          <w:b/>
          <w:sz w:val="24"/>
          <w:szCs w:val="24"/>
        </w:rPr>
      </w:pPr>
    </w:p>
    <w:p w14:paraId="49BCBF55" w14:textId="1430E56B" w:rsidR="004969AF" w:rsidRPr="00E71565" w:rsidRDefault="00EF011F" w:rsidP="00733F75">
      <w:pPr>
        <w:spacing w:before="100" w:beforeAutospacing="1" w:after="0" w:line="240" w:lineRule="auto"/>
        <w:jc w:val="both"/>
        <w:rPr>
          <w:rFonts w:ascii="Times New Roman" w:hAnsi="Times New Roman" w:cs="Times New Roman"/>
          <w:b/>
          <w:sz w:val="24"/>
          <w:szCs w:val="24"/>
        </w:rPr>
      </w:pPr>
      <w:r w:rsidRPr="00E71565">
        <w:rPr>
          <w:rFonts w:ascii="Times New Roman" w:hAnsi="Times New Roman" w:cs="Times New Roman"/>
          <w:b/>
          <w:sz w:val="24"/>
          <w:szCs w:val="24"/>
        </w:rPr>
        <w:lastRenderedPageBreak/>
        <w:t>5.0</w:t>
      </w:r>
      <w:r w:rsidRPr="00E71565">
        <w:rPr>
          <w:rFonts w:ascii="Times New Roman" w:hAnsi="Times New Roman" w:cs="Times New Roman"/>
          <w:b/>
          <w:sz w:val="24"/>
          <w:szCs w:val="24"/>
        </w:rPr>
        <w:tab/>
        <w:t>PRESENTATION AND DISCUSSION OF RESULTS</w:t>
      </w:r>
    </w:p>
    <w:p w14:paraId="32DE00FB" w14:textId="24B48627" w:rsidR="00EF011F" w:rsidRPr="00E71565" w:rsidRDefault="00EF011F" w:rsidP="00733F75">
      <w:pPr>
        <w:spacing w:before="100" w:beforeAutospacing="1" w:after="0" w:line="240" w:lineRule="auto"/>
        <w:jc w:val="both"/>
        <w:rPr>
          <w:rFonts w:ascii="Times New Roman" w:hAnsi="Times New Roman" w:cs="Times New Roman"/>
          <w:b/>
          <w:sz w:val="24"/>
          <w:szCs w:val="24"/>
        </w:rPr>
      </w:pPr>
      <w:r w:rsidRPr="00E71565">
        <w:rPr>
          <w:rFonts w:ascii="Times New Roman" w:hAnsi="Times New Roman" w:cs="Times New Roman"/>
          <w:b/>
          <w:sz w:val="24"/>
          <w:szCs w:val="24"/>
        </w:rPr>
        <w:t xml:space="preserve">5.1 </w:t>
      </w:r>
      <w:r w:rsidRPr="00E71565">
        <w:rPr>
          <w:rFonts w:ascii="Times New Roman" w:hAnsi="Times New Roman" w:cs="Times New Roman"/>
          <w:b/>
          <w:sz w:val="24"/>
          <w:szCs w:val="24"/>
        </w:rPr>
        <w:tab/>
        <w:t>QUESTIONNAIRES DISTRIBUTION</w:t>
      </w:r>
    </w:p>
    <w:p w14:paraId="6904FCCA" w14:textId="3EEE2FB5" w:rsidR="004969AF" w:rsidRPr="00E71565" w:rsidRDefault="00E71565" w:rsidP="00733F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 </w:t>
      </w:r>
      <w:r w:rsidR="004969AF" w:rsidRPr="00E71565">
        <w:rPr>
          <w:rFonts w:ascii="Times New Roman" w:hAnsi="Times New Roman" w:cs="Times New Roman"/>
          <w:b/>
          <w:sz w:val="24"/>
          <w:szCs w:val="24"/>
        </w:rPr>
        <w:t xml:space="preserve">Questionnaires distributed and retrieved for the study </w:t>
      </w:r>
    </w:p>
    <w:tbl>
      <w:tblPr>
        <w:tblStyle w:val="TableGrid"/>
        <w:tblW w:w="9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1710"/>
        <w:gridCol w:w="1890"/>
        <w:gridCol w:w="1800"/>
        <w:gridCol w:w="1530"/>
      </w:tblGrid>
      <w:tr w:rsidR="004969AF" w:rsidRPr="00E71565" w14:paraId="2657CF4C" w14:textId="77777777" w:rsidTr="007D4147">
        <w:trPr>
          <w:jc w:val="center"/>
        </w:trPr>
        <w:tc>
          <w:tcPr>
            <w:tcW w:w="4603" w:type="dxa"/>
            <w:gridSpan w:val="2"/>
            <w:tcBorders>
              <w:top w:val="single" w:sz="4" w:space="0" w:color="auto"/>
              <w:bottom w:val="single" w:sz="4" w:space="0" w:color="auto"/>
            </w:tcBorders>
          </w:tcPr>
          <w:p w14:paraId="7F62B436" w14:textId="77777777" w:rsidR="004969AF" w:rsidRPr="00E71565" w:rsidRDefault="004969AF" w:rsidP="00733F75">
            <w:pPr>
              <w:tabs>
                <w:tab w:val="left" w:pos="3998"/>
              </w:tabs>
              <w:jc w:val="both"/>
              <w:rPr>
                <w:rFonts w:ascii="Times New Roman" w:eastAsia="Times New Roman" w:hAnsi="Times New Roman" w:cs="Times New Roman"/>
                <w:b/>
                <w:sz w:val="24"/>
                <w:szCs w:val="24"/>
                <w:lang w:eastAsia="en-GB"/>
              </w:rPr>
            </w:pPr>
            <w:r w:rsidRPr="00E71565">
              <w:rPr>
                <w:rFonts w:ascii="Times New Roman" w:eastAsia="Times New Roman" w:hAnsi="Times New Roman" w:cs="Times New Roman"/>
                <w:b/>
                <w:sz w:val="24"/>
                <w:szCs w:val="24"/>
                <w:lang w:eastAsia="en-GB"/>
              </w:rPr>
              <w:t>Population</w:t>
            </w:r>
          </w:p>
        </w:tc>
        <w:tc>
          <w:tcPr>
            <w:tcW w:w="1890" w:type="dxa"/>
            <w:tcBorders>
              <w:top w:val="single" w:sz="4" w:space="0" w:color="auto"/>
              <w:bottom w:val="single" w:sz="4" w:space="0" w:color="auto"/>
            </w:tcBorders>
          </w:tcPr>
          <w:p w14:paraId="08A86BDD" w14:textId="77777777" w:rsidR="004969AF" w:rsidRPr="00E71565" w:rsidRDefault="004969AF" w:rsidP="00733F75">
            <w:pPr>
              <w:jc w:val="both"/>
              <w:rPr>
                <w:rFonts w:ascii="Times New Roman" w:eastAsia="Times New Roman" w:hAnsi="Times New Roman" w:cs="Times New Roman"/>
                <w:b/>
                <w:sz w:val="24"/>
                <w:szCs w:val="24"/>
                <w:lang w:eastAsia="en-GB"/>
              </w:rPr>
            </w:pPr>
            <w:r w:rsidRPr="00E71565">
              <w:rPr>
                <w:rFonts w:ascii="Times New Roman" w:eastAsia="Times New Roman" w:hAnsi="Times New Roman" w:cs="Times New Roman"/>
                <w:b/>
                <w:sz w:val="24"/>
                <w:szCs w:val="24"/>
                <w:lang w:eastAsia="en-GB"/>
              </w:rPr>
              <w:t xml:space="preserve">Questionnaires distributed </w:t>
            </w:r>
          </w:p>
        </w:tc>
        <w:tc>
          <w:tcPr>
            <w:tcW w:w="1800" w:type="dxa"/>
            <w:tcBorders>
              <w:top w:val="single" w:sz="4" w:space="0" w:color="auto"/>
              <w:bottom w:val="single" w:sz="4" w:space="0" w:color="auto"/>
            </w:tcBorders>
          </w:tcPr>
          <w:p w14:paraId="403EB4A8" w14:textId="77777777" w:rsidR="004969AF" w:rsidRPr="00E71565" w:rsidRDefault="004969AF" w:rsidP="00733F75">
            <w:pPr>
              <w:jc w:val="both"/>
              <w:rPr>
                <w:rFonts w:ascii="Times New Roman" w:eastAsia="Times New Roman" w:hAnsi="Times New Roman" w:cs="Times New Roman"/>
                <w:b/>
                <w:sz w:val="24"/>
                <w:szCs w:val="24"/>
                <w:lang w:eastAsia="en-GB"/>
              </w:rPr>
            </w:pPr>
            <w:r w:rsidRPr="00E71565">
              <w:rPr>
                <w:rFonts w:ascii="Times New Roman" w:eastAsia="Times New Roman" w:hAnsi="Times New Roman" w:cs="Times New Roman"/>
                <w:b/>
                <w:sz w:val="24"/>
                <w:szCs w:val="24"/>
                <w:lang w:eastAsia="en-GB"/>
              </w:rPr>
              <w:t>Questionnaires retrieved</w:t>
            </w:r>
          </w:p>
        </w:tc>
        <w:tc>
          <w:tcPr>
            <w:tcW w:w="1530" w:type="dxa"/>
            <w:tcBorders>
              <w:top w:val="single" w:sz="4" w:space="0" w:color="auto"/>
              <w:bottom w:val="single" w:sz="4" w:space="0" w:color="auto"/>
            </w:tcBorders>
          </w:tcPr>
          <w:p w14:paraId="40A573C9" w14:textId="77777777" w:rsidR="004969AF" w:rsidRPr="00E71565" w:rsidRDefault="004969AF" w:rsidP="00733F75">
            <w:pPr>
              <w:jc w:val="both"/>
              <w:rPr>
                <w:rFonts w:ascii="Times New Roman" w:eastAsia="Times New Roman" w:hAnsi="Times New Roman" w:cs="Times New Roman"/>
                <w:b/>
                <w:sz w:val="24"/>
                <w:szCs w:val="24"/>
                <w:lang w:eastAsia="en-GB"/>
              </w:rPr>
            </w:pPr>
            <w:r w:rsidRPr="00E71565">
              <w:rPr>
                <w:rFonts w:ascii="Times New Roman" w:eastAsia="Times New Roman" w:hAnsi="Times New Roman" w:cs="Times New Roman"/>
                <w:b/>
                <w:sz w:val="24"/>
                <w:szCs w:val="24"/>
                <w:lang w:eastAsia="en-GB"/>
              </w:rPr>
              <w:t>Response rate (%)</w:t>
            </w:r>
          </w:p>
        </w:tc>
      </w:tr>
      <w:tr w:rsidR="004969AF" w:rsidRPr="00E71565" w14:paraId="534FFA67" w14:textId="77777777" w:rsidTr="007D4147">
        <w:trPr>
          <w:jc w:val="center"/>
        </w:trPr>
        <w:tc>
          <w:tcPr>
            <w:tcW w:w="4603" w:type="dxa"/>
            <w:gridSpan w:val="2"/>
            <w:tcBorders>
              <w:top w:val="single" w:sz="4" w:space="0" w:color="auto"/>
            </w:tcBorders>
          </w:tcPr>
          <w:p w14:paraId="11B851F5"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Estate Surveying and Valuation firms</w:t>
            </w:r>
          </w:p>
        </w:tc>
        <w:tc>
          <w:tcPr>
            <w:tcW w:w="1890" w:type="dxa"/>
            <w:tcBorders>
              <w:top w:val="single" w:sz="4" w:space="0" w:color="auto"/>
            </w:tcBorders>
          </w:tcPr>
          <w:p w14:paraId="672CD215"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13</w:t>
            </w:r>
          </w:p>
        </w:tc>
        <w:tc>
          <w:tcPr>
            <w:tcW w:w="1800" w:type="dxa"/>
            <w:tcBorders>
              <w:top w:val="single" w:sz="4" w:space="0" w:color="auto"/>
            </w:tcBorders>
          </w:tcPr>
          <w:p w14:paraId="3D8464AB"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10</w:t>
            </w:r>
          </w:p>
        </w:tc>
        <w:tc>
          <w:tcPr>
            <w:tcW w:w="1530" w:type="dxa"/>
            <w:tcBorders>
              <w:top w:val="single" w:sz="4" w:space="0" w:color="auto"/>
            </w:tcBorders>
          </w:tcPr>
          <w:p w14:paraId="1B16C353"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76.92</w:t>
            </w:r>
          </w:p>
        </w:tc>
      </w:tr>
      <w:tr w:rsidR="004969AF" w:rsidRPr="00E71565" w14:paraId="5AAC1194" w14:textId="77777777" w:rsidTr="007D4147">
        <w:trPr>
          <w:jc w:val="center"/>
        </w:trPr>
        <w:tc>
          <w:tcPr>
            <w:tcW w:w="2893" w:type="dxa"/>
            <w:vMerge w:val="restart"/>
            <w:vAlign w:val="center"/>
          </w:tcPr>
          <w:p w14:paraId="3E46248C" w14:textId="77777777" w:rsidR="004969AF" w:rsidRPr="00E71565" w:rsidRDefault="004969AF" w:rsidP="00733F75">
            <w:pPr>
              <w:tabs>
                <w:tab w:val="left" w:pos="3998"/>
              </w:tabs>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 xml:space="preserve">Tenants in the selected residential </w:t>
            </w:r>
            <w:proofErr w:type="spellStart"/>
            <w:r w:rsidRPr="00E71565">
              <w:rPr>
                <w:rFonts w:ascii="Times New Roman" w:eastAsia="Times New Roman" w:hAnsi="Times New Roman" w:cs="Times New Roman"/>
                <w:sz w:val="24"/>
                <w:szCs w:val="24"/>
                <w:lang w:eastAsia="en-GB"/>
              </w:rPr>
              <w:t>neighbourhood</w:t>
            </w:r>
            <w:proofErr w:type="spellEnd"/>
          </w:p>
        </w:tc>
        <w:tc>
          <w:tcPr>
            <w:tcW w:w="1710" w:type="dxa"/>
          </w:tcPr>
          <w:p w14:paraId="23F4F49D"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proofErr w:type="spellStart"/>
            <w:r w:rsidRPr="00E71565">
              <w:rPr>
                <w:rFonts w:ascii="Times New Roman" w:eastAsia="Times New Roman" w:hAnsi="Times New Roman" w:cs="Times New Roman"/>
                <w:sz w:val="24"/>
                <w:szCs w:val="24"/>
                <w:lang w:eastAsia="en-GB"/>
              </w:rPr>
              <w:t>Fadikpe</w:t>
            </w:r>
            <w:proofErr w:type="spellEnd"/>
          </w:p>
        </w:tc>
        <w:tc>
          <w:tcPr>
            <w:tcW w:w="1890" w:type="dxa"/>
          </w:tcPr>
          <w:p w14:paraId="0758F824"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91</w:t>
            </w:r>
          </w:p>
        </w:tc>
        <w:tc>
          <w:tcPr>
            <w:tcW w:w="1800" w:type="dxa"/>
          </w:tcPr>
          <w:p w14:paraId="7B342D07"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64</w:t>
            </w:r>
          </w:p>
        </w:tc>
        <w:tc>
          <w:tcPr>
            <w:tcW w:w="1530" w:type="dxa"/>
          </w:tcPr>
          <w:p w14:paraId="1BB06F57"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70.33</w:t>
            </w:r>
          </w:p>
        </w:tc>
      </w:tr>
      <w:tr w:rsidR="004969AF" w:rsidRPr="00E71565" w14:paraId="0839AD8A" w14:textId="77777777" w:rsidTr="007D4147">
        <w:trPr>
          <w:jc w:val="center"/>
        </w:trPr>
        <w:tc>
          <w:tcPr>
            <w:tcW w:w="2893" w:type="dxa"/>
            <w:vMerge/>
          </w:tcPr>
          <w:p w14:paraId="162B44B8"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p>
        </w:tc>
        <w:tc>
          <w:tcPr>
            <w:tcW w:w="1710" w:type="dxa"/>
          </w:tcPr>
          <w:p w14:paraId="14F7F42E"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proofErr w:type="spellStart"/>
            <w:r w:rsidRPr="00E71565">
              <w:rPr>
                <w:rFonts w:ascii="Times New Roman" w:eastAsia="Times New Roman" w:hAnsi="Times New Roman" w:cs="Times New Roman"/>
                <w:sz w:val="24"/>
                <w:szCs w:val="24"/>
                <w:lang w:eastAsia="en-GB"/>
              </w:rPr>
              <w:t>Tudun</w:t>
            </w:r>
            <w:proofErr w:type="spellEnd"/>
            <w:r w:rsidRPr="00E71565">
              <w:rPr>
                <w:rFonts w:ascii="Times New Roman" w:eastAsia="Times New Roman" w:hAnsi="Times New Roman" w:cs="Times New Roman"/>
                <w:sz w:val="24"/>
                <w:szCs w:val="24"/>
                <w:lang w:eastAsia="en-GB"/>
              </w:rPr>
              <w:t xml:space="preserve"> Fulani</w:t>
            </w:r>
          </w:p>
        </w:tc>
        <w:tc>
          <w:tcPr>
            <w:tcW w:w="1890" w:type="dxa"/>
          </w:tcPr>
          <w:p w14:paraId="075F3812"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109</w:t>
            </w:r>
          </w:p>
        </w:tc>
        <w:tc>
          <w:tcPr>
            <w:tcW w:w="1800" w:type="dxa"/>
          </w:tcPr>
          <w:p w14:paraId="6AF6B638"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76</w:t>
            </w:r>
          </w:p>
        </w:tc>
        <w:tc>
          <w:tcPr>
            <w:tcW w:w="1530" w:type="dxa"/>
          </w:tcPr>
          <w:p w14:paraId="15B97E94"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69.73</w:t>
            </w:r>
          </w:p>
        </w:tc>
      </w:tr>
      <w:tr w:rsidR="004969AF" w:rsidRPr="00E71565" w14:paraId="7F5BCA45" w14:textId="77777777" w:rsidTr="007D4147">
        <w:trPr>
          <w:jc w:val="center"/>
        </w:trPr>
        <w:tc>
          <w:tcPr>
            <w:tcW w:w="2893" w:type="dxa"/>
            <w:vMerge/>
            <w:tcBorders>
              <w:bottom w:val="single" w:sz="4" w:space="0" w:color="auto"/>
            </w:tcBorders>
          </w:tcPr>
          <w:p w14:paraId="27C33C55"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p>
        </w:tc>
        <w:tc>
          <w:tcPr>
            <w:tcW w:w="1710" w:type="dxa"/>
            <w:tcBorders>
              <w:bottom w:val="single" w:sz="4" w:space="0" w:color="auto"/>
            </w:tcBorders>
          </w:tcPr>
          <w:p w14:paraId="07EE615F" w14:textId="77777777" w:rsidR="004969AF" w:rsidRPr="00E71565" w:rsidRDefault="004969AF" w:rsidP="00733F75">
            <w:pPr>
              <w:tabs>
                <w:tab w:val="left" w:pos="3998"/>
              </w:tabs>
              <w:jc w:val="both"/>
              <w:rPr>
                <w:rFonts w:ascii="Times New Roman" w:eastAsia="Times New Roman" w:hAnsi="Times New Roman" w:cs="Times New Roman"/>
                <w:sz w:val="24"/>
                <w:szCs w:val="24"/>
                <w:lang w:eastAsia="en-GB"/>
              </w:rPr>
            </w:pPr>
            <w:proofErr w:type="spellStart"/>
            <w:r w:rsidRPr="00E71565">
              <w:rPr>
                <w:rFonts w:ascii="Times New Roman" w:eastAsia="Times New Roman" w:hAnsi="Times New Roman" w:cs="Times New Roman"/>
                <w:sz w:val="24"/>
                <w:szCs w:val="24"/>
                <w:lang w:eastAsia="en-GB"/>
              </w:rPr>
              <w:t>Bosso</w:t>
            </w:r>
            <w:proofErr w:type="spellEnd"/>
            <w:r w:rsidRPr="00E71565">
              <w:rPr>
                <w:rFonts w:ascii="Times New Roman" w:eastAsia="Times New Roman" w:hAnsi="Times New Roman" w:cs="Times New Roman"/>
                <w:sz w:val="24"/>
                <w:szCs w:val="24"/>
                <w:lang w:eastAsia="en-GB"/>
              </w:rPr>
              <w:t xml:space="preserve"> Estate </w:t>
            </w:r>
          </w:p>
        </w:tc>
        <w:tc>
          <w:tcPr>
            <w:tcW w:w="1890" w:type="dxa"/>
            <w:tcBorders>
              <w:bottom w:val="single" w:sz="4" w:space="0" w:color="auto"/>
            </w:tcBorders>
          </w:tcPr>
          <w:p w14:paraId="5F1A40D8"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109</w:t>
            </w:r>
          </w:p>
        </w:tc>
        <w:tc>
          <w:tcPr>
            <w:tcW w:w="1800" w:type="dxa"/>
            <w:tcBorders>
              <w:bottom w:val="single" w:sz="4" w:space="0" w:color="auto"/>
            </w:tcBorders>
          </w:tcPr>
          <w:p w14:paraId="0D367550"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76</w:t>
            </w:r>
          </w:p>
        </w:tc>
        <w:tc>
          <w:tcPr>
            <w:tcW w:w="1530" w:type="dxa"/>
            <w:tcBorders>
              <w:bottom w:val="single" w:sz="4" w:space="0" w:color="auto"/>
            </w:tcBorders>
          </w:tcPr>
          <w:p w14:paraId="7D3F458A"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69.73</w:t>
            </w:r>
          </w:p>
        </w:tc>
      </w:tr>
      <w:tr w:rsidR="004969AF" w:rsidRPr="00E71565" w14:paraId="4AC8F96D" w14:textId="77777777" w:rsidTr="007D4147">
        <w:trPr>
          <w:jc w:val="center"/>
        </w:trPr>
        <w:tc>
          <w:tcPr>
            <w:tcW w:w="4603" w:type="dxa"/>
            <w:gridSpan w:val="2"/>
            <w:tcBorders>
              <w:top w:val="single" w:sz="4" w:space="0" w:color="auto"/>
              <w:bottom w:val="single" w:sz="4" w:space="0" w:color="auto"/>
            </w:tcBorders>
          </w:tcPr>
          <w:p w14:paraId="7F6BC51B"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Total</w:t>
            </w:r>
          </w:p>
        </w:tc>
        <w:tc>
          <w:tcPr>
            <w:tcW w:w="1890" w:type="dxa"/>
            <w:tcBorders>
              <w:top w:val="single" w:sz="4" w:space="0" w:color="auto"/>
              <w:bottom w:val="single" w:sz="4" w:space="0" w:color="auto"/>
            </w:tcBorders>
          </w:tcPr>
          <w:p w14:paraId="64758961"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322</w:t>
            </w:r>
          </w:p>
        </w:tc>
        <w:tc>
          <w:tcPr>
            <w:tcW w:w="1800" w:type="dxa"/>
            <w:tcBorders>
              <w:top w:val="single" w:sz="4" w:space="0" w:color="auto"/>
              <w:bottom w:val="single" w:sz="4" w:space="0" w:color="auto"/>
            </w:tcBorders>
          </w:tcPr>
          <w:p w14:paraId="0C242FB9"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226</w:t>
            </w:r>
          </w:p>
        </w:tc>
        <w:tc>
          <w:tcPr>
            <w:tcW w:w="1530" w:type="dxa"/>
            <w:tcBorders>
              <w:top w:val="single" w:sz="4" w:space="0" w:color="auto"/>
              <w:bottom w:val="single" w:sz="4" w:space="0" w:color="auto"/>
            </w:tcBorders>
          </w:tcPr>
          <w:p w14:paraId="63478BBF" w14:textId="77777777" w:rsidR="004969AF" w:rsidRPr="00E71565" w:rsidRDefault="004969AF" w:rsidP="00733F75">
            <w:pPr>
              <w:tabs>
                <w:tab w:val="left" w:pos="3998"/>
              </w:tabs>
              <w:jc w:val="center"/>
              <w:rPr>
                <w:rFonts w:ascii="Times New Roman" w:eastAsia="Times New Roman" w:hAnsi="Times New Roman" w:cs="Times New Roman"/>
                <w:sz w:val="24"/>
                <w:szCs w:val="24"/>
                <w:lang w:eastAsia="en-GB"/>
              </w:rPr>
            </w:pPr>
            <w:r w:rsidRPr="00E71565">
              <w:rPr>
                <w:rFonts w:ascii="Times New Roman" w:eastAsia="Times New Roman" w:hAnsi="Times New Roman" w:cs="Times New Roman"/>
                <w:sz w:val="24"/>
                <w:szCs w:val="24"/>
                <w:lang w:eastAsia="en-GB"/>
              </w:rPr>
              <w:t>70.19</w:t>
            </w:r>
          </w:p>
        </w:tc>
      </w:tr>
    </w:tbl>
    <w:p w14:paraId="1B1598AD" w14:textId="77777777" w:rsidR="007A19BE" w:rsidRPr="00E71565" w:rsidRDefault="007A19BE" w:rsidP="004969AF">
      <w:pPr>
        <w:spacing w:line="360" w:lineRule="auto"/>
        <w:jc w:val="both"/>
        <w:rPr>
          <w:rFonts w:ascii="Times New Roman" w:hAnsi="Times New Roman" w:cs="Times New Roman"/>
          <w:sz w:val="24"/>
          <w:szCs w:val="24"/>
        </w:rPr>
      </w:pPr>
    </w:p>
    <w:p w14:paraId="268EE2AA" w14:textId="77777777" w:rsidR="004969AF" w:rsidRPr="00E71565" w:rsidRDefault="004969AF" w:rsidP="007A19BE">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As revealed in Table 1 above, Out of the 13 registered estate surveying and valuation firms sampled, only 10 correctly filled and returned questionnaires while for the tenants of selected residential </w:t>
      </w:r>
      <w:proofErr w:type="spellStart"/>
      <w:r w:rsidRPr="00E71565">
        <w:rPr>
          <w:rFonts w:ascii="Times New Roman" w:hAnsi="Times New Roman" w:cs="Times New Roman"/>
          <w:sz w:val="24"/>
          <w:szCs w:val="24"/>
        </w:rPr>
        <w:t>neigbourhood</w:t>
      </w:r>
      <w:proofErr w:type="spellEnd"/>
      <w:r w:rsidRPr="00E71565">
        <w:rPr>
          <w:rFonts w:ascii="Times New Roman" w:hAnsi="Times New Roman" w:cs="Times New Roman"/>
          <w:sz w:val="24"/>
          <w:szCs w:val="24"/>
        </w:rPr>
        <w:t xml:space="preserve"> 226 questionnaire was retrieved out of 322 questionnaire distributed. After accounting for missing information, a total of 226 questionnaires were well completed and found practically useful for the analysis. The well completed questionnaires represent an overall </w:t>
      </w:r>
      <w:r w:rsidRPr="00E71565">
        <w:rPr>
          <w:rFonts w:ascii="Times New Roman" w:hAnsi="Times New Roman" w:cs="Times New Roman"/>
          <w:sz w:val="24"/>
          <w:szCs w:val="24"/>
          <w:lang w:val="en-GB"/>
        </w:rPr>
        <w:t>70.19% response rate</w:t>
      </w:r>
      <w:r w:rsidRPr="00E71565">
        <w:rPr>
          <w:rFonts w:ascii="Times New Roman" w:hAnsi="Times New Roman" w:cs="Times New Roman"/>
          <w:sz w:val="24"/>
          <w:szCs w:val="24"/>
        </w:rPr>
        <w:t>.</w:t>
      </w:r>
    </w:p>
    <w:p w14:paraId="529A67FA" w14:textId="48D54B12" w:rsidR="004969AF" w:rsidRPr="00E71565" w:rsidRDefault="00EF011F" w:rsidP="007A19BE">
      <w:pPr>
        <w:spacing w:line="240" w:lineRule="auto"/>
        <w:jc w:val="both"/>
        <w:rPr>
          <w:rFonts w:ascii="Times New Roman" w:hAnsi="Times New Roman" w:cs="Times New Roman"/>
          <w:b/>
          <w:sz w:val="24"/>
          <w:szCs w:val="24"/>
        </w:rPr>
      </w:pPr>
      <w:r w:rsidRPr="00E71565">
        <w:rPr>
          <w:rFonts w:ascii="Times New Roman" w:hAnsi="Times New Roman" w:cs="Times New Roman"/>
          <w:b/>
          <w:sz w:val="24"/>
          <w:szCs w:val="24"/>
        </w:rPr>
        <w:t>5.2</w:t>
      </w:r>
      <w:r w:rsidR="004F3BE0" w:rsidRPr="00E71565">
        <w:rPr>
          <w:rFonts w:ascii="Times New Roman" w:hAnsi="Times New Roman" w:cs="Times New Roman"/>
          <w:b/>
          <w:sz w:val="24"/>
          <w:szCs w:val="24"/>
        </w:rPr>
        <w:tab/>
      </w:r>
      <w:r w:rsidR="004969AF" w:rsidRPr="00E71565">
        <w:rPr>
          <w:rFonts w:ascii="Times New Roman" w:hAnsi="Times New Roman" w:cs="Times New Roman"/>
          <w:b/>
          <w:sz w:val="24"/>
          <w:szCs w:val="24"/>
        </w:rPr>
        <w:t>Socio-Demographic Details of the respondents (Tenants)</w:t>
      </w:r>
    </w:p>
    <w:p w14:paraId="0893C1F5" w14:textId="77777777" w:rsidR="004969AF" w:rsidRPr="00E71565" w:rsidRDefault="004969AF" w:rsidP="007A19BE">
      <w:pPr>
        <w:tabs>
          <w:tab w:val="left" w:pos="1170"/>
        </w:tabs>
        <w:spacing w:after="0" w:line="240" w:lineRule="auto"/>
        <w:jc w:val="both"/>
        <w:rPr>
          <w:rFonts w:ascii="Times New Roman" w:hAnsi="Times New Roman" w:cs="Times New Roman"/>
          <w:sz w:val="24"/>
          <w:szCs w:val="24"/>
        </w:rPr>
      </w:pPr>
      <w:r w:rsidRPr="00E71565">
        <w:rPr>
          <w:rFonts w:ascii="Times New Roman" w:eastAsia="Times New Roman" w:hAnsi="Times New Roman" w:cs="Times New Roman"/>
          <w:sz w:val="24"/>
          <w:szCs w:val="24"/>
          <w:lang w:val="en-GB" w:eastAsia="en-GB"/>
        </w:rPr>
        <w:t>Socio-demographic profile of the tenant occupying the selected rented residential apartment in the study area to which the data for analysis was gathered from. The data collected includes;</w:t>
      </w:r>
      <w:r w:rsidRPr="00E71565">
        <w:rPr>
          <w:rFonts w:ascii="Times New Roman" w:hAnsi="Times New Roman" w:cs="Times New Roman"/>
          <w:sz w:val="24"/>
          <w:szCs w:val="24"/>
        </w:rPr>
        <w:t xml:space="preserve"> age bracket, occupation, residence duration, </w:t>
      </w:r>
      <w:proofErr w:type="gramStart"/>
      <w:r w:rsidRPr="00E71565">
        <w:rPr>
          <w:rFonts w:ascii="Times New Roman" w:hAnsi="Times New Roman" w:cs="Times New Roman"/>
          <w:sz w:val="24"/>
          <w:szCs w:val="24"/>
        </w:rPr>
        <w:t>monthly</w:t>
      </w:r>
      <w:proofErr w:type="gramEnd"/>
      <w:r w:rsidRPr="00E71565">
        <w:rPr>
          <w:rFonts w:ascii="Times New Roman" w:hAnsi="Times New Roman" w:cs="Times New Roman"/>
          <w:sz w:val="24"/>
          <w:szCs w:val="24"/>
        </w:rPr>
        <w:t xml:space="preserve"> income range and accommodation type</w:t>
      </w:r>
      <w:r w:rsidR="007A19BE" w:rsidRPr="00E71565">
        <w:rPr>
          <w:rFonts w:ascii="Times New Roman" w:hAnsi="Times New Roman" w:cs="Times New Roman"/>
          <w:sz w:val="24"/>
          <w:szCs w:val="24"/>
        </w:rPr>
        <w:t>.</w:t>
      </w:r>
    </w:p>
    <w:tbl>
      <w:tblPr>
        <w:tblW w:w="9378" w:type="dxa"/>
        <w:jc w:val="center"/>
        <w:tblLook w:val="04A0" w:firstRow="1" w:lastRow="0" w:firstColumn="1" w:lastColumn="0" w:noHBand="0" w:noVBand="1"/>
      </w:tblPr>
      <w:tblGrid>
        <w:gridCol w:w="2002"/>
        <w:gridCol w:w="1310"/>
        <w:gridCol w:w="1462"/>
        <w:gridCol w:w="1310"/>
        <w:gridCol w:w="1462"/>
        <w:gridCol w:w="1310"/>
        <w:gridCol w:w="1445"/>
      </w:tblGrid>
      <w:tr w:rsidR="004969AF" w:rsidRPr="00E71565" w14:paraId="22906862" w14:textId="77777777" w:rsidTr="007D4147">
        <w:trPr>
          <w:trHeight w:val="315"/>
          <w:jc w:val="center"/>
        </w:trPr>
        <w:tc>
          <w:tcPr>
            <w:tcW w:w="9378" w:type="dxa"/>
            <w:gridSpan w:val="7"/>
            <w:tcBorders>
              <w:top w:val="nil"/>
              <w:left w:val="nil"/>
              <w:bottom w:val="nil"/>
              <w:right w:val="nil"/>
            </w:tcBorders>
            <w:shd w:val="clear" w:color="auto" w:fill="auto"/>
            <w:noWrap/>
            <w:vAlign w:val="bottom"/>
            <w:hideMark/>
          </w:tcPr>
          <w:p w14:paraId="27848934" w14:textId="77777777" w:rsidR="004969AF" w:rsidRPr="00E71565" w:rsidRDefault="004969AF" w:rsidP="00733F75">
            <w:pPr>
              <w:spacing w:after="0" w:line="240" w:lineRule="auto"/>
              <w:rPr>
                <w:rFonts w:ascii="Times New Roman" w:eastAsia="Times New Roman" w:hAnsi="Times New Roman" w:cs="Times New Roman"/>
                <w:b/>
                <w:bCs/>
                <w:sz w:val="24"/>
                <w:szCs w:val="24"/>
              </w:rPr>
            </w:pPr>
            <w:r w:rsidRPr="00E71565">
              <w:rPr>
                <w:rFonts w:ascii="Times New Roman" w:eastAsia="Times New Roman" w:hAnsi="Times New Roman" w:cs="Times New Roman"/>
                <w:b/>
                <w:sz w:val="24"/>
                <w:szCs w:val="24"/>
                <w:lang w:val="en-GB" w:eastAsia="en-GB"/>
              </w:rPr>
              <w:t xml:space="preserve">Table 2: </w:t>
            </w:r>
            <w:r w:rsidRPr="00E71565">
              <w:rPr>
                <w:rFonts w:ascii="Times New Roman" w:eastAsia="Times New Roman" w:hAnsi="Times New Roman" w:cs="Times New Roman"/>
                <w:b/>
                <w:bCs/>
                <w:sz w:val="24"/>
                <w:szCs w:val="24"/>
              </w:rPr>
              <w:t>Age Bracket of the respondents</w:t>
            </w:r>
          </w:p>
        </w:tc>
      </w:tr>
      <w:tr w:rsidR="004969AF" w:rsidRPr="00E71565" w14:paraId="2B9C76D0" w14:textId="77777777" w:rsidTr="007D4147">
        <w:trPr>
          <w:trHeight w:val="315"/>
          <w:jc w:val="center"/>
        </w:trPr>
        <w:tc>
          <w:tcPr>
            <w:tcW w:w="0" w:type="auto"/>
            <w:vMerge w:val="restart"/>
            <w:tcBorders>
              <w:top w:val="single" w:sz="4" w:space="0" w:color="auto"/>
              <w:left w:val="nil"/>
              <w:bottom w:val="single" w:sz="4" w:space="0" w:color="000000"/>
              <w:right w:val="nil"/>
            </w:tcBorders>
            <w:shd w:val="clear" w:color="auto" w:fill="auto"/>
            <w:noWrap/>
            <w:vAlign w:val="bottom"/>
            <w:hideMark/>
          </w:tcPr>
          <w:p w14:paraId="19013EF0"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Responses</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5FD82DAA"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Fadikpe</w:t>
            </w:r>
            <w:proofErr w:type="spellEnd"/>
          </w:p>
        </w:tc>
        <w:tc>
          <w:tcPr>
            <w:tcW w:w="0" w:type="auto"/>
            <w:gridSpan w:val="2"/>
            <w:tcBorders>
              <w:top w:val="single" w:sz="4" w:space="0" w:color="auto"/>
              <w:left w:val="nil"/>
              <w:bottom w:val="single" w:sz="4" w:space="0" w:color="auto"/>
              <w:right w:val="nil"/>
            </w:tcBorders>
            <w:shd w:val="clear" w:color="auto" w:fill="auto"/>
            <w:noWrap/>
            <w:vAlign w:val="bottom"/>
            <w:hideMark/>
          </w:tcPr>
          <w:p w14:paraId="035CC09B"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Tundun</w:t>
            </w:r>
            <w:proofErr w:type="spellEnd"/>
            <w:r w:rsidRPr="00E71565">
              <w:rPr>
                <w:rFonts w:ascii="Times New Roman" w:eastAsia="Times New Roman" w:hAnsi="Times New Roman" w:cs="Times New Roman"/>
                <w:b/>
                <w:bCs/>
                <w:sz w:val="24"/>
                <w:szCs w:val="24"/>
              </w:rPr>
              <w:t xml:space="preserve"> Fulani</w:t>
            </w:r>
          </w:p>
        </w:tc>
        <w:tc>
          <w:tcPr>
            <w:tcW w:w="2621" w:type="dxa"/>
            <w:gridSpan w:val="2"/>
            <w:tcBorders>
              <w:top w:val="single" w:sz="4" w:space="0" w:color="auto"/>
              <w:left w:val="nil"/>
              <w:bottom w:val="single" w:sz="4" w:space="0" w:color="auto"/>
              <w:right w:val="nil"/>
            </w:tcBorders>
            <w:shd w:val="clear" w:color="auto" w:fill="auto"/>
            <w:noWrap/>
            <w:vAlign w:val="bottom"/>
            <w:hideMark/>
          </w:tcPr>
          <w:p w14:paraId="1855B8BA"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Bosso</w:t>
            </w:r>
            <w:proofErr w:type="spellEnd"/>
            <w:r w:rsidRPr="00E71565">
              <w:rPr>
                <w:rFonts w:ascii="Times New Roman" w:eastAsia="Times New Roman" w:hAnsi="Times New Roman" w:cs="Times New Roman"/>
                <w:b/>
                <w:bCs/>
                <w:sz w:val="24"/>
                <w:szCs w:val="24"/>
              </w:rPr>
              <w:t xml:space="preserve"> Estate</w:t>
            </w:r>
          </w:p>
        </w:tc>
      </w:tr>
      <w:tr w:rsidR="004969AF" w:rsidRPr="00E71565" w14:paraId="71E1253A" w14:textId="77777777" w:rsidTr="007D4147">
        <w:trPr>
          <w:trHeight w:val="315"/>
          <w:jc w:val="center"/>
        </w:trPr>
        <w:tc>
          <w:tcPr>
            <w:tcW w:w="0" w:type="auto"/>
            <w:vMerge/>
            <w:tcBorders>
              <w:top w:val="single" w:sz="4" w:space="0" w:color="auto"/>
              <w:left w:val="nil"/>
              <w:bottom w:val="single" w:sz="4" w:space="0" w:color="000000"/>
              <w:right w:val="nil"/>
            </w:tcBorders>
            <w:vAlign w:val="center"/>
            <w:hideMark/>
          </w:tcPr>
          <w:p w14:paraId="2C86C8BB"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
        </w:tc>
        <w:tc>
          <w:tcPr>
            <w:tcW w:w="0" w:type="auto"/>
            <w:tcBorders>
              <w:top w:val="nil"/>
              <w:left w:val="nil"/>
              <w:bottom w:val="single" w:sz="4" w:space="0" w:color="auto"/>
              <w:right w:val="nil"/>
            </w:tcBorders>
            <w:shd w:val="clear" w:color="auto" w:fill="auto"/>
            <w:noWrap/>
            <w:vAlign w:val="center"/>
            <w:hideMark/>
          </w:tcPr>
          <w:p w14:paraId="49CF6621"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0" w:type="auto"/>
            <w:tcBorders>
              <w:top w:val="nil"/>
              <w:left w:val="nil"/>
              <w:bottom w:val="single" w:sz="4" w:space="0" w:color="auto"/>
              <w:right w:val="nil"/>
            </w:tcBorders>
            <w:shd w:val="clear" w:color="auto" w:fill="auto"/>
            <w:noWrap/>
            <w:vAlign w:val="center"/>
            <w:hideMark/>
          </w:tcPr>
          <w:p w14:paraId="348DE2AB"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Percent (%)</w:t>
            </w:r>
          </w:p>
        </w:tc>
        <w:tc>
          <w:tcPr>
            <w:tcW w:w="0" w:type="auto"/>
            <w:tcBorders>
              <w:top w:val="nil"/>
              <w:left w:val="nil"/>
              <w:bottom w:val="single" w:sz="4" w:space="0" w:color="auto"/>
              <w:right w:val="nil"/>
            </w:tcBorders>
            <w:shd w:val="clear" w:color="auto" w:fill="auto"/>
            <w:noWrap/>
            <w:vAlign w:val="center"/>
            <w:hideMark/>
          </w:tcPr>
          <w:p w14:paraId="423D9C6D"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0" w:type="auto"/>
            <w:tcBorders>
              <w:top w:val="nil"/>
              <w:left w:val="nil"/>
              <w:bottom w:val="single" w:sz="4" w:space="0" w:color="auto"/>
              <w:right w:val="nil"/>
            </w:tcBorders>
            <w:shd w:val="clear" w:color="auto" w:fill="auto"/>
            <w:noWrap/>
            <w:vAlign w:val="center"/>
            <w:hideMark/>
          </w:tcPr>
          <w:p w14:paraId="50A6E76D"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Percent (%)</w:t>
            </w:r>
          </w:p>
        </w:tc>
        <w:tc>
          <w:tcPr>
            <w:tcW w:w="0" w:type="auto"/>
            <w:tcBorders>
              <w:top w:val="nil"/>
              <w:left w:val="nil"/>
              <w:bottom w:val="single" w:sz="4" w:space="0" w:color="auto"/>
              <w:right w:val="nil"/>
            </w:tcBorders>
            <w:shd w:val="clear" w:color="auto" w:fill="auto"/>
            <w:noWrap/>
            <w:vAlign w:val="center"/>
            <w:hideMark/>
          </w:tcPr>
          <w:p w14:paraId="2E0914AB"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445" w:type="dxa"/>
            <w:tcBorders>
              <w:top w:val="nil"/>
              <w:left w:val="nil"/>
              <w:bottom w:val="single" w:sz="4" w:space="0" w:color="auto"/>
              <w:right w:val="nil"/>
            </w:tcBorders>
            <w:shd w:val="clear" w:color="auto" w:fill="auto"/>
            <w:noWrap/>
            <w:vAlign w:val="center"/>
            <w:hideMark/>
          </w:tcPr>
          <w:p w14:paraId="2D6AB652" w14:textId="77777777" w:rsidR="004969AF" w:rsidRPr="00E71565" w:rsidRDefault="004969AF" w:rsidP="00733F75">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Percent (%)</w:t>
            </w:r>
          </w:p>
        </w:tc>
      </w:tr>
      <w:tr w:rsidR="004969AF" w:rsidRPr="00E71565" w14:paraId="559A6D74" w14:textId="77777777" w:rsidTr="007D4147">
        <w:trPr>
          <w:trHeight w:val="315"/>
          <w:jc w:val="center"/>
        </w:trPr>
        <w:tc>
          <w:tcPr>
            <w:tcW w:w="0" w:type="auto"/>
            <w:tcBorders>
              <w:top w:val="nil"/>
              <w:left w:val="nil"/>
              <w:bottom w:val="nil"/>
              <w:right w:val="nil"/>
            </w:tcBorders>
            <w:shd w:val="clear" w:color="auto" w:fill="auto"/>
            <w:noWrap/>
            <w:vAlign w:val="bottom"/>
            <w:hideMark/>
          </w:tcPr>
          <w:p w14:paraId="655E202C"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20year and Below</w:t>
            </w:r>
          </w:p>
        </w:tc>
        <w:tc>
          <w:tcPr>
            <w:tcW w:w="0" w:type="auto"/>
            <w:tcBorders>
              <w:top w:val="nil"/>
              <w:left w:val="nil"/>
              <w:bottom w:val="nil"/>
              <w:right w:val="nil"/>
            </w:tcBorders>
            <w:shd w:val="clear" w:color="auto" w:fill="auto"/>
            <w:noWrap/>
            <w:vAlign w:val="bottom"/>
            <w:hideMark/>
          </w:tcPr>
          <w:p w14:paraId="67052CCC"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w:t>
            </w:r>
          </w:p>
        </w:tc>
        <w:tc>
          <w:tcPr>
            <w:tcW w:w="0" w:type="auto"/>
            <w:tcBorders>
              <w:top w:val="nil"/>
              <w:left w:val="nil"/>
              <w:bottom w:val="nil"/>
              <w:right w:val="nil"/>
            </w:tcBorders>
            <w:shd w:val="clear" w:color="auto" w:fill="auto"/>
            <w:noWrap/>
            <w:vAlign w:val="bottom"/>
            <w:hideMark/>
          </w:tcPr>
          <w:p w14:paraId="4C946EC4"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10.94</w:t>
            </w:r>
          </w:p>
        </w:tc>
        <w:tc>
          <w:tcPr>
            <w:tcW w:w="0" w:type="auto"/>
            <w:tcBorders>
              <w:top w:val="nil"/>
              <w:left w:val="nil"/>
              <w:bottom w:val="nil"/>
              <w:right w:val="nil"/>
            </w:tcBorders>
            <w:shd w:val="clear" w:color="auto" w:fill="auto"/>
            <w:noWrap/>
            <w:vAlign w:val="bottom"/>
            <w:hideMark/>
          </w:tcPr>
          <w:p w14:paraId="756A3B2D"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8</w:t>
            </w:r>
          </w:p>
        </w:tc>
        <w:tc>
          <w:tcPr>
            <w:tcW w:w="0" w:type="auto"/>
            <w:tcBorders>
              <w:top w:val="nil"/>
              <w:left w:val="nil"/>
              <w:bottom w:val="nil"/>
              <w:right w:val="nil"/>
            </w:tcBorders>
            <w:shd w:val="clear" w:color="auto" w:fill="auto"/>
            <w:noWrap/>
            <w:vAlign w:val="bottom"/>
            <w:hideMark/>
          </w:tcPr>
          <w:p w14:paraId="076D35B9"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10.53</w:t>
            </w:r>
          </w:p>
        </w:tc>
        <w:tc>
          <w:tcPr>
            <w:tcW w:w="0" w:type="auto"/>
            <w:tcBorders>
              <w:top w:val="nil"/>
              <w:left w:val="nil"/>
              <w:bottom w:val="nil"/>
              <w:right w:val="nil"/>
            </w:tcBorders>
            <w:shd w:val="clear" w:color="auto" w:fill="auto"/>
            <w:noWrap/>
            <w:vAlign w:val="bottom"/>
            <w:hideMark/>
          </w:tcPr>
          <w:p w14:paraId="03B29DCD"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w:t>
            </w:r>
          </w:p>
        </w:tc>
        <w:tc>
          <w:tcPr>
            <w:tcW w:w="1445" w:type="dxa"/>
            <w:tcBorders>
              <w:top w:val="nil"/>
              <w:left w:val="nil"/>
              <w:bottom w:val="nil"/>
              <w:right w:val="nil"/>
            </w:tcBorders>
            <w:shd w:val="clear" w:color="auto" w:fill="auto"/>
            <w:noWrap/>
            <w:vAlign w:val="bottom"/>
            <w:hideMark/>
          </w:tcPr>
          <w:p w14:paraId="765C7FA9"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9.21</w:t>
            </w:r>
          </w:p>
        </w:tc>
      </w:tr>
      <w:tr w:rsidR="004969AF" w:rsidRPr="00E71565" w14:paraId="736A4559" w14:textId="77777777" w:rsidTr="007D4147">
        <w:trPr>
          <w:trHeight w:val="315"/>
          <w:jc w:val="center"/>
        </w:trPr>
        <w:tc>
          <w:tcPr>
            <w:tcW w:w="0" w:type="auto"/>
            <w:tcBorders>
              <w:top w:val="nil"/>
              <w:left w:val="nil"/>
              <w:bottom w:val="nil"/>
              <w:right w:val="nil"/>
            </w:tcBorders>
            <w:shd w:val="clear" w:color="auto" w:fill="auto"/>
            <w:noWrap/>
            <w:vAlign w:val="bottom"/>
            <w:hideMark/>
          </w:tcPr>
          <w:p w14:paraId="2065ED1C"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21-30years</w:t>
            </w:r>
          </w:p>
        </w:tc>
        <w:tc>
          <w:tcPr>
            <w:tcW w:w="0" w:type="auto"/>
            <w:tcBorders>
              <w:top w:val="nil"/>
              <w:left w:val="nil"/>
              <w:bottom w:val="nil"/>
              <w:right w:val="nil"/>
            </w:tcBorders>
            <w:shd w:val="clear" w:color="auto" w:fill="auto"/>
            <w:noWrap/>
            <w:vAlign w:val="bottom"/>
            <w:hideMark/>
          </w:tcPr>
          <w:p w14:paraId="01460937"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9</w:t>
            </w:r>
          </w:p>
        </w:tc>
        <w:tc>
          <w:tcPr>
            <w:tcW w:w="0" w:type="auto"/>
            <w:tcBorders>
              <w:top w:val="nil"/>
              <w:left w:val="nil"/>
              <w:bottom w:val="nil"/>
              <w:right w:val="nil"/>
            </w:tcBorders>
            <w:shd w:val="clear" w:color="auto" w:fill="auto"/>
            <w:noWrap/>
            <w:vAlign w:val="bottom"/>
            <w:hideMark/>
          </w:tcPr>
          <w:p w14:paraId="76DC45BD"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14.06</w:t>
            </w:r>
          </w:p>
        </w:tc>
        <w:tc>
          <w:tcPr>
            <w:tcW w:w="0" w:type="auto"/>
            <w:tcBorders>
              <w:top w:val="nil"/>
              <w:left w:val="nil"/>
              <w:bottom w:val="nil"/>
              <w:right w:val="nil"/>
            </w:tcBorders>
            <w:shd w:val="clear" w:color="auto" w:fill="auto"/>
            <w:noWrap/>
            <w:vAlign w:val="bottom"/>
            <w:hideMark/>
          </w:tcPr>
          <w:p w14:paraId="7B6C5DC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16</w:t>
            </w:r>
          </w:p>
        </w:tc>
        <w:tc>
          <w:tcPr>
            <w:tcW w:w="0" w:type="auto"/>
            <w:tcBorders>
              <w:top w:val="nil"/>
              <w:left w:val="nil"/>
              <w:bottom w:val="nil"/>
              <w:right w:val="nil"/>
            </w:tcBorders>
            <w:shd w:val="clear" w:color="auto" w:fill="auto"/>
            <w:noWrap/>
            <w:vAlign w:val="bottom"/>
            <w:hideMark/>
          </w:tcPr>
          <w:p w14:paraId="07571CFA"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21.05</w:t>
            </w:r>
          </w:p>
        </w:tc>
        <w:tc>
          <w:tcPr>
            <w:tcW w:w="0" w:type="auto"/>
            <w:tcBorders>
              <w:top w:val="nil"/>
              <w:left w:val="nil"/>
              <w:bottom w:val="nil"/>
              <w:right w:val="nil"/>
            </w:tcBorders>
            <w:shd w:val="clear" w:color="auto" w:fill="auto"/>
            <w:noWrap/>
            <w:vAlign w:val="bottom"/>
            <w:hideMark/>
          </w:tcPr>
          <w:p w14:paraId="33FF4969"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15</w:t>
            </w:r>
          </w:p>
        </w:tc>
        <w:tc>
          <w:tcPr>
            <w:tcW w:w="1445" w:type="dxa"/>
            <w:tcBorders>
              <w:top w:val="nil"/>
              <w:left w:val="nil"/>
              <w:bottom w:val="nil"/>
              <w:right w:val="nil"/>
            </w:tcBorders>
            <w:shd w:val="clear" w:color="auto" w:fill="auto"/>
            <w:noWrap/>
            <w:vAlign w:val="bottom"/>
            <w:hideMark/>
          </w:tcPr>
          <w:p w14:paraId="63B0098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19.74</w:t>
            </w:r>
          </w:p>
        </w:tc>
      </w:tr>
      <w:tr w:rsidR="004969AF" w:rsidRPr="00E71565" w14:paraId="5729B5B0" w14:textId="77777777" w:rsidTr="007D4147">
        <w:trPr>
          <w:trHeight w:val="315"/>
          <w:jc w:val="center"/>
        </w:trPr>
        <w:tc>
          <w:tcPr>
            <w:tcW w:w="0" w:type="auto"/>
            <w:tcBorders>
              <w:top w:val="nil"/>
              <w:left w:val="nil"/>
              <w:bottom w:val="nil"/>
              <w:right w:val="nil"/>
            </w:tcBorders>
            <w:shd w:val="clear" w:color="auto" w:fill="auto"/>
            <w:noWrap/>
            <w:vAlign w:val="bottom"/>
            <w:hideMark/>
          </w:tcPr>
          <w:p w14:paraId="4EF36835"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31-40years</w:t>
            </w:r>
          </w:p>
        </w:tc>
        <w:tc>
          <w:tcPr>
            <w:tcW w:w="0" w:type="auto"/>
            <w:tcBorders>
              <w:top w:val="nil"/>
              <w:left w:val="nil"/>
              <w:bottom w:val="nil"/>
              <w:right w:val="nil"/>
            </w:tcBorders>
            <w:shd w:val="clear" w:color="auto" w:fill="auto"/>
            <w:noWrap/>
            <w:vAlign w:val="bottom"/>
            <w:hideMark/>
          </w:tcPr>
          <w:p w14:paraId="6AF1A34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25</w:t>
            </w:r>
          </w:p>
        </w:tc>
        <w:tc>
          <w:tcPr>
            <w:tcW w:w="0" w:type="auto"/>
            <w:tcBorders>
              <w:top w:val="nil"/>
              <w:left w:val="nil"/>
              <w:bottom w:val="nil"/>
              <w:right w:val="nil"/>
            </w:tcBorders>
            <w:shd w:val="clear" w:color="auto" w:fill="auto"/>
            <w:noWrap/>
            <w:vAlign w:val="bottom"/>
            <w:hideMark/>
          </w:tcPr>
          <w:p w14:paraId="5311B575"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39.06</w:t>
            </w:r>
          </w:p>
        </w:tc>
        <w:tc>
          <w:tcPr>
            <w:tcW w:w="0" w:type="auto"/>
            <w:tcBorders>
              <w:top w:val="nil"/>
              <w:left w:val="nil"/>
              <w:bottom w:val="nil"/>
              <w:right w:val="nil"/>
            </w:tcBorders>
            <w:shd w:val="clear" w:color="auto" w:fill="auto"/>
            <w:noWrap/>
            <w:vAlign w:val="bottom"/>
            <w:hideMark/>
          </w:tcPr>
          <w:p w14:paraId="696B1B40"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35</w:t>
            </w:r>
          </w:p>
        </w:tc>
        <w:tc>
          <w:tcPr>
            <w:tcW w:w="0" w:type="auto"/>
            <w:tcBorders>
              <w:top w:val="nil"/>
              <w:left w:val="nil"/>
              <w:bottom w:val="nil"/>
              <w:right w:val="nil"/>
            </w:tcBorders>
            <w:shd w:val="clear" w:color="auto" w:fill="auto"/>
            <w:noWrap/>
            <w:vAlign w:val="bottom"/>
            <w:hideMark/>
          </w:tcPr>
          <w:p w14:paraId="4D01469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46.05</w:t>
            </w:r>
          </w:p>
        </w:tc>
        <w:tc>
          <w:tcPr>
            <w:tcW w:w="0" w:type="auto"/>
            <w:tcBorders>
              <w:top w:val="nil"/>
              <w:left w:val="nil"/>
              <w:bottom w:val="nil"/>
              <w:right w:val="nil"/>
            </w:tcBorders>
            <w:shd w:val="clear" w:color="auto" w:fill="auto"/>
            <w:noWrap/>
            <w:vAlign w:val="bottom"/>
            <w:hideMark/>
          </w:tcPr>
          <w:p w14:paraId="44FE98C7"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37</w:t>
            </w:r>
          </w:p>
        </w:tc>
        <w:tc>
          <w:tcPr>
            <w:tcW w:w="1445" w:type="dxa"/>
            <w:tcBorders>
              <w:top w:val="nil"/>
              <w:left w:val="nil"/>
              <w:bottom w:val="nil"/>
              <w:right w:val="nil"/>
            </w:tcBorders>
            <w:shd w:val="clear" w:color="auto" w:fill="auto"/>
            <w:noWrap/>
            <w:vAlign w:val="bottom"/>
            <w:hideMark/>
          </w:tcPr>
          <w:p w14:paraId="7637D66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48.68</w:t>
            </w:r>
          </w:p>
        </w:tc>
      </w:tr>
      <w:tr w:rsidR="004969AF" w:rsidRPr="00E71565" w14:paraId="498FF117" w14:textId="77777777" w:rsidTr="007D4147">
        <w:trPr>
          <w:trHeight w:val="315"/>
          <w:jc w:val="center"/>
        </w:trPr>
        <w:tc>
          <w:tcPr>
            <w:tcW w:w="0" w:type="auto"/>
            <w:tcBorders>
              <w:top w:val="nil"/>
              <w:left w:val="nil"/>
              <w:bottom w:val="nil"/>
              <w:right w:val="nil"/>
            </w:tcBorders>
            <w:shd w:val="clear" w:color="auto" w:fill="auto"/>
            <w:noWrap/>
            <w:vAlign w:val="bottom"/>
            <w:hideMark/>
          </w:tcPr>
          <w:p w14:paraId="762C13A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41years and above</w:t>
            </w:r>
          </w:p>
        </w:tc>
        <w:tc>
          <w:tcPr>
            <w:tcW w:w="0" w:type="auto"/>
            <w:tcBorders>
              <w:top w:val="nil"/>
              <w:left w:val="nil"/>
              <w:bottom w:val="nil"/>
              <w:right w:val="nil"/>
            </w:tcBorders>
            <w:shd w:val="clear" w:color="auto" w:fill="auto"/>
            <w:noWrap/>
            <w:vAlign w:val="bottom"/>
            <w:hideMark/>
          </w:tcPr>
          <w:p w14:paraId="13FACB08"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23</w:t>
            </w:r>
          </w:p>
        </w:tc>
        <w:tc>
          <w:tcPr>
            <w:tcW w:w="0" w:type="auto"/>
            <w:tcBorders>
              <w:top w:val="nil"/>
              <w:left w:val="nil"/>
              <w:bottom w:val="nil"/>
              <w:right w:val="nil"/>
            </w:tcBorders>
            <w:shd w:val="clear" w:color="auto" w:fill="auto"/>
            <w:noWrap/>
            <w:vAlign w:val="bottom"/>
            <w:hideMark/>
          </w:tcPr>
          <w:p w14:paraId="174BB1F9"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35.94</w:t>
            </w:r>
          </w:p>
        </w:tc>
        <w:tc>
          <w:tcPr>
            <w:tcW w:w="0" w:type="auto"/>
            <w:tcBorders>
              <w:top w:val="nil"/>
              <w:left w:val="nil"/>
              <w:bottom w:val="nil"/>
              <w:right w:val="nil"/>
            </w:tcBorders>
            <w:shd w:val="clear" w:color="auto" w:fill="auto"/>
            <w:noWrap/>
            <w:vAlign w:val="bottom"/>
            <w:hideMark/>
          </w:tcPr>
          <w:p w14:paraId="4DF75C8C"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w:t>
            </w:r>
          </w:p>
        </w:tc>
        <w:tc>
          <w:tcPr>
            <w:tcW w:w="0" w:type="auto"/>
            <w:tcBorders>
              <w:top w:val="nil"/>
              <w:left w:val="nil"/>
              <w:bottom w:val="nil"/>
              <w:right w:val="nil"/>
            </w:tcBorders>
            <w:shd w:val="clear" w:color="auto" w:fill="auto"/>
            <w:noWrap/>
            <w:vAlign w:val="bottom"/>
            <w:hideMark/>
          </w:tcPr>
          <w:p w14:paraId="25A63E74"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22.37</w:t>
            </w:r>
          </w:p>
        </w:tc>
        <w:tc>
          <w:tcPr>
            <w:tcW w:w="0" w:type="auto"/>
            <w:tcBorders>
              <w:top w:val="nil"/>
              <w:left w:val="nil"/>
              <w:bottom w:val="nil"/>
              <w:right w:val="nil"/>
            </w:tcBorders>
            <w:shd w:val="clear" w:color="auto" w:fill="auto"/>
            <w:noWrap/>
            <w:vAlign w:val="bottom"/>
            <w:hideMark/>
          </w:tcPr>
          <w:p w14:paraId="75B6A89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w:t>
            </w:r>
          </w:p>
        </w:tc>
        <w:tc>
          <w:tcPr>
            <w:tcW w:w="1445" w:type="dxa"/>
            <w:tcBorders>
              <w:top w:val="nil"/>
              <w:left w:val="nil"/>
              <w:bottom w:val="nil"/>
              <w:right w:val="nil"/>
            </w:tcBorders>
            <w:shd w:val="clear" w:color="auto" w:fill="auto"/>
            <w:noWrap/>
            <w:vAlign w:val="bottom"/>
            <w:hideMark/>
          </w:tcPr>
          <w:p w14:paraId="7B6E17B2"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22.37</w:t>
            </w:r>
          </w:p>
        </w:tc>
      </w:tr>
      <w:tr w:rsidR="004969AF" w:rsidRPr="00E71565" w14:paraId="34E8F69C" w14:textId="77777777" w:rsidTr="007D4147">
        <w:trPr>
          <w:trHeight w:val="315"/>
          <w:jc w:val="center"/>
        </w:trPr>
        <w:tc>
          <w:tcPr>
            <w:tcW w:w="0" w:type="auto"/>
            <w:tcBorders>
              <w:top w:val="single" w:sz="4" w:space="0" w:color="auto"/>
              <w:left w:val="nil"/>
              <w:bottom w:val="single" w:sz="4" w:space="0" w:color="auto"/>
              <w:right w:val="nil"/>
            </w:tcBorders>
            <w:shd w:val="clear" w:color="auto" w:fill="auto"/>
            <w:noWrap/>
            <w:vAlign w:val="bottom"/>
            <w:hideMark/>
          </w:tcPr>
          <w:p w14:paraId="3220C8B6"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2EC0C14A"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64</w:t>
            </w:r>
          </w:p>
        </w:tc>
        <w:tc>
          <w:tcPr>
            <w:tcW w:w="0" w:type="auto"/>
            <w:tcBorders>
              <w:top w:val="single" w:sz="4" w:space="0" w:color="auto"/>
              <w:left w:val="nil"/>
              <w:bottom w:val="single" w:sz="4" w:space="0" w:color="auto"/>
              <w:right w:val="nil"/>
            </w:tcBorders>
            <w:shd w:val="clear" w:color="auto" w:fill="auto"/>
            <w:noWrap/>
            <w:vAlign w:val="bottom"/>
            <w:hideMark/>
          </w:tcPr>
          <w:p w14:paraId="33C3FF30"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0" w:type="auto"/>
            <w:tcBorders>
              <w:top w:val="single" w:sz="4" w:space="0" w:color="auto"/>
              <w:left w:val="nil"/>
              <w:bottom w:val="single" w:sz="4" w:space="0" w:color="auto"/>
              <w:right w:val="nil"/>
            </w:tcBorders>
            <w:shd w:val="clear" w:color="auto" w:fill="auto"/>
            <w:noWrap/>
            <w:vAlign w:val="bottom"/>
            <w:hideMark/>
          </w:tcPr>
          <w:p w14:paraId="01219CF9"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0" w:type="auto"/>
            <w:tcBorders>
              <w:top w:val="single" w:sz="4" w:space="0" w:color="auto"/>
              <w:left w:val="nil"/>
              <w:bottom w:val="single" w:sz="4" w:space="0" w:color="auto"/>
              <w:right w:val="nil"/>
            </w:tcBorders>
            <w:shd w:val="clear" w:color="auto" w:fill="auto"/>
            <w:noWrap/>
            <w:vAlign w:val="bottom"/>
            <w:hideMark/>
          </w:tcPr>
          <w:p w14:paraId="018FA958"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0" w:type="auto"/>
            <w:tcBorders>
              <w:top w:val="single" w:sz="4" w:space="0" w:color="auto"/>
              <w:left w:val="nil"/>
              <w:bottom w:val="single" w:sz="4" w:space="0" w:color="auto"/>
              <w:right w:val="nil"/>
            </w:tcBorders>
            <w:shd w:val="clear" w:color="auto" w:fill="auto"/>
            <w:noWrap/>
            <w:vAlign w:val="bottom"/>
            <w:hideMark/>
          </w:tcPr>
          <w:p w14:paraId="7F6040E0"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1445" w:type="dxa"/>
            <w:tcBorders>
              <w:top w:val="single" w:sz="4" w:space="0" w:color="auto"/>
              <w:left w:val="nil"/>
              <w:bottom w:val="single" w:sz="4" w:space="0" w:color="auto"/>
              <w:right w:val="nil"/>
            </w:tcBorders>
            <w:shd w:val="clear" w:color="auto" w:fill="auto"/>
            <w:noWrap/>
            <w:vAlign w:val="bottom"/>
            <w:hideMark/>
          </w:tcPr>
          <w:p w14:paraId="2AA5C7A6"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r>
    </w:tbl>
    <w:p w14:paraId="68498733" w14:textId="77777777" w:rsidR="007A19BE" w:rsidRPr="00E71565" w:rsidRDefault="007A19BE" w:rsidP="004969AF">
      <w:pPr>
        <w:spacing w:before="120" w:after="120" w:line="360" w:lineRule="auto"/>
        <w:jc w:val="both"/>
        <w:rPr>
          <w:rFonts w:ascii="Times New Roman" w:hAnsi="Times New Roman" w:cs="Times New Roman"/>
          <w:sz w:val="24"/>
          <w:szCs w:val="24"/>
        </w:rPr>
      </w:pPr>
    </w:p>
    <w:p w14:paraId="67D4A922" w14:textId="77777777" w:rsidR="004969AF" w:rsidRDefault="004969AF" w:rsidP="007A19BE">
      <w:pPr>
        <w:spacing w:before="120"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 xml:space="preserve">Age-Bracket analysis above in Table 2, shows that 44.60% of the respondents are between the age’s brackets of 31-40years, 41years and above took 26.89% of the respondents, 18.28% of the respondents are within the age bracket of 21-30years while the remaining 10.23% of the respondents falls under the age bracket of 20years downwards. Therefore, the majority of the respondents were matured and can give adequate information that form the basis to which the analysis of the research work were carried out. </w:t>
      </w:r>
    </w:p>
    <w:p w14:paraId="68B3923C" w14:textId="77777777" w:rsidR="00AB6A9F" w:rsidRDefault="00AB6A9F" w:rsidP="007A19BE">
      <w:pPr>
        <w:spacing w:before="120" w:after="120" w:line="240" w:lineRule="auto"/>
        <w:jc w:val="both"/>
        <w:rPr>
          <w:rFonts w:ascii="Times New Roman" w:hAnsi="Times New Roman" w:cs="Times New Roman"/>
          <w:sz w:val="24"/>
          <w:szCs w:val="24"/>
        </w:rPr>
      </w:pPr>
    </w:p>
    <w:p w14:paraId="4BFDEB14" w14:textId="77777777" w:rsidR="00AB6A9F" w:rsidRPr="00E71565" w:rsidRDefault="00AB6A9F" w:rsidP="007A19BE">
      <w:pPr>
        <w:spacing w:before="120" w:after="120" w:line="240" w:lineRule="auto"/>
        <w:jc w:val="both"/>
        <w:rPr>
          <w:rFonts w:ascii="Times New Roman" w:hAnsi="Times New Roman" w:cs="Times New Roman"/>
          <w:sz w:val="24"/>
          <w:szCs w:val="24"/>
        </w:rPr>
      </w:pPr>
    </w:p>
    <w:tbl>
      <w:tblPr>
        <w:tblW w:w="9826" w:type="dxa"/>
        <w:tblLook w:val="04A0" w:firstRow="1" w:lastRow="0" w:firstColumn="1" w:lastColumn="0" w:noHBand="0" w:noVBand="1"/>
      </w:tblPr>
      <w:tblGrid>
        <w:gridCol w:w="2256"/>
        <w:gridCol w:w="1310"/>
        <w:gridCol w:w="1382"/>
        <w:gridCol w:w="1310"/>
        <w:gridCol w:w="1382"/>
        <w:gridCol w:w="1310"/>
        <w:gridCol w:w="876"/>
      </w:tblGrid>
      <w:tr w:rsidR="004969AF" w:rsidRPr="00E71565" w14:paraId="3CE02F52" w14:textId="77777777" w:rsidTr="007D4147">
        <w:trPr>
          <w:trHeight w:val="315"/>
        </w:trPr>
        <w:tc>
          <w:tcPr>
            <w:tcW w:w="9826" w:type="dxa"/>
            <w:gridSpan w:val="7"/>
            <w:tcBorders>
              <w:top w:val="nil"/>
              <w:left w:val="nil"/>
              <w:bottom w:val="nil"/>
              <w:right w:val="nil"/>
            </w:tcBorders>
            <w:shd w:val="clear" w:color="auto" w:fill="auto"/>
            <w:noWrap/>
            <w:vAlign w:val="bottom"/>
            <w:hideMark/>
          </w:tcPr>
          <w:p w14:paraId="646975FC"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sz w:val="24"/>
                <w:szCs w:val="24"/>
                <w:lang w:val="en-GB" w:eastAsia="en-GB"/>
              </w:rPr>
              <w:lastRenderedPageBreak/>
              <w:t xml:space="preserve">Table 3: </w:t>
            </w:r>
            <w:r w:rsidRPr="00E71565">
              <w:rPr>
                <w:rFonts w:ascii="Times New Roman" w:eastAsia="Times New Roman" w:hAnsi="Times New Roman" w:cs="Times New Roman"/>
                <w:b/>
                <w:bCs/>
                <w:sz w:val="24"/>
                <w:szCs w:val="24"/>
              </w:rPr>
              <w:t xml:space="preserve">Occupation of the respondents </w:t>
            </w:r>
          </w:p>
        </w:tc>
      </w:tr>
      <w:tr w:rsidR="004969AF" w:rsidRPr="00E71565" w14:paraId="72004567" w14:textId="77777777" w:rsidTr="007D4147">
        <w:trPr>
          <w:trHeight w:val="315"/>
        </w:trPr>
        <w:tc>
          <w:tcPr>
            <w:tcW w:w="2256" w:type="dxa"/>
            <w:vMerge w:val="restart"/>
            <w:tcBorders>
              <w:top w:val="single" w:sz="4" w:space="0" w:color="auto"/>
              <w:left w:val="nil"/>
              <w:bottom w:val="single" w:sz="4" w:space="0" w:color="000000"/>
              <w:right w:val="nil"/>
            </w:tcBorders>
            <w:shd w:val="clear" w:color="auto" w:fill="auto"/>
            <w:noWrap/>
            <w:vAlign w:val="bottom"/>
            <w:hideMark/>
          </w:tcPr>
          <w:p w14:paraId="7F843068"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Responses</w:t>
            </w:r>
          </w:p>
        </w:tc>
        <w:tc>
          <w:tcPr>
            <w:tcW w:w="2692" w:type="dxa"/>
            <w:gridSpan w:val="2"/>
            <w:tcBorders>
              <w:top w:val="single" w:sz="4" w:space="0" w:color="auto"/>
              <w:left w:val="nil"/>
              <w:bottom w:val="single" w:sz="4" w:space="0" w:color="auto"/>
              <w:right w:val="nil"/>
            </w:tcBorders>
            <w:shd w:val="clear" w:color="auto" w:fill="auto"/>
            <w:noWrap/>
            <w:vAlign w:val="bottom"/>
            <w:hideMark/>
          </w:tcPr>
          <w:p w14:paraId="0D41FAE6"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Fadikpe</w:t>
            </w:r>
            <w:proofErr w:type="spellEnd"/>
          </w:p>
        </w:tc>
        <w:tc>
          <w:tcPr>
            <w:tcW w:w="2692" w:type="dxa"/>
            <w:gridSpan w:val="2"/>
            <w:tcBorders>
              <w:top w:val="single" w:sz="4" w:space="0" w:color="auto"/>
              <w:left w:val="nil"/>
              <w:bottom w:val="single" w:sz="4" w:space="0" w:color="auto"/>
              <w:right w:val="nil"/>
            </w:tcBorders>
            <w:shd w:val="clear" w:color="auto" w:fill="auto"/>
            <w:noWrap/>
            <w:vAlign w:val="bottom"/>
            <w:hideMark/>
          </w:tcPr>
          <w:p w14:paraId="3742F96F"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Tundun</w:t>
            </w:r>
            <w:proofErr w:type="spellEnd"/>
            <w:r w:rsidRPr="00E71565">
              <w:rPr>
                <w:rFonts w:ascii="Times New Roman" w:eastAsia="Times New Roman" w:hAnsi="Times New Roman" w:cs="Times New Roman"/>
                <w:b/>
                <w:bCs/>
                <w:sz w:val="24"/>
                <w:szCs w:val="24"/>
              </w:rPr>
              <w:t xml:space="preserve"> Fulani</w:t>
            </w:r>
          </w:p>
        </w:tc>
        <w:tc>
          <w:tcPr>
            <w:tcW w:w="2186" w:type="dxa"/>
            <w:gridSpan w:val="2"/>
            <w:tcBorders>
              <w:top w:val="single" w:sz="4" w:space="0" w:color="auto"/>
              <w:left w:val="nil"/>
              <w:bottom w:val="single" w:sz="4" w:space="0" w:color="auto"/>
              <w:right w:val="nil"/>
            </w:tcBorders>
            <w:shd w:val="clear" w:color="auto" w:fill="auto"/>
            <w:noWrap/>
            <w:vAlign w:val="bottom"/>
            <w:hideMark/>
          </w:tcPr>
          <w:p w14:paraId="1F67F3CA"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Bosso</w:t>
            </w:r>
            <w:proofErr w:type="spellEnd"/>
            <w:r w:rsidRPr="00E71565">
              <w:rPr>
                <w:rFonts w:ascii="Times New Roman" w:eastAsia="Times New Roman" w:hAnsi="Times New Roman" w:cs="Times New Roman"/>
                <w:b/>
                <w:bCs/>
                <w:sz w:val="24"/>
                <w:szCs w:val="24"/>
              </w:rPr>
              <w:t xml:space="preserve"> Estate</w:t>
            </w:r>
          </w:p>
        </w:tc>
      </w:tr>
      <w:tr w:rsidR="004969AF" w:rsidRPr="00E71565" w14:paraId="386AFAD3" w14:textId="77777777" w:rsidTr="007D4147">
        <w:trPr>
          <w:trHeight w:val="315"/>
        </w:trPr>
        <w:tc>
          <w:tcPr>
            <w:tcW w:w="2256" w:type="dxa"/>
            <w:vMerge/>
            <w:tcBorders>
              <w:top w:val="single" w:sz="4" w:space="0" w:color="auto"/>
              <w:left w:val="nil"/>
              <w:bottom w:val="single" w:sz="4" w:space="0" w:color="000000"/>
              <w:right w:val="nil"/>
            </w:tcBorders>
            <w:vAlign w:val="center"/>
            <w:hideMark/>
          </w:tcPr>
          <w:p w14:paraId="0F736307"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p>
        </w:tc>
        <w:tc>
          <w:tcPr>
            <w:tcW w:w="1310" w:type="dxa"/>
            <w:tcBorders>
              <w:top w:val="nil"/>
              <w:left w:val="nil"/>
              <w:bottom w:val="single" w:sz="4" w:space="0" w:color="auto"/>
              <w:right w:val="nil"/>
            </w:tcBorders>
            <w:shd w:val="clear" w:color="auto" w:fill="auto"/>
            <w:noWrap/>
            <w:vAlign w:val="bottom"/>
            <w:hideMark/>
          </w:tcPr>
          <w:p w14:paraId="58AAB884"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382" w:type="dxa"/>
            <w:tcBorders>
              <w:top w:val="nil"/>
              <w:left w:val="nil"/>
              <w:bottom w:val="single" w:sz="4" w:space="0" w:color="auto"/>
              <w:right w:val="nil"/>
            </w:tcBorders>
            <w:shd w:val="clear" w:color="auto" w:fill="auto"/>
            <w:noWrap/>
            <w:vAlign w:val="bottom"/>
            <w:hideMark/>
          </w:tcPr>
          <w:p w14:paraId="287589E7"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4038369D"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382" w:type="dxa"/>
            <w:tcBorders>
              <w:top w:val="nil"/>
              <w:left w:val="nil"/>
              <w:bottom w:val="single" w:sz="4" w:space="0" w:color="auto"/>
              <w:right w:val="nil"/>
            </w:tcBorders>
            <w:shd w:val="clear" w:color="auto" w:fill="auto"/>
            <w:noWrap/>
            <w:vAlign w:val="bottom"/>
            <w:hideMark/>
          </w:tcPr>
          <w:p w14:paraId="4793FAC1"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1307902A"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876" w:type="dxa"/>
            <w:tcBorders>
              <w:top w:val="nil"/>
              <w:left w:val="nil"/>
              <w:bottom w:val="single" w:sz="4" w:space="0" w:color="auto"/>
              <w:right w:val="nil"/>
            </w:tcBorders>
            <w:shd w:val="clear" w:color="auto" w:fill="auto"/>
            <w:noWrap/>
            <w:vAlign w:val="bottom"/>
            <w:hideMark/>
          </w:tcPr>
          <w:p w14:paraId="24324AC4"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r>
      <w:tr w:rsidR="004969AF" w:rsidRPr="00E71565" w14:paraId="6067542E" w14:textId="77777777" w:rsidTr="007D4147">
        <w:trPr>
          <w:trHeight w:val="315"/>
        </w:trPr>
        <w:tc>
          <w:tcPr>
            <w:tcW w:w="2256" w:type="dxa"/>
            <w:tcBorders>
              <w:top w:val="nil"/>
              <w:left w:val="nil"/>
              <w:bottom w:val="nil"/>
              <w:right w:val="nil"/>
            </w:tcBorders>
            <w:shd w:val="clear" w:color="auto" w:fill="auto"/>
            <w:noWrap/>
            <w:vAlign w:val="bottom"/>
            <w:hideMark/>
          </w:tcPr>
          <w:p w14:paraId="7B253E4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Civil Servant</w:t>
            </w:r>
          </w:p>
        </w:tc>
        <w:tc>
          <w:tcPr>
            <w:tcW w:w="1310" w:type="dxa"/>
            <w:tcBorders>
              <w:top w:val="nil"/>
              <w:left w:val="nil"/>
              <w:bottom w:val="nil"/>
              <w:right w:val="nil"/>
            </w:tcBorders>
            <w:shd w:val="clear" w:color="auto" w:fill="auto"/>
            <w:noWrap/>
            <w:vAlign w:val="bottom"/>
            <w:hideMark/>
          </w:tcPr>
          <w:p w14:paraId="5ED30A8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26</w:t>
            </w:r>
          </w:p>
        </w:tc>
        <w:tc>
          <w:tcPr>
            <w:tcW w:w="1382" w:type="dxa"/>
            <w:tcBorders>
              <w:top w:val="nil"/>
              <w:left w:val="nil"/>
              <w:bottom w:val="nil"/>
              <w:right w:val="nil"/>
            </w:tcBorders>
            <w:shd w:val="clear" w:color="auto" w:fill="auto"/>
            <w:noWrap/>
            <w:vAlign w:val="bottom"/>
            <w:hideMark/>
          </w:tcPr>
          <w:p w14:paraId="6147A3B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40.63</w:t>
            </w:r>
          </w:p>
        </w:tc>
        <w:tc>
          <w:tcPr>
            <w:tcW w:w="1310" w:type="dxa"/>
            <w:tcBorders>
              <w:top w:val="nil"/>
              <w:left w:val="nil"/>
              <w:bottom w:val="nil"/>
              <w:right w:val="nil"/>
            </w:tcBorders>
            <w:shd w:val="clear" w:color="auto" w:fill="auto"/>
            <w:noWrap/>
            <w:vAlign w:val="bottom"/>
            <w:hideMark/>
          </w:tcPr>
          <w:p w14:paraId="145FEEE2"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30</w:t>
            </w:r>
          </w:p>
        </w:tc>
        <w:tc>
          <w:tcPr>
            <w:tcW w:w="1382" w:type="dxa"/>
            <w:tcBorders>
              <w:top w:val="nil"/>
              <w:left w:val="nil"/>
              <w:bottom w:val="nil"/>
              <w:right w:val="nil"/>
            </w:tcBorders>
            <w:shd w:val="clear" w:color="auto" w:fill="auto"/>
            <w:noWrap/>
            <w:vAlign w:val="bottom"/>
            <w:hideMark/>
          </w:tcPr>
          <w:p w14:paraId="3F5C1A4F"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39.47</w:t>
            </w:r>
          </w:p>
        </w:tc>
        <w:tc>
          <w:tcPr>
            <w:tcW w:w="1310" w:type="dxa"/>
            <w:tcBorders>
              <w:top w:val="nil"/>
              <w:left w:val="nil"/>
              <w:bottom w:val="nil"/>
              <w:right w:val="nil"/>
            </w:tcBorders>
            <w:shd w:val="clear" w:color="auto" w:fill="auto"/>
            <w:noWrap/>
            <w:vAlign w:val="bottom"/>
            <w:hideMark/>
          </w:tcPr>
          <w:p w14:paraId="4B6A2A1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36</w:t>
            </w:r>
          </w:p>
        </w:tc>
        <w:tc>
          <w:tcPr>
            <w:tcW w:w="876" w:type="dxa"/>
            <w:tcBorders>
              <w:top w:val="nil"/>
              <w:left w:val="nil"/>
              <w:bottom w:val="nil"/>
              <w:right w:val="nil"/>
            </w:tcBorders>
            <w:shd w:val="clear" w:color="auto" w:fill="auto"/>
            <w:noWrap/>
            <w:vAlign w:val="bottom"/>
            <w:hideMark/>
          </w:tcPr>
          <w:p w14:paraId="42DE2CBE"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47.37</w:t>
            </w:r>
          </w:p>
        </w:tc>
      </w:tr>
      <w:tr w:rsidR="004969AF" w:rsidRPr="00E71565" w14:paraId="2926910F" w14:textId="77777777" w:rsidTr="007D4147">
        <w:trPr>
          <w:trHeight w:val="315"/>
        </w:trPr>
        <w:tc>
          <w:tcPr>
            <w:tcW w:w="2256" w:type="dxa"/>
            <w:tcBorders>
              <w:top w:val="nil"/>
              <w:left w:val="nil"/>
              <w:bottom w:val="nil"/>
              <w:right w:val="nil"/>
            </w:tcBorders>
            <w:shd w:val="clear" w:color="auto" w:fill="auto"/>
            <w:noWrap/>
            <w:vAlign w:val="bottom"/>
            <w:hideMark/>
          </w:tcPr>
          <w:p w14:paraId="77155CC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Self-Employed</w:t>
            </w:r>
          </w:p>
        </w:tc>
        <w:tc>
          <w:tcPr>
            <w:tcW w:w="1310" w:type="dxa"/>
            <w:tcBorders>
              <w:top w:val="nil"/>
              <w:left w:val="nil"/>
              <w:bottom w:val="nil"/>
              <w:right w:val="nil"/>
            </w:tcBorders>
            <w:shd w:val="clear" w:color="auto" w:fill="auto"/>
            <w:noWrap/>
            <w:vAlign w:val="bottom"/>
            <w:hideMark/>
          </w:tcPr>
          <w:p w14:paraId="0994FFA2"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w:t>
            </w:r>
          </w:p>
        </w:tc>
        <w:tc>
          <w:tcPr>
            <w:tcW w:w="1382" w:type="dxa"/>
            <w:tcBorders>
              <w:top w:val="nil"/>
              <w:left w:val="nil"/>
              <w:bottom w:val="nil"/>
              <w:right w:val="nil"/>
            </w:tcBorders>
            <w:shd w:val="clear" w:color="auto" w:fill="auto"/>
            <w:noWrap/>
            <w:vAlign w:val="bottom"/>
            <w:hideMark/>
          </w:tcPr>
          <w:p w14:paraId="341FAC50"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21.88</w:t>
            </w:r>
          </w:p>
        </w:tc>
        <w:tc>
          <w:tcPr>
            <w:tcW w:w="1310" w:type="dxa"/>
            <w:tcBorders>
              <w:top w:val="nil"/>
              <w:left w:val="nil"/>
              <w:bottom w:val="nil"/>
              <w:right w:val="nil"/>
            </w:tcBorders>
            <w:shd w:val="clear" w:color="auto" w:fill="auto"/>
            <w:noWrap/>
            <w:vAlign w:val="bottom"/>
            <w:hideMark/>
          </w:tcPr>
          <w:p w14:paraId="3E22575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w:t>
            </w:r>
          </w:p>
        </w:tc>
        <w:tc>
          <w:tcPr>
            <w:tcW w:w="1382" w:type="dxa"/>
            <w:tcBorders>
              <w:top w:val="nil"/>
              <w:left w:val="nil"/>
              <w:bottom w:val="nil"/>
              <w:right w:val="nil"/>
            </w:tcBorders>
            <w:shd w:val="clear" w:color="auto" w:fill="auto"/>
            <w:noWrap/>
            <w:vAlign w:val="bottom"/>
            <w:hideMark/>
          </w:tcPr>
          <w:p w14:paraId="467CD1F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22.37</w:t>
            </w:r>
          </w:p>
        </w:tc>
        <w:tc>
          <w:tcPr>
            <w:tcW w:w="1310" w:type="dxa"/>
            <w:tcBorders>
              <w:top w:val="nil"/>
              <w:left w:val="nil"/>
              <w:bottom w:val="nil"/>
              <w:right w:val="nil"/>
            </w:tcBorders>
            <w:shd w:val="clear" w:color="auto" w:fill="auto"/>
            <w:noWrap/>
            <w:vAlign w:val="bottom"/>
            <w:hideMark/>
          </w:tcPr>
          <w:p w14:paraId="3D8F96C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15</w:t>
            </w:r>
          </w:p>
        </w:tc>
        <w:tc>
          <w:tcPr>
            <w:tcW w:w="876" w:type="dxa"/>
            <w:tcBorders>
              <w:top w:val="nil"/>
              <w:left w:val="nil"/>
              <w:bottom w:val="nil"/>
              <w:right w:val="nil"/>
            </w:tcBorders>
            <w:shd w:val="clear" w:color="auto" w:fill="auto"/>
            <w:noWrap/>
            <w:vAlign w:val="bottom"/>
            <w:hideMark/>
          </w:tcPr>
          <w:p w14:paraId="4898CE1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19.74</w:t>
            </w:r>
          </w:p>
        </w:tc>
      </w:tr>
      <w:tr w:rsidR="004969AF" w:rsidRPr="00E71565" w14:paraId="6EFCB779" w14:textId="77777777" w:rsidTr="007D4147">
        <w:trPr>
          <w:trHeight w:val="315"/>
        </w:trPr>
        <w:tc>
          <w:tcPr>
            <w:tcW w:w="2256" w:type="dxa"/>
            <w:tcBorders>
              <w:top w:val="nil"/>
              <w:left w:val="nil"/>
              <w:bottom w:val="nil"/>
              <w:right w:val="nil"/>
            </w:tcBorders>
            <w:shd w:val="clear" w:color="auto" w:fill="auto"/>
            <w:noWrap/>
            <w:vAlign w:val="bottom"/>
            <w:hideMark/>
          </w:tcPr>
          <w:p w14:paraId="4797C457"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Student/Unemployed</w:t>
            </w:r>
          </w:p>
        </w:tc>
        <w:tc>
          <w:tcPr>
            <w:tcW w:w="1310" w:type="dxa"/>
            <w:tcBorders>
              <w:top w:val="nil"/>
              <w:left w:val="nil"/>
              <w:bottom w:val="nil"/>
              <w:right w:val="nil"/>
            </w:tcBorders>
            <w:shd w:val="clear" w:color="auto" w:fill="auto"/>
            <w:noWrap/>
            <w:vAlign w:val="bottom"/>
            <w:hideMark/>
          </w:tcPr>
          <w:p w14:paraId="245419EB"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w:t>
            </w:r>
          </w:p>
        </w:tc>
        <w:tc>
          <w:tcPr>
            <w:tcW w:w="1382" w:type="dxa"/>
            <w:tcBorders>
              <w:top w:val="nil"/>
              <w:left w:val="nil"/>
              <w:bottom w:val="nil"/>
              <w:right w:val="nil"/>
            </w:tcBorders>
            <w:shd w:val="clear" w:color="auto" w:fill="auto"/>
            <w:noWrap/>
            <w:vAlign w:val="bottom"/>
            <w:hideMark/>
          </w:tcPr>
          <w:p w14:paraId="49731DD1"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3.13</w:t>
            </w:r>
          </w:p>
        </w:tc>
        <w:tc>
          <w:tcPr>
            <w:tcW w:w="1310" w:type="dxa"/>
            <w:tcBorders>
              <w:top w:val="nil"/>
              <w:left w:val="nil"/>
              <w:bottom w:val="nil"/>
              <w:right w:val="nil"/>
            </w:tcBorders>
            <w:shd w:val="clear" w:color="auto" w:fill="auto"/>
            <w:noWrap/>
            <w:vAlign w:val="bottom"/>
            <w:hideMark/>
          </w:tcPr>
          <w:p w14:paraId="604BC5C6"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w:t>
            </w:r>
          </w:p>
        </w:tc>
        <w:tc>
          <w:tcPr>
            <w:tcW w:w="1382" w:type="dxa"/>
            <w:tcBorders>
              <w:top w:val="nil"/>
              <w:left w:val="nil"/>
              <w:bottom w:val="nil"/>
              <w:right w:val="nil"/>
            </w:tcBorders>
            <w:shd w:val="clear" w:color="auto" w:fill="auto"/>
            <w:noWrap/>
            <w:vAlign w:val="bottom"/>
            <w:hideMark/>
          </w:tcPr>
          <w:p w14:paraId="55EF1784"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9.21</w:t>
            </w:r>
          </w:p>
        </w:tc>
        <w:tc>
          <w:tcPr>
            <w:tcW w:w="1310" w:type="dxa"/>
            <w:tcBorders>
              <w:top w:val="nil"/>
              <w:left w:val="nil"/>
              <w:bottom w:val="nil"/>
              <w:right w:val="nil"/>
            </w:tcBorders>
            <w:shd w:val="clear" w:color="auto" w:fill="auto"/>
            <w:noWrap/>
            <w:vAlign w:val="bottom"/>
            <w:hideMark/>
          </w:tcPr>
          <w:p w14:paraId="506613F2"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8</w:t>
            </w:r>
          </w:p>
        </w:tc>
        <w:tc>
          <w:tcPr>
            <w:tcW w:w="876" w:type="dxa"/>
            <w:tcBorders>
              <w:top w:val="nil"/>
              <w:left w:val="nil"/>
              <w:bottom w:val="nil"/>
              <w:right w:val="nil"/>
            </w:tcBorders>
            <w:shd w:val="clear" w:color="auto" w:fill="auto"/>
            <w:noWrap/>
            <w:vAlign w:val="bottom"/>
            <w:hideMark/>
          </w:tcPr>
          <w:p w14:paraId="77180174"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10.53</w:t>
            </w:r>
          </w:p>
        </w:tc>
      </w:tr>
      <w:tr w:rsidR="004969AF" w:rsidRPr="00E71565" w14:paraId="074422FE" w14:textId="77777777" w:rsidTr="007D4147">
        <w:trPr>
          <w:trHeight w:val="315"/>
        </w:trPr>
        <w:tc>
          <w:tcPr>
            <w:tcW w:w="2256" w:type="dxa"/>
            <w:tcBorders>
              <w:top w:val="nil"/>
              <w:left w:val="nil"/>
              <w:bottom w:val="nil"/>
              <w:right w:val="nil"/>
            </w:tcBorders>
            <w:shd w:val="clear" w:color="auto" w:fill="auto"/>
            <w:noWrap/>
            <w:vAlign w:val="bottom"/>
            <w:hideMark/>
          </w:tcPr>
          <w:p w14:paraId="7017925E"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Artisan</w:t>
            </w:r>
          </w:p>
        </w:tc>
        <w:tc>
          <w:tcPr>
            <w:tcW w:w="1310" w:type="dxa"/>
            <w:tcBorders>
              <w:top w:val="nil"/>
              <w:left w:val="nil"/>
              <w:bottom w:val="nil"/>
              <w:right w:val="nil"/>
            </w:tcBorders>
            <w:shd w:val="clear" w:color="auto" w:fill="auto"/>
            <w:noWrap/>
            <w:vAlign w:val="bottom"/>
            <w:hideMark/>
          </w:tcPr>
          <w:p w14:paraId="5357124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13</w:t>
            </w:r>
          </w:p>
        </w:tc>
        <w:tc>
          <w:tcPr>
            <w:tcW w:w="1382" w:type="dxa"/>
            <w:tcBorders>
              <w:top w:val="nil"/>
              <w:left w:val="nil"/>
              <w:bottom w:val="nil"/>
              <w:right w:val="nil"/>
            </w:tcBorders>
            <w:shd w:val="clear" w:color="auto" w:fill="auto"/>
            <w:noWrap/>
            <w:vAlign w:val="bottom"/>
            <w:hideMark/>
          </w:tcPr>
          <w:p w14:paraId="4E6486C1"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20.31</w:t>
            </w:r>
          </w:p>
        </w:tc>
        <w:tc>
          <w:tcPr>
            <w:tcW w:w="1310" w:type="dxa"/>
            <w:tcBorders>
              <w:top w:val="nil"/>
              <w:left w:val="nil"/>
              <w:bottom w:val="nil"/>
              <w:right w:val="nil"/>
            </w:tcBorders>
            <w:shd w:val="clear" w:color="auto" w:fill="auto"/>
            <w:noWrap/>
            <w:vAlign w:val="bottom"/>
            <w:hideMark/>
          </w:tcPr>
          <w:p w14:paraId="019281F8"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w:t>
            </w:r>
          </w:p>
        </w:tc>
        <w:tc>
          <w:tcPr>
            <w:tcW w:w="1382" w:type="dxa"/>
            <w:tcBorders>
              <w:top w:val="nil"/>
              <w:left w:val="nil"/>
              <w:bottom w:val="nil"/>
              <w:right w:val="nil"/>
            </w:tcBorders>
            <w:shd w:val="clear" w:color="auto" w:fill="auto"/>
            <w:noWrap/>
            <w:vAlign w:val="bottom"/>
            <w:hideMark/>
          </w:tcPr>
          <w:p w14:paraId="6C90B120"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3.95</w:t>
            </w:r>
          </w:p>
        </w:tc>
        <w:tc>
          <w:tcPr>
            <w:tcW w:w="1310" w:type="dxa"/>
            <w:tcBorders>
              <w:top w:val="nil"/>
              <w:left w:val="nil"/>
              <w:bottom w:val="nil"/>
              <w:right w:val="nil"/>
            </w:tcBorders>
            <w:shd w:val="clear" w:color="auto" w:fill="auto"/>
            <w:noWrap/>
            <w:vAlign w:val="bottom"/>
            <w:hideMark/>
          </w:tcPr>
          <w:p w14:paraId="05E8150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w:t>
            </w:r>
          </w:p>
        </w:tc>
        <w:tc>
          <w:tcPr>
            <w:tcW w:w="876" w:type="dxa"/>
            <w:tcBorders>
              <w:top w:val="nil"/>
              <w:left w:val="nil"/>
              <w:bottom w:val="nil"/>
              <w:right w:val="nil"/>
            </w:tcBorders>
            <w:shd w:val="clear" w:color="auto" w:fill="auto"/>
            <w:noWrap/>
            <w:vAlign w:val="bottom"/>
            <w:hideMark/>
          </w:tcPr>
          <w:p w14:paraId="337AC0D3"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3.95</w:t>
            </w:r>
          </w:p>
        </w:tc>
      </w:tr>
      <w:tr w:rsidR="004969AF" w:rsidRPr="00E71565" w14:paraId="2544FBB1" w14:textId="77777777" w:rsidTr="007D4147">
        <w:trPr>
          <w:trHeight w:val="315"/>
        </w:trPr>
        <w:tc>
          <w:tcPr>
            <w:tcW w:w="2256" w:type="dxa"/>
            <w:tcBorders>
              <w:top w:val="nil"/>
              <w:left w:val="nil"/>
              <w:bottom w:val="nil"/>
              <w:right w:val="nil"/>
            </w:tcBorders>
            <w:shd w:val="clear" w:color="auto" w:fill="auto"/>
            <w:noWrap/>
            <w:vAlign w:val="bottom"/>
            <w:hideMark/>
          </w:tcPr>
          <w:p w14:paraId="5BFF108F"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Businessman</w:t>
            </w:r>
          </w:p>
        </w:tc>
        <w:tc>
          <w:tcPr>
            <w:tcW w:w="1310" w:type="dxa"/>
            <w:tcBorders>
              <w:top w:val="nil"/>
              <w:left w:val="nil"/>
              <w:bottom w:val="nil"/>
              <w:right w:val="nil"/>
            </w:tcBorders>
            <w:shd w:val="clear" w:color="auto" w:fill="auto"/>
            <w:noWrap/>
            <w:vAlign w:val="bottom"/>
            <w:hideMark/>
          </w:tcPr>
          <w:p w14:paraId="632B372E"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9</w:t>
            </w:r>
          </w:p>
        </w:tc>
        <w:tc>
          <w:tcPr>
            <w:tcW w:w="1382" w:type="dxa"/>
            <w:tcBorders>
              <w:top w:val="nil"/>
              <w:left w:val="nil"/>
              <w:bottom w:val="nil"/>
              <w:right w:val="nil"/>
            </w:tcBorders>
            <w:shd w:val="clear" w:color="auto" w:fill="auto"/>
            <w:noWrap/>
            <w:vAlign w:val="bottom"/>
            <w:hideMark/>
          </w:tcPr>
          <w:p w14:paraId="0BF0DBDF"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14.06</w:t>
            </w:r>
          </w:p>
        </w:tc>
        <w:tc>
          <w:tcPr>
            <w:tcW w:w="1310" w:type="dxa"/>
            <w:tcBorders>
              <w:top w:val="nil"/>
              <w:left w:val="nil"/>
              <w:bottom w:val="single" w:sz="4" w:space="0" w:color="auto"/>
              <w:right w:val="nil"/>
            </w:tcBorders>
            <w:shd w:val="clear" w:color="auto" w:fill="auto"/>
            <w:noWrap/>
            <w:vAlign w:val="bottom"/>
            <w:hideMark/>
          </w:tcPr>
          <w:p w14:paraId="322FACAA"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w:t>
            </w:r>
          </w:p>
        </w:tc>
        <w:tc>
          <w:tcPr>
            <w:tcW w:w="1382" w:type="dxa"/>
            <w:tcBorders>
              <w:top w:val="nil"/>
              <w:left w:val="nil"/>
              <w:bottom w:val="nil"/>
              <w:right w:val="nil"/>
            </w:tcBorders>
            <w:shd w:val="clear" w:color="auto" w:fill="auto"/>
            <w:noWrap/>
            <w:vAlign w:val="bottom"/>
            <w:hideMark/>
          </w:tcPr>
          <w:p w14:paraId="69FFC781"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25.00</w:t>
            </w:r>
          </w:p>
        </w:tc>
        <w:tc>
          <w:tcPr>
            <w:tcW w:w="1310" w:type="dxa"/>
            <w:tcBorders>
              <w:top w:val="nil"/>
              <w:left w:val="nil"/>
              <w:bottom w:val="single" w:sz="4" w:space="0" w:color="auto"/>
              <w:right w:val="nil"/>
            </w:tcBorders>
            <w:shd w:val="clear" w:color="auto" w:fill="auto"/>
            <w:noWrap/>
            <w:vAlign w:val="bottom"/>
            <w:hideMark/>
          </w:tcPr>
          <w:p w14:paraId="14958039"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w:t>
            </w:r>
          </w:p>
        </w:tc>
        <w:tc>
          <w:tcPr>
            <w:tcW w:w="876" w:type="dxa"/>
            <w:tcBorders>
              <w:top w:val="nil"/>
              <w:left w:val="nil"/>
              <w:bottom w:val="nil"/>
              <w:right w:val="nil"/>
            </w:tcBorders>
            <w:shd w:val="clear" w:color="auto" w:fill="auto"/>
            <w:noWrap/>
            <w:vAlign w:val="bottom"/>
            <w:hideMark/>
          </w:tcPr>
          <w:p w14:paraId="4664D4D0" w14:textId="77777777" w:rsidR="004969AF" w:rsidRPr="00E71565" w:rsidRDefault="004969AF" w:rsidP="00733F75">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18.42</w:t>
            </w:r>
          </w:p>
        </w:tc>
      </w:tr>
      <w:tr w:rsidR="004969AF" w:rsidRPr="00E71565" w14:paraId="71CB5132" w14:textId="77777777" w:rsidTr="007D4147">
        <w:trPr>
          <w:trHeight w:val="315"/>
        </w:trPr>
        <w:tc>
          <w:tcPr>
            <w:tcW w:w="2256" w:type="dxa"/>
            <w:tcBorders>
              <w:top w:val="single" w:sz="4" w:space="0" w:color="auto"/>
              <w:left w:val="nil"/>
              <w:bottom w:val="single" w:sz="4" w:space="0" w:color="auto"/>
              <w:right w:val="nil"/>
            </w:tcBorders>
            <w:shd w:val="clear" w:color="auto" w:fill="auto"/>
            <w:noWrap/>
            <w:vAlign w:val="bottom"/>
            <w:hideMark/>
          </w:tcPr>
          <w:p w14:paraId="62787DC1"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310" w:type="dxa"/>
            <w:tcBorders>
              <w:top w:val="single" w:sz="4" w:space="0" w:color="auto"/>
              <w:left w:val="nil"/>
              <w:bottom w:val="single" w:sz="4" w:space="0" w:color="auto"/>
              <w:right w:val="nil"/>
            </w:tcBorders>
            <w:shd w:val="clear" w:color="auto" w:fill="auto"/>
            <w:noWrap/>
            <w:vAlign w:val="bottom"/>
            <w:hideMark/>
          </w:tcPr>
          <w:p w14:paraId="437D47C1"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64</w:t>
            </w:r>
          </w:p>
        </w:tc>
        <w:tc>
          <w:tcPr>
            <w:tcW w:w="1382" w:type="dxa"/>
            <w:tcBorders>
              <w:top w:val="single" w:sz="4" w:space="0" w:color="auto"/>
              <w:left w:val="nil"/>
              <w:bottom w:val="single" w:sz="4" w:space="0" w:color="auto"/>
              <w:right w:val="nil"/>
            </w:tcBorders>
            <w:shd w:val="clear" w:color="auto" w:fill="auto"/>
            <w:noWrap/>
            <w:vAlign w:val="bottom"/>
            <w:hideMark/>
          </w:tcPr>
          <w:p w14:paraId="38368D82"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nil"/>
              <w:left w:val="nil"/>
              <w:bottom w:val="single" w:sz="4" w:space="0" w:color="auto"/>
              <w:right w:val="nil"/>
            </w:tcBorders>
            <w:shd w:val="clear" w:color="auto" w:fill="auto"/>
            <w:noWrap/>
            <w:vAlign w:val="bottom"/>
            <w:hideMark/>
          </w:tcPr>
          <w:p w14:paraId="1FDF7844"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1382" w:type="dxa"/>
            <w:tcBorders>
              <w:top w:val="single" w:sz="4" w:space="0" w:color="auto"/>
              <w:left w:val="nil"/>
              <w:bottom w:val="single" w:sz="4" w:space="0" w:color="auto"/>
              <w:right w:val="nil"/>
            </w:tcBorders>
            <w:shd w:val="clear" w:color="auto" w:fill="auto"/>
            <w:noWrap/>
            <w:vAlign w:val="bottom"/>
            <w:hideMark/>
          </w:tcPr>
          <w:p w14:paraId="5B15797B"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nil"/>
              <w:left w:val="nil"/>
              <w:bottom w:val="single" w:sz="4" w:space="0" w:color="auto"/>
              <w:right w:val="nil"/>
            </w:tcBorders>
            <w:shd w:val="clear" w:color="auto" w:fill="auto"/>
            <w:noWrap/>
            <w:vAlign w:val="bottom"/>
            <w:hideMark/>
          </w:tcPr>
          <w:p w14:paraId="61E24709"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876" w:type="dxa"/>
            <w:tcBorders>
              <w:top w:val="single" w:sz="4" w:space="0" w:color="auto"/>
              <w:left w:val="nil"/>
              <w:bottom w:val="single" w:sz="4" w:space="0" w:color="auto"/>
              <w:right w:val="nil"/>
            </w:tcBorders>
            <w:shd w:val="clear" w:color="auto" w:fill="auto"/>
            <w:noWrap/>
            <w:vAlign w:val="bottom"/>
            <w:hideMark/>
          </w:tcPr>
          <w:p w14:paraId="40CC1EED" w14:textId="77777777" w:rsidR="004969AF" w:rsidRPr="00E71565" w:rsidRDefault="004969AF" w:rsidP="00733F75">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r>
    </w:tbl>
    <w:p w14:paraId="1FF6E8F9" w14:textId="77777777" w:rsidR="004969AF" w:rsidRPr="00E71565" w:rsidRDefault="004969AF" w:rsidP="004969AF">
      <w:pPr>
        <w:tabs>
          <w:tab w:val="left" w:pos="1170"/>
        </w:tabs>
        <w:spacing w:after="0" w:line="360" w:lineRule="auto"/>
        <w:jc w:val="both"/>
        <w:rPr>
          <w:rFonts w:ascii="Times New Roman" w:eastAsia="Times New Roman" w:hAnsi="Times New Roman" w:cs="Times New Roman"/>
          <w:sz w:val="24"/>
          <w:szCs w:val="24"/>
          <w:lang w:val="en-GB" w:eastAsia="en-GB"/>
        </w:rPr>
      </w:pPr>
    </w:p>
    <w:p w14:paraId="5E544B08" w14:textId="03AEF835" w:rsidR="004969AF" w:rsidRPr="00E71565" w:rsidRDefault="00E71565" w:rsidP="007A19BE">
      <w:pPr>
        <w:tabs>
          <w:tab w:val="left" w:pos="117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t>From T</w:t>
      </w:r>
      <w:r w:rsidR="004969AF" w:rsidRPr="00E71565">
        <w:rPr>
          <w:rFonts w:ascii="Times New Roman" w:eastAsia="Times New Roman" w:hAnsi="Times New Roman" w:cs="Times New Roman"/>
          <w:sz w:val="24"/>
          <w:szCs w:val="24"/>
          <w:lang w:val="en-GB" w:eastAsia="en-GB"/>
        </w:rPr>
        <w:t xml:space="preserve">able 3 above, showing the </w:t>
      </w:r>
      <w:r w:rsidR="004969AF" w:rsidRPr="00E71565">
        <w:rPr>
          <w:rFonts w:ascii="Times New Roman" w:hAnsi="Times New Roman" w:cs="Times New Roman"/>
          <w:sz w:val="24"/>
          <w:szCs w:val="24"/>
        </w:rPr>
        <w:t xml:space="preserve">occupation analysis revealed that 42.49% of the respondents are civil servant, 21.30% of the respondents are self-employed, 19.16% of the respondents claimed to be businessman, artisan took 9.40% of the respondents, while remaining 7.62% are student/unemployed. The occupation of the respondents goes a long way in explaining the level of choice made in respect to residential location or types of accommodation. </w:t>
      </w:r>
    </w:p>
    <w:tbl>
      <w:tblPr>
        <w:tblW w:w="9670" w:type="dxa"/>
        <w:tblLook w:val="04A0" w:firstRow="1" w:lastRow="0" w:firstColumn="1" w:lastColumn="0" w:noHBand="0" w:noVBand="1"/>
      </w:tblPr>
      <w:tblGrid>
        <w:gridCol w:w="2022"/>
        <w:gridCol w:w="1310"/>
        <w:gridCol w:w="1421"/>
        <w:gridCol w:w="1310"/>
        <w:gridCol w:w="1421"/>
        <w:gridCol w:w="1310"/>
        <w:gridCol w:w="876"/>
      </w:tblGrid>
      <w:tr w:rsidR="004969AF" w:rsidRPr="00E71565" w14:paraId="4917A7D7" w14:textId="77777777" w:rsidTr="007D4147">
        <w:trPr>
          <w:trHeight w:val="315"/>
        </w:trPr>
        <w:tc>
          <w:tcPr>
            <w:tcW w:w="9670" w:type="dxa"/>
            <w:gridSpan w:val="7"/>
            <w:tcBorders>
              <w:top w:val="nil"/>
              <w:left w:val="nil"/>
              <w:bottom w:val="nil"/>
              <w:right w:val="nil"/>
            </w:tcBorders>
            <w:shd w:val="clear" w:color="auto" w:fill="auto"/>
            <w:noWrap/>
            <w:vAlign w:val="bottom"/>
            <w:hideMark/>
          </w:tcPr>
          <w:p w14:paraId="62CF630C"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sz w:val="24"/>
                <w:szCs w:val="24"/>
                <w:lang w:val="en-GB" w:eastAsia="en-GB"/>
              </w:rPr>
              <w:t xml:space="preserve">Table 4: </w:t>
            </w:r>
            <w:r w:rsidRPr="00E71565">
              <w:rPr>
                <w:rFonts w:ascii="Times New Roman" w:eastAsia="Times New Roman" w:hAnsi="Times New Roman" w:cs="Times New Roman"/>
                <w:b/>
                <w:bCs/>
                <w:sz w:val="24"/>
                <w:szCs w:val="24"/>
              </w:rPr>
              <w:t xml:space="preserve">Period of staying </w:t>
            </w:r>
          </w:p>
        </w:tc>
      </w:tr>
      <w:tr w:rsidR="004969AF" w:rsidRPr="00E71565" w14:paraId="540D0E02" w14:textId="77777777" w:rsidTr="007D4147">
        <w:trPr>
          <w:trHeight w:val="315"/>
        </w:trPr>
        <w:tc>
          <w:tcPr>
            <w:tcW w:w="2022" w:type="dxa"/>
            <w:vMerge w:val="restart"/>
            <w:tcBorders>
              <w:top w:val="single" w:sz="4" w:space="0" w:color="auto"/>
              <w:left w:val="nil"/>
              <w:bottom w:val="single" w:sz="4" w:space="0" w:color="000000"/>
              <w:right w:val="nil"/>
            </w:tcBorders>
            <w:shd w:val="clear" w:color="auto" w:fill="auto"/>
            <w:noWrap/>
            <w:vAlign w:val="bottom"/>
            <w:hideMark/>
          </w:tcPr>
          <w:p w14:paraId="2B8EACD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Responses</w:t>
            </w:r>
          </w:p>
        </w:tc>
        <w:tc>
          <w:tcPr>
            <w:tcW w:w="2731" w:type="dxa"/>
            <w:gridSpan w:val="2"/>
            <w:tcBorders>
              <w:top w:val="single" w:sz="4" w:space="0" w:color="auto"/>
              <w:left w:val="nil"/>
              <w:bottom w:val="single" w:sz="4" w:space="0" w:color="auto"/>
              <w:right w:val="nil"/>
            </w:tcBorders>
            <w:shd w:val="clear" w:color="auto" w:fill="auto"/>
            <w:noWrap/>
            <w:vAlign w:val="bottom"/>
            <w:hideMark/>
          </w:tcPr>
          <w:p w14:paraId="1B895D65"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Fadikpe</w:t>
            </w:r>
            <w:proofErr w:type="spellEnd"/>
          </w:p>
        </w:tc>
        <w:tc>
          <w:tcPr>
            <w:tcW w:w="2731" w:type="dxa"/>
            <w:gridSpan w:val="2"/>
            <w:tcBorders>
              <w:top w:val="single" w:sz="4" w:space="0" w:color="auto"/>
              <w:left w:val="nil"/>
              <w:bottom w:val="single" w:sz="4" w:space="0" w:color="auto"/>
              <w:right w:val="nil"/>
            </w:tcBorders>
            <w:shd w:val="clear" w:color="auto" w:fill="auto"/>
            <w:noWrap/>
            <w:vAlign w:val="bottom"/>
            <w:hideMark/>
          </w:tcPr>
          <w:p w14:paraId="7FD0A263"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Tundun</w:t>
            </w:r>
            <w:proofErr w:type="spellEnd"/>
            <w:r w:rsidRPr="00E71565">
              <w:rPr>
                <w:rFonts w:ascii="Times New Roman" w:eastAsia="Times New Roman" w:hAnsi="Times New Roman" w:cs="Times New Roman"/>
                <w:b/>
                <w:bCs/>
                <w:sz w:val="24"/>
                <w:szCs w:val="24"/>
              </w:rPr>
              <w:t xml:space="preserve"> Fulani</w:t>
            </w:r>
          </w:p>
        </w:tc>
        <w:tc>
          <w:tcPr>
            <w:tcW w:w="2186" w:type="dxa"/>
            <w:gridSpan w:val="2"/>
            <w:tcBorders>
              <w:top w:val="single" w:sz="4" w:space="0" w:color="auto"/>
              <w:left w:val="nil"/>
              <w:bottom w:val="single" w:sz="4" w:space="0" w:color="auto"/>
              <w:right w:val="nil"/>
            </w:tcBorders>
            <w:shd w:val="clear" w:color="auto" w:fill="auto"/>
            <w:noWrap/>
            <w:vAlign w:val="bottom"/>
            <w:hideMark/>
          </w:tcPr>
          <w:p w14:paraId="01F2A0BC"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Bosso</w:t>
            </w:r>
            <w:proofErr w:type="spellEnd"/>
            <w:r w:rsidRPr="00E71565">
              <w:rPr>
                <w:rFonts w:ascii="Times New Roman" w:eastAsia="Times New Roman" w:hAnsi="Times New Roman" w:cs="Times New Roman"/>
                <w:b/>
                <w:bCs/>
                <w:sz w:val="24"/>
                <w:szCs w:val="24"/>
              </w:rPr>
              <w:t xml:space="preserve"> Estate</w:t>
            </w:r>
          </w:p>
        </w:tc>
      </w:tr>
      <w:tr w:rsidR="004969AF" w:rsidRPr="00E71565" w14:paraId="5D528452" w14:textId="77777777" w:rsidTr="007D4147">
        <w:trPr>
          <w:trHeight w:val="315"/>
        </w:trPr>
        <w:tc>
          <w:tcPr>
            <w:tcW w:w="2022" w:type="dxa"/>
            <w:vMerge/>
            <w:tcBorders>
              <w:top w:val="single" w:sz="4" w:space="0" w:color="auto"/>
              <w:left w:val="nil"/>
              <w:bottom w:val="single" w:sz="4" w:space="0" w:color="000000"/>
              <w:right w:val="nil"/>
            </w:tcBorders>
            <w:vAlign w:val="center"/>
            <w:hideMark/>
          </w:tcPr>
          <w:p w14:paraId="13DF4809"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310" w:type="dxa"/>
            <w:tcBorders>
              <w:top w:val="nil"/>
              <w:left w:val="nil"/>
              <w:bottom w:val="single" w:sz="4" w:space="0" w:color="auto"/>
              <w:right w:val="nil"/>
            </w:tcBorders>
            <w:shd w:val="clear" w:color="auto" w:fill="auto"/>
            <w:noWrap/>
            <w:vAlign w:val="bottom"/>
            <w:hideMark/>
          </w:tcPr>
          <w:p w14:paraId="77DB3B9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421" w:type="dxa"/>
            <w:tcBorders>
              <w:top w:val="nil"/>
              <w:left w:val="nil"/>
              <w:bottom w:val="single" w:sz="4" w:space="0" w:color="auto"/>
              <w:right w:val="nil"/>
            </w:tcBorders>
            <w:shd w:val="clear" w:color="auto" w:fill="auto"/>
            <w:noWrap/>
            <w:vAlign w:val="bottom"/>
            <w:hideMark/>
          </w:tcPr>
          <w:p w14:paraId="3088E94B"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0F6A9DF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421" w:type="dxa"/>
            <w:tcBorders>
              <w:top w:val="nil"/>
              <w:left w:val="nil"/>
              <w:bottom w:val="single" w:sz="4" w:space="0" w:color="auto"/>
              <w:right w:val="nil"/>
            </w:tcBorders>
            <w:shd w:val="clear" w:color="auto" w:fill="auto"/>
            <w:noWrap/>
            <w:vAlign w:val="bottom"/>
            <w:hideMark/>
          </w:tcPr>
          <w:p w14:paraId="083ADDA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5556301A"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876" w:type="dxa"/>
            <w:tcBorders>
              <w:top w:val="nil"/>
              <w:left w:val="nil"/>
              <w:bottom w:val="single" w:sz="4" w:space="0" w:color="auto"/>
              <w:right w:val="nil"/>
            </w:tcBorders>
            <w:shd w:val="clear" w:color="auto" w:fill="auto"/>
            <w:noWrap/>
            <w:vAlign w:val="bottom"/>
            <w:hideMark/>
          </w:tcPr>
          <w:p w14:paraId="66802684"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r>
      <w:tr w:rsidR="004969AF" w:rsidRPr="00E71565" w14:paraId="33374FB3" w14:textId="77777777" w:rsidTr="007D4147">
        <w:trPr>
          <w:trHeight w:val="315"/>
        </w:trPr>
        <w:tc>
          <w:tcPr>
            <w:tcW w:w="2022" w:type="dxa"/>
            <w:tcBorders>
              <w:top w:val="nil"/>
              <w:left w:val="nil"/>
              <w:bottom w:val="nil"/>
              <w:right w:val="nil"/>
            </w:tcBorders>
            <w:shd w:val="clear" w:color="auto" w:fill="auto"/>
            <w:noWrap/>
            <w:vAlign w:val="bottom"/>
            <w:hideMark/>
          </w:tcPr>
          <w:p w14:paraId="41AB2CF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Less than 5years</w:t>
            </w:r>
          </w:p>
        </w:tc>
        <w:tc>
          <w:tcPr>
            <w:tcW w:w="1310" w:type="dxa"/>
            <w:tcBorders>
              <w:top w:val="nil"/>
              <w:left w:val="nil"/>
              <w:bottom w:val="nil"/>
              <w:right w:val="nil"/>
            </w:tcBorders>
            <w:shd w:val="clear" w:color="auto" w:fill="auto"/>
            <w:noWrap/>
            <w:vAlign w:val="bottom"/>
            <w:hideMark/>
          </w:tcPr>
          <w:p w14:paraId="5EE9884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w:t>
            </w:r>
          </w:p>
        </w:tc>
        <w:tc>
          <w:tcPr>
            <w:tcW w:w="1421" w:type="dxa"/>
            <w:tcBorders>
              <w:top w:val="nil"/>
              <w:left w:val="nil"/>
              <w:bottom w:val="nil"/>
              <w:right w:val="nil"/>
            </w:tcBorders>
            <w:shd w:val="clear" w:color="auto" w:fill="auto"/>
            <w:noWrap/>
            <w:vAlign w:val="bottom"/>
            <w:hideMark/>
          </w:tcPr>
          <w:p w14:paraId="401EDA20"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10.94</w:t>
            </w:r>
          </w:p>
        </w:tc>
        <w:tc>
          <w:tcPr>
            <w:tcW w:w="1310" w:type="dxa"/>
            <w:tcBorders>
              <w:top w:val="nil"/>
              <w:left w:val="nil"/>
              <w:bottom w:val="nil"/>
              <w:right w:val="nil"/>
            </w:tcBorders>
            <w:shd w:val="clear" w:color="auto" w:fill="auto"/>
            <w:noWrap/>
            <w:vAlign w:val="bottom"/>
            <w:hideMark/>
          </w:tcPr>
          <w:p w14:paraId="7AA2C388"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6</w:t>
            </w:r>
          </w:p>
        </w:tc>
        <w:tc>
          <w:tcPr>
            <w:tcW w:w="1421" w:type="dxa"/>
            <w:tcBorders>
              <w:top w:val="nil"/>
              <w:left w:val="nil"/>
              <w:bottom w:val="nil"/>
              <w:right w:val="nil"/>
            </w:tcBorders>
            <w:shd w:val="clear" w:color="auto" w:fill="auto"/>
            <w:noWrap/>
            <w:vAlign w:val="bottom"/>
            <w:hideMark/>
          </w:tcPr>
          <w:p w14:paraId="5134244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7.89</w:t>
            </w:r>
          </w:p>
        </w:tc>
        <w:tc>
          <w:tcPr>
            <w:tcW w:w="1310" w:type="dxa"/>
            <w:tcBorders>
              <w:top w:val="nil"/>
              <w:left w:val="nil"/>
              <w:bottom w:val="nil"/>
              <w:right w:val="nil"/>
            </w:tcBorders>
            <w:shd w:val="clear" w:color="auto" w:fill="auto"/>
            <w:noWrap/>
            <w:vAlign w:val="bottom"/>
            <w:hideMark/>
          </w:tcPr>
          <w:p w14:paraId="58618D64"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11</w:t>
            </w:r>
          </w:p>
        </w:tc>
        <w:tc>
          <w:tcPr>
            <w:tcW w:w="876" w:type="dxa"/>
            <w:tcBorders>
              <w:top w:val="nil"/>
              <w:left w:val="nil"/>
              <w:bottom w:val="nil"/>
              <w:right w:val="nil"/>
            </w:tcBorders>
            <w:shd w:val="clear" w:color="auto" w:fill="auto"/>
            <w:noWrap/>
            <w:vAlign w:val="bottom"/>
            <w:hideMark/>
          </w:tcPr>
          <w:p w14:paraId="317A12F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14.47</w:t>
            </w:r>
          </w:p>
        </w:tc>
      </w:tr>
      <w:tr w:rsidR="004969AF" w:rsidRPr="00E71565" w14:paraId="4BE14E1F" w14:textId="77777777" w:rsidTr="007D4147">
        <w:trPr>
          <w:trHeight w:val="315"/>
        </w:trPr>
        <w:tc>
          <w:tcPr>
            <w:tcW w:w="2022" w:type="dxa"/>
            <w:tcBorders>
              <w:top w:val="nil"/>
              <w:left w:val="nil"/>
              <w:bottom w:val="nil"/>
              <w:right w:val="nil"/>
            </w:tcBorders>
            <w:shd w:val="clear" w:color="auto" w:fill="auto"/>
            <w:noWrap/>
            <w:vAlign w:val="bottom"/>
            <w:hideMark/>
          </w:tcPr>
          <w:p w14:paraId="6BF94D0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5-10years</w:t>
            </w:r>
          </w:p>
        </w:tc>
        <w:tc>
          <w:tcPr>
            <w:tcW w:w="1310" w:type="dxa"/>
            <w:tcBorders>
              <w:top w:val="nil"/>
              <w:left w:val="nil"/>
              <w:bottom w:val="nil"/>
              <w:right w:val="nil"/>
            </w:tcBorders>
            <w:shd w:val="clear" w:color="auto" w:fill="auto"/>
            <w:noWrap/>
            <w:vAlign w:val="bottom"/>
            <w:hideMark/>
          </w:tcPr>
          <w:p w14:paraId="560E19C8"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w:t>
            </w:r>
          </w:p>
        </w:tc>
        <w:tc>
          <w:tcPr>
            <w:tcW w:w="1421" w:type="dxa"/>
            <w:tcBorders>
              <w:top w:val="nil"/>
              <w:left w:val="nil"/>
              <w:bottom w:val="nil"/>
              <w:right w:val="nil"/>
            </w:tcBorders>
            <w:shd w:val="clear" w:color="auto" w:fill="auto"/>
            <w:noWrap/>
            <w:vAlign w:val="bottom"/>
            <w:hideMark/>
          </w:tcPr>
          <w:p w14:paraId="75FFE5B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4.69</w:t>
            </w:r>
          </w:p>
        </w:tc>
        <w:tc>
          <w:tcPr>
            <w:tcW w:w="1310" w:type="dxa"/>
            <w:tcBorders>
              <w:top w:val="nil"/>
              <w:left w:val="nil"/>
              <w:bottom w:val="nil"/>
              <w:right w:val="nil"/>
            </w:tcBorders>
            <w:shd w:val="clear" w:color="auto" w:fill="auto"/>
            <w:noWrap/>
            <w:vAlign w:val="bottom"/>
            <w:hideMark/>
          </w:tcPr>
          <w:p w14:paraId="751BC7E9"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24</w:t>
            </w:r>
          </w:p>
        </w:tc>
        <w:tc>
          <w:tcPr>
            <w:tcW w:w="1421" w:type="dxa"/>
            <w:tcBorders>
              <w:top w:val="nil"/>
              <w:left w:val="nil"/>
              <w:bottom w:val="nil"/>
              <w:right w:val="nil"/>
            </w:tcBorders>
            <w:shd w:val="clear" w:color="auto" w:fill="auto"/>
            <w:noWrap/>
            <w:vAlign w:val="bottom"/>
            <w:hideMark/>
          </w:tcPr>
          <w:p w14:paraId="45D1255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31.58</w:t>
            </w:r>
          </w:p>
        </w:tc>
        <w:tc>
          <w:tcPr>
            <w:tcW w:w="1310" w:type="dxa"/>
            <w:tcBorders>
              <w:top w:val="nil"/>
              <w:left w:val="nil"/>
              <w:bottom w:val="nil"/>
              <w:right w:val="nil"/>
            </w:tcBorders>
            <w:shd w:val="clear" w:color="auto" w:fill="auto"/>
            <w:noWrap/>
            <w:vAlign w:val="bottom"/>
            <w:hideMark/>
          </w:tcPr>
          <w:p w14:paraId="03933409"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w:t>
            </w:r>
          </w:p>
        </w:tc>
        <w:tc>
          <w:tcPr>
            <w:tcW w:w="876" w:type="dxa"/>
            <w:tcBorders>
              <w:top w:val="nil"/>
              <w:left w:val="nil"/>
              <w:bottom w:val="nil"/>
              <w:right w:val="nil"/>
            </w:tcBorders>
            <w:shd w:val="clear" w:color="auto" w:fill="auto"/>
            <w:noWrap/>
            <w:vAlign w:val="bottom"/>
            <w:hideMark/>
          </w:tcPr>
          <w:p w14:paraId="413FE92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25.00</w:t>
            </w:r>
          </w:p>
        </w:tc>
      </w:tr>
      <w:tr w:rsidR="004969AF" w:rsidRPr="00E71565" w14:paraId="4A059DEC" w14:textId="77777777" w:rsidTr="007D4147">
        <w:trPr>
          <w:trHeight w:val="315"/>
        </w:trPr>
        <w:tc>
          <w:tcPr>
            <w:tcW w:w="2022" w:type="dxa"/>
            <w:tcBorders>
              <w:top w:val="nil"/>
              <w:left w:val="nil"/>
              <w:bottom w:val="nil"/>
              <w:right w:val="nil"/>
            </w:tcBorders>
            <w:shd w:val="clear" w:color="auto" w:fill="auto"/>
            <w:noWrap/>
            <w:vAlign w:val="bottom"/>
            <w:hideMark/>
          </w:tcPr>
          <w:p w14:paraId="1D7ECEE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11-15years</w:t>
            </w:r>
          </w:p>
        </w:tc>
        <w:tc>
          <w:tcPr>
            <w:tcW w:w="1310" w:type="dxa"/>
            <w:tcBorders>
              <w:top w:val="nil"/>
              <w:left w:val="nil"/>
              <w:bottom w:val="nil"/>
              <w:right w:val="nil"/>
            </w:tcBorders>
            <w:shd w:val="clear" w:color="auto" w:fill="auto"/>
            <w:noWrap/>
            <w:vAlign w:val="bottom"/>
            <w:hideMark/>
          </w:tcPr>
          <w:p w14:paraId="24D382D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21</w:t>
            </w:r>
          </w:p>
        </w:tc>
        <w:tc>
          <w:tcPr>
            <w:tcW w:w="1421" w:type="dxa"/>
            <w:tcBorders>
              <w:top w:val="nil"/>
              <w:left w:val="nil"/>
              <w:bottom w:val="nil"/>
              <w:right w:val="nil"/>
            </w:tcBorders>
            <w:shd w:val="clear" w:color="auto" w:fill="auto"/>
            <w:noWrap/>
            <w:vAlign w:val="bottom"/>
            <w:hideMark/>
          </w:tcPr>
          <w:p w14:paraId="614FBB5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32.81</w:t>
            </w:r>
          </w:p>
        </w:tc>
        <w:tc>
          <w:tcPr>
            <w:tcW w:w="1310" w:type="dxa"/>
            <w:tcBorders>
              <w:top w:val="nil"/>
              <w:left w:val="nil"/>
              <w:bottom w:val="nil"/>
              <w:right w:val="nil"/>
            </w:tcBorders>
            <w:shd w:val="clear" w:color="auto" w:fill="auto"/>
            <w:noWrap/>
            <w:vAlign w:val="bottom"/>
            <w:hideMark/>
          </w:tcPr>
          <w:p w14:paraId="4AD3B44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36</w:t>
            </w:r>
          </w:p>
        </w:tc>
        <w:tc>
          <w:tcPr>
            <w:tcW w:w="1421" w:type="dxa"/>
            <w:tcBorders>
              <w:top w:val="nil"/>
              <w:left w:val="nil"/>
              <w:bottom w:val="nil"/>
              <w:right w:val="nil"/>
            </w:tcBorders>
            <w:shd w:val="clear" w:color="auto" w:fill="auto"/>
            <w:noWrap/>
            <w:vAlign w:val="bottom"/>
            <w:hideMark/>
          </w:tcPr>
          <w:p w14:paraId="36B7EB4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47.37</w:t>
            </w:r>
          </w:p>
        </w:tc>
        <w:tc>
          <w:tcPr>
            <w:tcW w:w="1310" w:type="dxa"/>
            <w:tcBorders>
              <w:top w:val="nil"/>
              <w:left w:val="nil"/>
              <w:bottom w:val="nil"/>
              <w:right w:val="nil"/>
            </w:tcBorders>
            <w:shd w:val="clear" w:color="auto" w:fill="auto"/>
            <w:noWrap/>
            <w:vAlign w:val="bottom"/>
            <w:hideMark/>
          </w:tcPr>
          <w:p w14:paraId="48CAA4D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30</w:t>
            </w:r>
          </w:p>
        </w:tc>
        <w:tc>
          <w:tcPr>
            <w:tcW w:w="876" w:type="dxa"/>
            <w:tcBorders>
              <w:top w:val="nil"/>
              <w:left w:val="nil"/>
              <w:bottom w:val="nil"/>
              <w:right w:val="nil"/>
            </w:tcBorders>
            <w:shd w:val="clear" w:color="auto" w:fill="auto"/>
            <w:noWrap/>
            <w:vAlign w:val="bottom"/>
            <w:hideMark/>
          </w:tcPr>
          <w:p w14:paraId="2122AAF8"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39.47</w:t>
            </w:r>
          </w:p>
        </w:tc>
      </w:tr>
      <w:tr w:rsidR="004969AF" w:rsidRPr="00E71565" w14:paraId="49FD8FB1" w14:textId="77777777" w:rsidTr="007D4147">
        <w:trPr>
          <w:trHeight w:val="315"/>
        </w:trPr>
        <w:tc>
          <w:tcPr>
            <w:tcW w:w="2022" w:type="dxa"/>
            <w:tcBorders>
              <w:top w:val="nil"/>
              <w:left w:val="nil"/>
              <w:bottom w:val="nil"/>
              <w:right w:val="nil"/>
            </w:tcBorders>
            <w:shd w:val="clear" w:color="auto" w:fill="auto"/>
            <w:noWrap/>
            <w:vAlign w:val="bottom"/>
            <w:hideMark/>
          </w:tcPr>
          <w:p w14:paraId="5488388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16years and above</w:t>
            </w:r>
          </w:p>
        </w:tc>
        <w:tc>
          <w:tcPr>
            <w:tcW w:w="1310" w:type="dxa"/>
            <w:tcBorders>
              <w:top w:val="nil"/>
              <w:left w:val="nil"/>
              <w:bottom w:val="nil"/>
              <w:right w:val="nil"/>
            </w:tcBorders>
            <w:shd w:val="clear" w:color="auto" w:fill="auto"/>
            <w:noWrap/>
            <w:vAlign w:val="bottom"/>
            <w:hideMark/>
          </w:tcPr>
          <w:p w14:paraId="08EE86E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33</w:t>
            </w:r>
          </w:p>
        </w:tc>
        <w:tc>
          <w:tcPr>
            <w:tcW w:w="1421" w:type="dxa"/>
            <w:tcBorders>
              <w:top w:val="nil"/>
              <w:left w:val="nil"/>
              <w:bottom w:val="nil"/>
              <w:right w:val="nil"/>
            </w:tcBorders>
            <w:shd w:val="clear" w:color="auto" w:fill="auto"/>
            <w:noWrap/>
            <w:vAlign w:val="bottom"/>
            <w:hideMark/>
          </w:tcPr>
          <w:p w14:paraId="41BA84F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51.56</w:t>
            </w:r>
          </w:p>
        </w:tc>
        <w:tc>
          <w:tcPr>
            <w:tcW w:w="1310" w:type="dxa"/>
            <w:tcBorders>
              <w:top w:val="nil"/>
              <w:left w:val="nil"/>
              <w:bottom w:val="nil"/>
              <w:right w:val="nil"/>
            </w:tcBorders>
            <w:shd w:val="clear" w:color="auto" w:fill="auto"/>
            <w:noWrap/>
            <w:vAlign w:val="bottom"/>
            <w:hideMark/>
          </w:tcPr>
          <w:p w14:paraId="2B8CD0C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w:t>
            </w:r>
          </w:p>
        </w:tc>
        <w:tc>
          <w:tcPr>
            <w:tcW w:w="1421" w:type="dxa"/>
            <w:tcBorders>
              <w:top w:val="nil"/>
              <w:left w:val="nil"/>
              <w:bottom w:val="nil"/>
              <w:right w:val="nil"/>
            </w:tcBorders>
            <w:shd w:val="clear" w:color="auto" w:fill="auto"/>
            <w:noWrap/>
            <w:vAlign w:val="bottom"/>
            <w:hideMark/>
          </w:tcPr>
          <w:p w14:paraId="5432273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13.16</w:t>
            </w:r>
          </w:p>
        </w:tc>
        <w:tc>
          <w:tcPr>
            <w:tcW w:w="1310" w:type="dxa"/>
            <w:tcBorders>
              <w:top w:val="nil"/>
              <w:left w:val="nil"/>
              <w:bottom w:val="nil"/>
              <w:right w:val="nil"/>
            </w:tcBorders>
            <w:shd w:val="clear" w:color="auto" w:fill="auto"/>
            <w:noWrap/>
            <w:vAlign w:val="bottom"/>
            <w:hideMark/>
          </w:tcPr>
          <w:p w14:paraId="2317BA1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16</w:t>
            </w:r>
          </w:p>
        </w:tc>
        <w:tc>
          <w:tcPr>
            <w:tcW w:w="876" w:type="dxa"/>
            <w:tcBorders>
              <w:top w:val="nil"/>
              <w:left w:val="nil"/>
              <w:bottom w:val="nil"/>
              <w:right w:val="nil"/>
            </w:tcBorders>
            <w:shd w:val="clear" w:color="auto" w:fill="auto"/>
            <w:noWrap/>
            <w:vAlign w:val="bottom"/>
            <w:hideMark/>
          </w:tcPr>
          <w:p w14:paraId="604B761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21.05</w:t>
            </w:r>
          </w:p>
        </w:tc>
      </w:tr>
      <w:tr w:rsidR="004969AF" w:rsidRPr="00E71565" w14:paraId="679C8ABF" w14:textId="77777777" w:rsidTr="007D4147">
        <w:trPr>
          <w:trHeight w:val="315"/>
        </w:trPr>
        <w:tc>
          <w:tcPr>
            <w:tcW w:w="2022" w:type="dxa"/>
            <w:tcBorders>
              <w:top w:val="single" w:sz="4" w:space="0" w:color="auto"/>
              <w:left w:val="nil"/>
              <w:bottom w:val="single" w:sz="4" w:space="0" w:color="auto"/>
              <w:right w:val="nil"/>
            </w:tcBorders>
            <w:shd w:val="clear" w:color="auto" w:fill="auto"/>
            <w:noWrap/>
            <w:vAlign w:val="bottom"/>
            <w:hideMark/>
          </w:tcPr>
          <w:p w14:paraId="1F7E5C8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310" w:type="dxa"/>
            <w:tcBorders>
              <w:top w:val="single" w:sz="4" w:space="0" w:color="auto"/>
              <w:left w:val="nil"/>
              <w:bottom w:val="single" w:sz="4" w:space="0" w:color="auto"/>
              <w:right w:val="nil"/>
            </w:tcBorders>
            <w:shd w:val="clear" w:color="auto" w:fill="auto"/>
            <w:noWrap/>
            <w:vAlign w:val="bottom"/>
            <w:hideMark/>
          </w:tcPr>
          <w:p w14:paraId="4DAFAD95"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64</w:t>
            </w:r>
          </w:p>
        </w:tc>
        <w:tc>
          <w:tcPr>
            <w:tcW w:w="1421" w:type="dxa"/>
            <w:tcBorders>
              <w:top w:val="single" w:sz="4" w:space="0" w:color="auto"/>
              <w:left w:val="nil"/>
              <w:bottom w:val="single" w:sz="4" w:space="0" w:color="auto"/>
              <w:right w:val="nil"/>
            </w:tcBorders>
            <w:shd w:val="clear" w:color="auto" w:fill="auto"/>
            <w:noWrap/>
            <w:vAlign w:val="bottom"/>
            <w:hideMark/>
          </w:tcPr>
          <w:p w14:paraId="67A31C7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single" w:sz="4" w:space="0" w:color="auto"/>
              <w:left w:val="nil"/>
              <w:bottom w:val="single" w:sz="4" w:space="0" w:color="auto"/>
              <w:right w:val="nil"/>
            </w:tcBorders>
            <w:shd w:val="clear" w:color="auto" w:fill="auto"/>
            <w:noWrap/>
            <w:vAlign w:val="bottom"/>
            <w:hideMark/>
          </w:tcPr>
          <w:p w14:paraId="778824A5"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1421" w:type="dxa"/>
            <w:tcBorders>
              <w:top w:val="single" w:sz="4" w:space="0" w:color="auto"/>
              <w:left w:val="nil"/>
              <w:bottom w:val="single" w:sz="4" w:space="0" w:color="auto"/>
              <w:right w:val="nil"/>
            </w:tcBorders>
            <w:shd w:val="clear" w:color="auto" w:fill="auto"/>
            <w:noWrap/>
            <w:vAlign w:val="bottom"/>
            <w:hideMark/>
          </w:tcPr>
          <w:p w14:paraId="3CF2D437"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single" w:sz="4" w:space="0" w:color="auto"/>
              <w:left w:val="nil"/>
              <w:bottom w:val="single" w:sz="4" w:space="0" w:color="auto"/>
              <w:right w:val="nil"/>
            </w:tcBorders>
            <w:shd w:val="clear" w:color="auto" w:fill="auto"/>
            <w:noWrap/>
            <w:vAlign w:val="bottom"/>
            <w:hideMark/>
          </w:tcPr>
          <w:p w14:paraId="4AC408A3"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876" w:type="dxa"/>
            <w:tcBorders>
              <w:top w:val="single" w:sz="4" w:space="0" w:color="auto"/>
              <w:left w:val="nil"/>
              <w:bottom w:val="single" w:sz="4" w:space="0" w:color="auto"/>
              <w:right w:val="nil"/>
            </w:tcBorders>
            <w:shd w:val="clear" w:color="auto" w:fill="auto"/>
            <w:noWrap/>
            <w:vAlign w:val="bottom"/>
            <w:hideMark/>
          </w:tcPr>
          <w:p w14:paraId="5D8C3A11"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r>
    </w:tbl>
    <w:p w14:paraId="7B83A2CA" w14:textId="385B116D" w:rsidR="004969AF" w:rsidRPr="00E71565" w:rsidRDefault="004969AF" w:rsidP="007A19BE">
      <w:pPr>
        <w:spacing w:before="120" w:after="120" w:line="240" w:lineRule="auto"/>
        <w:jc w:val="both"/>
        <w:rPr>
          <w:rFonts w:ascii="Times New Roman" w:hAnsi="Times New Roman" w:cs="Times New Roman"/>
          <w:sz w:val="24"/>
          <w:szCs w:val="24"/>
        </w:rPr>
      </w:pPr>
      <w:r w:rsidRPr="00E71565">
        <w:rPr>
          <w:rFonts w:ascii="Times New Roman" w:hAnsi="Times New Roman" w:cs="Times New Roman"/>
          <w:sz w:val="24"/>
          <w:szCs w:val="24"/>
        </w:rPr>
        <w:t>As shown in Table 4, the years of stays analysis revealed that 39.88% of the respondents have been residing at the study area for 11-15years, 28.59% of the respondents have been staying for 16years and more, 20.42% of the respondents are residents within 5-10years while the remaining 11.1</w:t>
      </w:r>
      <w:r w:rsidR="005F2532" w:rsidRPr="00E71565">
        <w:rPr>
          <w:rFonts w:ascii="Times New Roman" w:hAnsi="Times New Roman" w:cs="Times New Roman"/>
          <w:sz w:val="24"/>
          <w:szCs w:val="24"/>
        </w:rPr>
        <w:t>0</w:t>
      </w:r>
      <w:r w:rsidRPr="00E71565">
        <w:rPr>
          <w:rFonts w:ascii="Times New Roman" w:hAnsi="Times New Roman" w:cs="Times New Roman"/>
          <w:sz w:val="24"/>
          <w:szCs w:val="24"/>
        </w:rPr>
        <w:t>% took the residents with less than 5years period of stays. The implication of this, is that majority of the respondents has much hunch about the situation of the study area because of their lengthy period of stay and their experience makes them more qualified for information gathering for the research purpose.</w:t>
      </w:r>
    </w:p>
    <w:tbl>
      <w:tblPr>
        <w:tblW w:w="9738" w:type="dxa"/>
        <w:tblLook w:val="04A0" w:firstRow="1" w:lastRow="0" w:firstColumn="1" w:lastColumn="0" w:noHBand="0" w:noVBand="1"/>
      </w:tblPr>
      <w:tblGrid>
        <w:gridCol w:w="2202"/>
        <w:gridCol w:w="1310"/>
        <w:gridCol w:w="1389"/>
        <w:gridCol w:w="1310"/>
        <w:gridCol w:w="1389"/>
        <w:gridCol w:w="1310"/>
        <w:gridCol w:w="876"/>
      </w:tblGrid>
      <w:tr w:rsidR="004969AF" w:rsidRPr="00E71565" w14:paraId="6DD10671" w14:textId="77777777" w:rsidTr="007D4147">
        <w:trPr>
          <w:trHeight w:val="315"/>
        </w:trPr>
        <w:tc>
          <w:tcPr>
            <w:tcW w:w="9738" w:type="dxa"/>
            <w:gridSpan w:val="7"/>
            <w:tcBorders>
              <w:top w:val="nil"/>
              <w:left w:val="nil"/>
              <w:bottom w:val="nil"/>
              <w:right w:val="nil"/>
            </w:tcBorders>
            <w:shd w:val="clear" w:color="auto" w:fill="auto"/>
            <w:noWrap/>
            <w:vAlign w:val="bottom"/>
            <w:hideMark/>
          </w:tcPr>
          <w:p w14:paraId="040924AF"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sz w:val="24"/>
                <w:szCs w:val="24"/>
                <w:lang w:val="en-GB" w:eastAsia="en-GB"/>
              </w:rPr>
              <w:t xml:space="preserve">Table 5: </w:t>
            </w:r>
            <w:r w:rsidRPr="00E71565">
              <w:rPr>
                <w:rFonts w:ascii="Times New Roman" w:eastAsia="Times New Roman" w:hAnsi="Times New Roman" w:cs="Times New Roman"/>
                <w:b/>
                <w:bCs/>
                <w:sz w:val="24"/>
                <w:szCs w:val="24"/>
              </w:rPr>
              <w:t>Monthly Income Range</w:t>
            </w:r>
          </w:p>
        </w:tc>
      </w:tr>
      <w:tr w:rsidR="004969AF" w:rsidRPr="00E71565" w14:paraId="6BD0EBB5" w14:textId="77777777" w:rsidTr="007D4147">
        <w:trPr>
          <w:trHeight w:val="315"/>
        </w:trPr>
        <w:tc>
          <w:tcPr>
            <w:tcW w:w="2202" w:type="dxa"/>
            <w:vMerge w:val="restart"/>
            <w:tcBorders>
              <w:top w:val="single" w:sz="4" w:space="0" w:color="auto"/>
              <w:left w:val="nil"/>
              <w:bottom w:val="single" w:sz="4" w:space="0" w:color="000000"/>
              <w:right w:val="nil"/>
            </w:tcBorders>
            <w:shd w:val="clear" w:color="auto" w:fill="auto"/>
            <w:noWrap/>
            <w:vAlign w:val="bottom"/>
            <w:hideMark/>
          </w:tcPr>
          <w:p w14:paraId="06F1181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Responses</w:t>
            </w:r>
          </w:p>
        </w:tc>
        <w:tc>
          <w:tcPr>
            <w:tcW w:w="2699" w:type="dxa"/>
            <w:gridSpan w:val="2"/>
            <w:tcBorders>
              <w:top w:val="single" w:sz="4" w:space="0" w:color="auto"/>
              <w:left w:val="nil"/>
              <w:bottom w:val="single" w:sz="4" w:space="0" w:color="auto"/>
              <w:right w:val="nil"/>
            </w:tcBorders>
            <w:shd w:val="clear" w:color="auto" w:fill="auto"/>
            <w:noWrap/>
            <w:vAlign w:val="bottom"/>
            <w:hideMark/>
          </w:tcPr>
          <w:p w14:paraId="6A35C15B"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Fadikpe</w:t>
            </w:r>
            <w:proofErr w:type="spellEnd"/>
          </w:p>
        </w:tc>
        <w:tc>
          <w:tcPr>
            <w:tcW w:w="2699" w:type="dxa"/>
            <w:gridSpan w:val="2"/>
            <w:tcBorders>
              <w:top w:val="single" w:sz="4" w:space="0" w:color="auto"/>
              <w:left w:val="nil"/>
              <w:bottom w:val="single" w:sz="4" w:space="0" w:color="auto"/>
              <w:right w:val="nil"/>
            </w:tcBorders>
            <w:shd w:val="clear" w:color="auto" w:fill="auto"/>
            <w:noWrap/>
            <w:vAlign w:val="bottom"/>
            <w:hideMark/>
          </w:tcPr>
          <w:p w14:paraId="2B47B73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Tundun</w:t>
            </w:r>
            <w:proofErr w:type="spellEnd"/>
            <w:r w:rsidRPr="00E71565">
              <w:rPr>
                <w:rFonts w:ascii="Times New Roman" w:eastAsia="Times New Roman" w:hAnsi="Times New Roman" w:cs="Times New Roman"/>
                <w:b/>
                <w:bCs/>
                <w:sz w:val="24"/>
                <w:szCs w:val="24"/>
              </w:rPr>
              <w:t xml:space="preserve"> Fulani</w:t>
            </w:r>
          </w:p>
        </w:tc>
        <w:tc>
          <w:tcPr>
            <w:tcW w:w="2138" w:type="dxa"/>
            <w:gridSpan w:val="2"/>
            <w:tcBorders>
              <w:top w:val="single" w:sz="4" w:space="0" w:color="auto"/>
              <w:left w:val="nil"/>
              <w:bottom w:val="single" w:sz="4" w:space="0" w:color="auto"/>
              <w:right w:val="nil"/>
            </w:tcBorders>
            <w:shd w:val="clear" w:color="auto" w:fill="auto"/>
            <w:noWrap/>
            <w:vAlign w:val="bottom"/>
            <w:hideMark/>
          </w:tcPr>
          <w:p w14:paraId="794BCBA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Bosso</w:t>
            </w:r>
            <w:proofErr w:type="spellEnd"/>
            <w:r w:rsidRPr="00E71565">
              <w:rPr>
                <w:rFonts w:ascii="Times New Roman" w:eastAsia="Times New Roman" w:hAnsi="Times New Roman" w:cs="Times New Roman"/>
                <w:b/>
                <w:bCs/>
                <w:sz w:val="24"/>
                <w:szCs w:val="24"/>
              </w:rPr>
              <w:t xml:space="preserve"> Estate</w:t>
            </w:r>
          </w:p>
        </w:tc>
      </w:tr>
      <w:tr w:rsidR="004969AF" w:rsidRPr="00E71565" w14:paraId="392B4D9A" w14:textId="77777777" w:rsidTr="007D4147">
        <w:trPr>
          <w:trHeight w:val="315"/>
        </w:trPr>
        <w:tc>
          <w:tcPr>
            <w:tcW w:w="2202" w:type="dxa"/>
            <w:vMerge/>
            <w:tcBorders>
              <w:top w:val="single" w:sz="4" w:space="0" w:color="auto"/>
              <w:left w:val="nil"/>
              <w:bottom w:val="single" w:sz="4" w:space="0" w:color="000000"/>
              <w:right w:val="nil"/>
            </w:tcBorders>
            <w:vAlign w:val="center"/>
            <w:hideMark/>
          </w:tcPr>
          <w:p w14:paraId="48EF6C6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310" w:type="dxa"/>
            <w:tcBorders>
              <w:top w:val="nil"/>
              <w:left w:val="nil"/>
              <w:bottom w:val="single" w:sz="4" w:space="0" w:color="auto"/>
              <w:right w:val="nil"/>
            </w:tcBorders>
            <w:shd w:val="clear" w:color="auto" w:fill="auto"/>
            <w:noWrap/>
            <w:vAlign w:val="bottom"/>
            <w:hideMark/>
          </w:tcPr>
          <w:p w14:paraId="241D6ED3"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389" w:type="dxa"/>
            <w:tcBorders>
              <w:top w:val="nil"/>
              <w:left w:val="nil"/>
              <w:bottom w:val="single" w:sz="4" w:space="0" w:color="auto"/>
              <w:right w:val="nil"/>
            </w:tcBorders>
            <w:shd w:val="clear" w:color="auto" w:fill="auto"/>
            <w:noWrap/>
            <w:vAlign w:val="bottom"/>
            <w:hideMark/>
          </w:tcPr>
          <w:p w14:paraId="1831673A"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3A51D5FE"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389" w:type="dxa"/>
            <w:tcBorders>
              <w:top w:val="nil"/>
              <w:left w:val="nil"/>
              <w:bottom w:val="single" w:sz="4" w:space="0" w:color="auto"/>
              <w:right w:val="nil"/>
            </w:tcBorders>
            <w:shd w:val="clear" w:color="auto" w:fill="auto"/>
            <w:noWrap/>
            <w:vAlign w:val="bottom"/>
            <w:hideMark/>
          </w:tcPr>
          <w:p w14:paraId="708B3468"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10" w:type="dxa"/>
            <w:tcBorders>
              <w:top w:val="nil"/>
              <w:left w:val="nil"/>
              <w:bottom w:val="single" w:sz="4" w:space="0" w:color="auto"/>
              <w:right w:val="nil"/>
            </w:tcBorders>
            <w:shd w:val="clear" w:color="auto" w:fill="auto"/>
            <w:noWrap/>
            <w:vAlign w:val="bottom"/>
            <w:hideMark/>
          </w:tcPr>
          <w:p w14:paraId="27667065"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828" w:type="dxa"/>
            <w:tcBorders>
              <w:top w:val="nil"/>
              <w:left w:val="nil"/>
              <w:bottom w:val="single" w:sz="4" w:space="0" w:color="auto"/>
              <w:right w:val="nil"/>
            </w:tcBorders>
            <w:shd w:val="clear" w:color="auto" w:fill="auto"/>
            <w:noWrap/>
            <w:vAlign w:val="bottom"/>
            <w:hideMark/>
          </w:tcPr>
          <w:p w14:paraId="1FF29ADA"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r>
      <w:tr w:rsidR="004969AF" w:rsidRPr="00E71565" w14:paraId="6744E9E3" w14:textId="77777777" w:rsidTr="007D4147">
        <w:trPr>
          <w:trHeight w:val="315"/>
        </w:trPr>
        <w:tc>
          <w:tcPr>
            <w:tcW w:w="2202" w:type="dxa"/>
            <w:tcBorders>
              <w:top w:val="nil"/>
              <w:left w:val="nil"/>
              <w:bottom w:val="nil"/>
              <w:right w:val="nil"/>
            </w:tcBorders>
            <w:shd w:val="clear" w:color="auto" w:fill="auto"/>
            <w:noWrap/>
            <w:vAlign w:val="bottom"/>
            <w:hideMark/>
          </w:tcPr>
          <w:p w14:paraId="4D4CCD7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xml:space="preserve">Less than </w:t>
            </w: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30,000</w:t>
            </w:r>
          </w:p>
        </w:tc>
        <w:tc>
          <w:tcPr>
            <w:tcW w:w="1310" w:type="dxa"/>
            <w:tcBorders>
              <w:top w:val="nil"/>
              <w:left w:val="nil"/>
              <w:bottom w:val="nil"/>
              <w:right w:val="nil"/>
            </w:tcBorders>
            <w:shd w:val="clear" w:color="auto" w:fill="auto"/>
            <w:noWrap/>
            <w:vAlign w:val="bottom"/>
            <w:hideMark/>
          </w:tcPr>
          <w:p w14:paraId="1672EA68"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7</w:t>
            </w:r>
          </w:p>
        </w:tc>
        <w:tc>
          <w:tcPr>
            <w:tcW w:w="1389" w:type="dxa"/>
            <w:tcBorders>
              <w:top w:val="nil"/>
              <w:left w:val="nil"/>
              <w:bottom w:val="nil"/>
              <w:right w:val="nil"/>
            </w:tcBorders>
            <w:shd w:val="clear" w:color="auto" w:fill="auto"/>
            <w:noWrap/>
            <w:vAlign w:val="bottom"/>
            <w:hideMark/>
          </w:tcPr>
          <w:p w14:paraId="519756A5"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10.94</w:t>
            </w:r>
          </w:p>
        </w:tc>
        <w:tc>
          <w:tcPr>
            <w:tcW w:w="1310" w:type="dxa"/>
            <w:tcBorders>
              <w:top w:val="nil"/>
              <w:left w:val="nil"/>
              <w:bottom w:val="nil"/>
              <w:right w:val="nil"/>
            </w:tcBorders>
            <w:shd w:val="clear" w:color="auto" w:fill="auto"/>
            <w:noWrap/>
            <w:vAlign w:val="bottom"/>
            <w:hideMark/>
          </w:tcPr>
          <w:p w14:paraId="35E3E0FE"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0</w:t>
            </w:r>
          </w:p>
        </w:tc>
        <w:tc>
          <w:tcPr>
            <w:tcW w:w="1389" w:type="dxa"/>
            <w:tcBorders>
              <w:top w:val="nil"/>
              <w:left w:val="nil"/>
              <w:bottom w:val="nil"/>
              <w:right w:val="nil"/>
            </w:tcBorders>
            <w:shd w:val="clear" w:color="auto" w:fill="auto"/>
            <w:noWrap/>
            <w:vAlign w:val="bottom"/>
            <w:hideMark/>
          </w:tcPr>
          <w:p w14:paraId="023B3D14"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0.00</w:t>
            </w:r>
          </w:p>
        </w:tc>
        <w:tc>
          <w:tcPr>
            <w:tcW w:w="1310" w:type="dxa"/>
            <w:tcBorders>
              <w:top w:val="nil"/>
              <w:left w:val="nil"/>
              <w:bottom w:val="nil"/>
              <w:right w:val="nil"/>
            </w:tcBorders>
            <w:shd w:val="clear" w:color="auto" w:fill="auto"/>
            <w:noWrap/>
            <w:vAlign w:val="bottom"/>
            <w:hideMark/>
          </w:tcPr>
          <w:p w14:paraId="35A2E2B6"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w:t>
            </w:r>
          </w:p>
        </w:tc>
        <w:tc>
          <w:tcPr>
            <w:tcW w:w="828" w:type="dxa"/>
            <w:tcBorders>
              <w:top w:val="nil"/>
              <w:left w:val="nil"/>
              <w:bottom w:val="nil"/>
              <w:right w:val="nil"/>
            </w:tcBorders>
            <w:shd w:val="clear" w:color="auto" w:fill="auto"/>
            <w:noWrap/>
            <w:vAlign w:val="bottom"/>
            <w:hideMark/>
          </w:tcPr>
          <w:p w14:paraId="44E02DAC"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3.95</w:t>
            </w:r>
          </w:p>
        </w:tc>
      </w:tr>
      <w:tr w:rsidR="004969AF" w:rsidRPr="00E71565" w14:paraId="2476695E" w14:textId="77777777" w:rsidTr="007D4147">
        <w:trPr>
          <w:trHeight w:val="315"/>
        </w:trPr>
        <w:tc>
          <w:tcPr>
            <w:tcW w:w="2202" w:type="dxa"/>
            <w:tcBorders>
              <w:top w:val="nil"/>
              <w:left w:val="nil"/>
              <w:bottom w:val="nil"/>
              <w:right w:val="nil"/>
            </w:tcBorders>
            <w:shd w:val="clear" w:color="auto" w:fill="auto"/>
            <w:noWrap/>
            <w:vAlign w:val="bottom"/>
            <w:hideMark/>
          </w:tcPr>
          <w:p w14:paraId="59CD917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 30,000-</w:t>
            </w:r>
            <w:r w:rsidRPr="00E71565">
              <w:rPr>
                <w:rFonts w:ascii="Times New Roman" w:eastAsia="Times New Roman" w:hAnsi="Times New Roman" w:cs="Times New Roman"/>
                <w:dstrike/>
                <w:sz w:val="24"/>
                <w:szCs w:val="24"/>
              </w:rPr>
              <w:t xml:space="preserve"> N</w:t>
            </w:r>
            <w:r w:rsidRPr="00E71565">
              <w:rPr>
                <w:rFonts w:ascii="Times New Roman" w:eastAsia="Times New Roman" w:hAnsi="Times New Roman" w:cs="Times New Roman"/>
                <w:sz w:val="24"/>
                <w:szCs w:val="24"/>
              </w:rPr>
              <w:t xml:space="preserve"> 49,000</w:t>
            </w:r>
          </w:p>
        </w:tc>
        <w:tc>
          <w:tcPr>
            <w:tcW w:w="1310" w:type="dxa"/>
            <w:tcBorders>
              <w:top w:val="nil"/>
              <w:left w:val="nil"/>
              <w:bottom w:val="nil"/>
              <w:right w:val="nil"/>
            </w:tcBorders>
            <w:shd w:val="clear" w:color="auto" w:fill="auto"/>
            <w:noWrap/>
            <w:vAlign w:val="bottom"/>
            <w:hideMark/>
          </w:tcPr>
          <w:p w14:paraId="3E526091"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12</w:t>
            </w:r>
          </w:p>
        </w:tc>
        <w:tc>
          <w:tcPr>
            <w:tcW w:w="1389" w:type="dxa"/>
            <w:tcBorders>
              <w:top w:val="nil"/>
              <w:left w:val="nil"/>
              <w:bottom w:val="nil"/>
              <w:right w:val="nil"/>
            </w:tcBorders>
            <w:shd w:val="clear" w:color="auto" w:fill="auto"/>
            <w:noWrap/>
            <w:vAlign w:val="bottom"/>
            <w:hideMark/>
          </w:tcPr>
          <w:p w14:paraId="794F6873"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18.75</w:t>
            </w:r>
          </w:p>
        </w:tc>
        <w:tc>
          <w:tcPr>
            <w:tcW w:w="1310" w:type="dxa"/>
            <w:tcBorders>
              <w:top w:val="nil"/>
              <w:left w:val="nil"/>
              <w:bottom w:val="nil"/>
              <w:right w:val="nil"/>
            </w:tcBorders>
            <w:shd w:val="clear" w:color="auto" w:fill="auto"/>
            <w:noWrap/>
            <w:vAlign w:val="bottom"/>
            <w:hideMark/>
          </w:tcPr>
          <w:p w14:paraId="7666F272"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w:t>
            </w:r>
          </w:p>
        </w:tc>
        <w:tc>
          <w:tcPr>
            <w:tcW w:w="1389" w:type="dxa"/>
            <w:tcBorders>
              <w:top w:val="nil"/>
              <w:left w:val="nil"/>
              <w:bottom w:val="nil"/>
              <w:right w:val="nil"/>
            </w:tcBorders>
            <w:shd w:val="clear" w:color="auto" w:fill="auto"/>
            <w:noWrap/>
            <w:vAlign w:val="bottom"/>
            <w:hideMark/>
          </w:tcPr>
          <w:p w14:paraId="666FE431"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5.26</w:t>
            </w:r>
          </w:p>
        </w:tc>
        <w:tc>
          <w:tcPr>
            <w:tcW w:w="1310" w:type="dxa"/>
            <w:tcBorders>
              <w:top w:val="nil"/>
              <w:left w:val="nil"/>
              <w:bottom w:val="nil"/>
              <w:right w:val="nil"/>
            </w:tcBorders>
            <w:shd w:val="clear" w:color="auto" w:fill="auto"/>
            <w:noWrap/>
            <w:vAlign w:val="bottom"/>
            <w:hideMark/>
          </w:tcPr>
          <w:p w14:paraId="6D92117A"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w:t>
            </w:r>
          </w:p>
        </w:tc>
        <w:tc>
          <w:tcPr>
            <w:tcW w:w="828" w:type="dxa"/>
            <w:tcBorders>
              <w:top w:val="nil"/>
              <w:left w:val="nil"/>
              <w:bottom w:val="nil"/>
              <w:right w:val="nil"/>
            </w:tcBorders>
            <w:shd w:val="clear" w:color="auto" w:fill="auto"/>
            <w:noWrap/>
            <w:vAlign w:val="bottom"/>
            <w:hideMark/>
          </w:tcPr>
          <w:p w14:paraId="17B561D2"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6.58</w:t>
            </w:r>
          </w:p>
        </w:tc>
      </w:tr>
      <w:tr w:rsidR="004969AF" w:rsidRPr="00E71565" w14:paraId="785978FA" w14:textId="77777777" w:rsidTr="007D4147">
        <w:trPr>
          <w:trHeight w:val="315"/>
        </w:trPr>
        <w:tc>
          <w:tcPr>
            <w:tcW w:w="2202" w:type="dxa"/>
            <w:tcBorders>
              <w:top w:val="nil"/>
              <w:left w:val="nil"/>
              <w:bottom w:val="nil"/>
              <w:right w:val="nil"/>
            </w:tcBorders>
            <w:shd w:val="clear" w:color="auto" w:fill="auto"/>
            <w:noWrap/>
            <w:vAlign w:val="bottom"/>
            <w:hideMark/>
          </w:tcPr>
          <w:p w14:paraId="6DB4F7D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 50,000-</w:t>
            </w:r>
            <w:r w:rsidRPr="00E71565">
              <w:rPr>
                <w:rFonts w:ascii="Times New Roman" w:eastAsia="Times New Roman" w:hAnsi="Times New Roman" w:cs="Times New Roman"/>
                <w:dstrike/>
                <w:sz w:val="24"/>
                <w:szCs w:val="24"/>
              </w:rPr>
              <w:t xml:space="preserve"> N</w:t>
            </w:r>
            <w:r w:rsidRPr="00E71565">
              <w:rPr>
                <w:rFonts w:ascii="Times New Roman" w:eastAsia="Times New Roman" w:hAnsi="Times New Roman" w:cs="Times New Roman"/>
                <w:sz w:val="24"/>
                <w:szCs w:val="24"/>
              </w:rPr>
              <w:t xml:space="preserve"> 89,000</w:t>
            </w:r>
          </w:p>
        </w:tc>
        <w:tc>
          <w:tcPr>
            <w:tcW w:w="1310" w:type="dxa"/>
            <w:tcBorders>
              <w:top w:val="nil"/>
              <w:left w:val="nil"/>
              <w:bottom w:val="nil"/>
              <w:right w:val="nil"/>
            </w:tcBorders>
            <w:shd w:val="clear" w:color="auto" w:fill="auto"/>
            <w:noWrap/>
            <w:vAlign w:val="bottom"/>
            <w:hideMark/>
          </w:tcPr>
          <w:p w14:paraId="5294D1E4"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13</w:t>
            </w:r>
          </w:p>
        </w:tc>
        <w:tc>
          <w:tcPr>
            <w:tcW w:w="1389" w:type="dxa"/>
            <w:tcBorders>
              <w:top w:val="nil"/>
              <w:left w:val="nil"/>
              <w:bottom w:val="nil"/>
              <w:right w:val="nil"/>
            </w:tcBorders>
            <w:shd w:val="clear" w:color="auto" w:fill="auto"/>
            <w:noWrap/>
            <w:vAlign w:val="bottom"/>
            <w:hideMark/>
          </w:tcPr>
          <w:p w14:paraId="3244E920"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20.31</w:t>
            </w:r>
          </w:p>
        </w:tc>
        <w:tc>
          <w:tcPr>
            <w:tcW w:w="1310" w:type="dxa"/>
            <w:tcBorders>
              <w:top w:val="nil"/>
              <w:left w:val="nil"/>
              <w:bottom w:val="nil"/>
              <w:right w:val="nil"/>
            </w:tcBorders>
            <w:shd w:val="clear" w:color="auto" w:fill="auto"/>
            <w:noWrap/>
            <w:vAlign w:val="bottom"/>
            <w:hideMark/>
          </w:tcPr>
          <w:p w14:paraId="18B04D8A"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24</w:t>
            </w:r>
          </w:p>
        </w:tc>
        <w:tc>
          <w:tcPr>
            <w:tcW w:w="1389" w:type="dxa"/>
            <w:tcBorders>
              <w:top w:val="nil"/>
              <w:left w:val="nil"/>
              <w:bottom w:val="nil"/>
              <w:right w:val="nil"/>
            </w:tcBorders>
            <w:shd w:val="clear" w:color="auto" w:fill="auto"/>
            <w:noWrap/>
            <w:vAlign w:val="bottom"/>
            <w:hideMark/>
          </w:tcPr>
          <w:p w14:paraId="3E9B639A"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31.58</w:t>
            </w:r>
          </w:p>
        </w:tc>
        <w:tc>
          <w:tcPr>
            <w:tcW w:w="1310" w:type="dxa"/>
            <w:tcBorders>
              <w:top w:val="nil"/>
              <w:left w:val="nil"/>
              <w:bottom w:val="nil"/>
              <w:right w:val="nil"/>
            </w:tcBorders>
            <w:shd w:val="clear" w:color="auto" w:fill="auto"/>
            <w:noWrap/>
            <w:vAlign w:val="bottom"/>
            <w:hideMark/>
          </w:tcPr>
          <w:p w14:paraId="6A48D4D3"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23</w:t>
            </w:r>
          </w:p>
        </w:tc>
        <w:tc>
          <w:tcPr>
            <w:tcW w:w="828" w:type="dxa"/>
            <w:tcBorders>
              <w:top w:val="nil"/>
              <w:left w:val="nil"/>
              <w:bottom w:val="nil"/>
              <w:right w:val="nil"/>
            </w:tcBorders>
            <w:shd w:val="clear" w:color="auto" w:fill="auto"/>
            <w:noWrap/>
            <w:vAlign w:val="bottom"/>
            <w:hideMark/>
          </w:tcPr>
          <w:p w14:paraId="0719803E"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30.26</w:t>
            </w:r>
          </w:p>
        </w:tc>
      </w:tr>
      <w:tr w:rsidR="004969AF" w:rsidRPr="00E71565" w14:paraId="09679E21" w14:textId="77777777" w:rsidTr="007D4147">
        <w:trPr>
          <w:trHeight w:val="315"/>
        </w:trPr>
        <w:tc>
          <w:tcPr>
            <w:tcW w:w="2202" w:type="dxa"/>
            <w:tcBorders>
              <w:top w:val="nil"/>
              <w:left w:val="nil"/>
              <w:bottom w:val="nil"/>
              <w:right w:val="nil"/>
            </w:tcBorders>
            <w:shd w:val="clear" w:color="auto" w:fill="auto"/>
            <w:noWrap/>
            <w:vAlign w:val="bottom"/>
            <w:hideMark/>
          </w:tcPr>
          <w:p w14:paraId="1B830057" w14:textId="77777777" w:rsidR="004969AF" w:rsidRPr="00E71565" w:rsidRDefault="004969AF" w:rsidP="007A19BE">
            <w:pPr>
              <w:spacing w:after="0" w:line="240" w:lineRule="auto"/>
              <w:rPr>
                <w:rFonts w:ascii="Times New Roman" w:eastAsia="Times New Roman" w:hAnsi="Times New Roman" w:cs="Times New Roman"/>
                <w:sz w:val="24"/>
                <w:szCs w:val="24"/>
              </w:rPr>
            </w:pP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90,000-</w:t>
            </w:r>
            <w:r w:rsidRPr="00E71565">
              <w:rPr>
                <w:rFonts w:ascii="Times New Roman" w:eastAsia="Times New Roman" w:hAnsi="Times New Roman" w:cs="Times New Roman"/>
                <w:dstrike/>
                <w:sz w:val="24"/>
                <w:szCs w:val="24"/>
              </w:rPr>
              <w:t xml:space="preserve"> N</w:t>
            </w:r>
            <w:r w:rsidRPr="00E71565">
              <w:rPr>
                <w:rFonts w:ascii="Times New Roman" w:eastAsia="Times New Roman" w:hAnsi="Times New Roman" w:cs="Times New Roman"/>
                <w:sz w:val="24"/>
                <w:szCs w:val="24"/>
              </w:rPr>
              <w:t>129,000</w:t>
            </w:r>
          </w:p>
        </w:tc>
        <w:tc>
          <w:tcPr>
            <w:tcW w:w="1310" w:type="dxa"/>
            <w:tcBorders>
              <w:top w:val="nil"/>
              <w:left w:val="nil"/>
              <w:bottom w:val="nil"/>
              <w:right w:val="nil"/>
            </w:tcBorders>
            <w:shd w:val="clear" w:color="auto" w:fill="auto"/>
            <w:noWrap/>
            <w:vAlign w:val="bottom"/>
            <w:hideMark/>
          </w:tcPr>
          <w:p w14:paraId="0BB0C447"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23</w:t>
            </w:r>
          </w:p>
        </w:tc>
        <w:tc>
          <w:tcPr>
            <w:tcW w:w="1389" w:type="dxa"/>
            <w:tcBorders>
              <w:top w:val="nil"/>
              <w:left w:val="nil"/>
              <w:bottom w:val="nil"/>
              <w:right w:val="nil"/>
            </w:tcBorders>
            <w:shd w:val="clear" w:color="auto" w:fill="auto"/>
            <w:noWrap/>
            <w:vAlign w:val="bottom"/>
            <w:hideMark/>
          </w:tcPr>
          <w:p w14:paraId="176693E3"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35.94</w:t>
            </w:r>
          </w:p>
        </w:tc>
        <w:tc>
          <w:tcPr>
            <w:tcW w:w="1310" w:type="dxa"/>
            <w:tcBorders>
              <w:top w:val="nil"/>
              <w:left w:val="nil"/>
              <w:bottom w:val="nil"/>
              <w:right w:val="nil"/>
            </w:tcBorders>
            <w:shd w:val="clear" w:color="auto" w:fill="auto"/>
            <w:noWrap/>
            <w:vAlign w:val="bottom"/>
            <w:hideMark/>
          </w:tcPr>
          <w:p w14:paraId="554438DD"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29</w:t>
            </w:r>
          </w:p>
        </w:tc>
        <w:tc>
          <w:tcPr>
            <w:tcW w:w="1389" w:type="dxa"/>
            <w:tcBorders>
              <w:top w:val="nil"/>
              <w:left w:val="nil"/>
              <w:bottom w:val="nil"/>
              <w:right w:val="nil"/>
            </w:tcBorders>
            <w:shd w:val="clear" w:color="auto" w:fill="auto"/>
            <w:noWrap/>
            <w:vAlign w:val="bottom"/>
            <w:hideMark/>
          </w:tcPr>
          <w:p w14:paraId="3546687A"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38.16</w:t>
            </w:r>
          </w:p>
        </w:tc>
        <w:tc>
          <w:tcPr>
            <w:tcW w:w="1310" w:type="dxa"/>
            <w:tcBorders>
              <w:top w:val="nil"/>
              <w:left w:val="nil"/>
              <w:bottom w:val="nil"/>
              <w:right w:val="nil"/>
            </w:tcBorders>
            <w:shd w:val="clear" w:color="auto" w:fill="auto"/>
            <w:noWrap/>
            <w:vAlign w:val="bottom"/>
            <w:hideMark/>
          </w:tcPr>
          <w:p w14:paraId="6922E344"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28</w:t>
            </w:r>
          </w:p>
        </w:tc>
        <w:tc>
          <w:tcPr>
            <w:tcW w:w="828" w:type="dxa"/>
            <w:tcBorders>
              <w:top w:val="nil"/>
              <w:left w:val="nil"/>
              <w:bottom w:val="nil"/>
              <w:right w:val="nil"/>
            </w:tcBorders>
            <w:shd w:val="clear" w:color="auto" w:fill="auto"/>
            <w:noWrap/>
            <w:vAlign w:val="bottom"/>
            <w:hideMark/>
          </w:tcPr>
          <w:p w14:paraId="7A758476"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36.84</w:t>
            </w:r>
          </w:p>
        </w:tc>
      </w:tr>
      <w:tr w:rsidR="004969AF" w:rsidRPr="00E71565" w14:paraId="2C2DF103" w14:textId="77777777" w:rsidTr="007D4147">
        <w:trPr>
          <w:trHeight w:val="315"/>
        </w:trPr>
        <w:tc>
          <w:tcPr>
            <w:tcW w:w="2202" w:type="dxa"/>
            <w:tcBorders>
              <w:top w:val="nil"/>
              <w:left w:val="nil"/>
              <w:bottom w:val="nil"/>
              <w:right w:val="nil"/>
            </w:tcBorders>
            <w:shd w:val="clear" w:color="auto" w:fill="auto"/>
            <w:noWrap/>
            <w:vAlign w:val="bottom"/>
            <w:hideMark/>
          </w:tcPr>
          <w:p w14:paraId="672A03D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 130,000 &amp; above</w:t>
            </w:r>
          </w:p>
        </w:tc>
        <w:tc>
          <w:tcPr>
            <w:tcW w:w="1310" w:type="dxa"/>
            <w:tcBorders>
              <w:top w:val="nil"/>
              <w:left w:val="nil"/>
              <w:bottom w:val="nil"/>
              <w:right w:val="nil"/>
            </w:tcBorders>
            <w:shd w:val="clear" w:color="auto" w:fill="auto"/>
            <w:noWrap/>
            <w:vAlign w:val="bottom"/>
            <w:hideMark/>
          </w:tcPr>
          <w:p w14:paraId="51E17318"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9</w:t>
            </w:r>
          </w:p>
        </w:tc>
        <w:tc>
          <w:tcPr>
            <w:tcW w:w="1389" w:type="dxa"/>
            <w:tcBorders>
              <w:top w:val="nil"/>
              <w:left w:val="nil"/>
              <w:bottom w:val="nil"/>
              <w:right w:val="nil"/>
            </w:tcBorders>
            <w:shd w:val="clear" w:color="auto" w:fill="auto"/>
            <w:noWrap/>
            <w:vAlign w:val="bottom"/>
            <w:hideMark/>
          </w:tcPr>
          <w:p w14:paraId="51093776"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14.06</w:t>
            </w:r>
          </w:p>
        </w:tc>
        <w:tc>
          <w:tcPr>
            <w:tcW w:w="1310" w:type="dxa"/>
            <w:tcBorders>
              <w:top w:val="nil"/>
              <w:left w:val="nil"/>
              <w:bottom w:val="single" w:sz="4" w:space="0" w:color="auto"/>
              <w:right w:val="nil"/>
            </w:tcBorders>
            <w:shd w:val="clear" w:color="auto" w:fill="auto"/>
            <w:noWrap/>
            <w:vAlign w:val="bottom"/>
            <w:hideMark/>
          </w:tcPr>
          <w:p w14:paraId="69A1783D"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w:t>
            </w:r>
          </w:p>
        </w:tc>
        <w:tc>
          <w:tcPr>
            <w:tcW w:w="1389" w:type="dxa"/>
            <w:tcBorders>
              <w:top w:val="nil"/>
              <w:left w:val="nil"/>
              <w:bottom w:val="nil"/>
              <w:right w:val="nil"/>
            </w:tcBorders>
            <w:shd w:val="clear" w:color="auto" w:fill="auto"/>
            <w:noWrap/>
            <w:vAlign w:val="bottom"/>
            <w:hideMark/>
          </w:tcPr>
          <w:p w14:paraId="728EBC36"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25.00</w:t>
            </w:r>
          </w:p>
        </w:tc>
        <w:tc>
          <w:tcPr>
            <w:tcW w:w="1310" w:type="dxa"/>
            <w:tcBorders>
              <w:top w:val="nil"/>
              <w:left w:val="nil"/>
              <w:bottom w:val="single" w:sz="4" w:space="0" w:color="auto"/>
              <w:right w:val="nil"/>
            </w:tcBorders>
            <w:shd w:val="clear" w:color="auto" w:fill="auto"/>
            <w:noWrap/>
            <w:vAlign w:val="bottom"/>
            <w:hideMark/>
          </w:tcPr>
          <w:p w14:paraId="68D74DB7"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w:t>
            </w:r>
          </w:p>
        </w:tc>
        <w:tc>
          <w:tcPr>
            <w:tcW w:w="828" w:type="dxa"/>
            <w:tcBorders>
              <w:top w:val="nil"/>
              <w:left w:val="nil"/>
              <w:bottom w:val="nil"/>
              <w:right w:val="nil"/>
            </w:tcBorders>
            <w:shd w:val="clear" w:color="auto" w:fill="auto"/>
            <w:noWrap/>
            <w:vAlign w:val="bottom"/>
            <w:hideMark/>
          </w:tcPr>
          <w:p w14:paraId="26CD471D" w14:textId="77777777" w:rsidR="004969AF" w:rsidRPr="00E71565" w:rsidRDefault="004969AF" w:rsidP="007A19BE">
            <w:pPr>
              <w:spacing w:after="0" w:line="240" w:lineRule="auto"/>
              <w:jc w:val="center"/>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22.37</w:t>
            </w:r>
          </w:p>
        </w:tc>
      </w:tr>
      <w:tr w:rsidR="004969AF" w:rsidRPr="00E71565" w14:paraId="07400129" w14:textId="77777777" w:rsidTr="007D4147">
        <w:trPr>
          <w:trHeight w:val="315"/>
        </w:trPr>
        <w:tc>
          <w:tcPr>
            <w:tcW w:w="2202" w:type="dxa"/>
            <w:tcBorders>
              <w:top w:val="single" w:sz="4" w:space="0" w:color="auto"/>
              <w:left w:val="nil"/>
              <w:bottom w:val="single" w:sz="4" w:space="0" w:color="auto"/>
              <w:right w:val="nil"/>
            </w:tcBorders>
            <w:shd w:val="clear" w:color="auto" w:fill="auto"/>
            <w:noWrap/>
            <w:vAlign w:val="bottom"/>
            <w:hideMark/>
          </w:tcPr>
          <w:p w14:paraId="7983D2E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310" w:type="dxa"/>
            <w:tcBorders>
              <w:top w:val="single" w:sz="4" w:space="0" w:color="auto"/>
              <w:left w:val="nil"/>
              <w:bottom w:val="single" w:sz="4" w:space="0" w:color="auto"/>
              <w:right w:val="nil"/>
            </w:tcBorders>
            <w:shd w:val="clear" w:color="auto" w:fill="auto"/>
            <w:noWrap/>
            <w:vAlign w:val="bottom"/>
            <w:hideMark/>
          </w:tcPr>
          <w:p w14:paraId="513E1D4A"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64</w:t>
            </w:r>
          </w:p>
        </w:tc>
        <w:tc>
          <w:tcPr>
            <w:tcW w:w="1389" w:type="dxa"/>
            <w:tcBorders>
              <w:top w:val="single" w:sz="4" w:space="0" w:color="auto"/>
              <w:left w:val="nil"/>
              <w:bottom w:val="single" w:sz="4" w:space="0" w:color="auto"/>
              <w:right w:val="nil"/>
            </w:tcBorders>
            <w:shd w:val="clear" w:color="auto" w:fill="auto"/>
            <w:noWrap/>
            <w:vAlign w:val="bottom"/>
            <w:hideMark/>
          </w:tcPr>
          <w:p w14:paraId="56F67D05"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nil"/>
              <w:left w:val="nil"/>
              <w:bottom w:val="single" w:sz="4" w:space="0" w:color="auto"/>
              <w:right w:val="nil"/>
            </w:tcBorders>
            <w:shd w:val="clear" w:color="auto" w:fill="auto"/>
            <w:noWrap/>
            <w:vAlign w:val="bottom"/>
            <w:hideMark/>
          </w:tcPr>
          <w:p w14:paraId="4926FA30"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1389" w:type="dxa"/>
            <w:tcBorders>
              <w:top w:val="single" w:sz="4" w:space="0" w:color="auto"/>
              <w:left w:val="nil"/>
              <w:bottom w:val="single" w:sz="4" w:space="0" w:color="auto"/>
              <w:right w:val="nil"/>
            </w:tcBorders>
            <w:shd w:val="clear" w:color="auto" w:fill="auto"/>
            <w:noWrap/>
            <w:vAlign w:val="bottom"/>
            <w:hideMark/>
          </w:tcPr>
          <w:p w14:paraId="7758E750"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10" w:type="dxa"/>
            <w:tcBorders>
              <w:top w:val="nil"/>
              <w:left w:val="nil"/>
              <w:bottom w:val="single" w:sz="4" w:space="0" w:color="auto"/>
              <w:right w:val="nil"/>
            </w:tcBorders>
            <w:shd w:val="clear" w:color="auto" w:fill="auto"/>
            <w:noWrap/>
            <w:vAlign w:val="bottom"/>
            <w:hideMark/>
          </w:tcPr>
          <w:p w14:paraId="28AEED23"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828" w:type="dxa"/>
            <w:tcBorders>
              <w:top w:val="single" w:sz="4" w:space="0" w:color="auto"/>
              <w:left w:val="nil"/>
              <w:bottom w:val="single" w:sz="4" w:space="0" w:color="auto"/>
              <w:right w:val="nil"/>
            </w:tcBorders>
            <w:shd w:val="clear" w:color="auto" w:fill="auto"/>
            <w:noWrap/>
            <w:vAlign w:val="bottom"/>
            <w:hideMark/>
          </w:tcPr>
          <w:p w14:paraId="59CC21F8" w14:textId="77777777" w:rsidR="004969AF" w:rsidRPr="00E71565" w:rsidRDefault="004969AF" w:rsidP="007A19BE">
            <w:pPr>
              <w:spacing w:after="0" w:line="240" w:lineRule="auto"/>
              <w:jc w:val="center"/>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r>
    </w:tbl>
    <w:p w14:paraId="3D79421C" w14:textId="3C69799E" w:rsidR="004969AF" w:rsidRPr="00E71565" w:rsidRDefault="004969AF" w:rsidP="007A19BE">
      <w:pPr>
        <w:spacing w:before="120" w:after="120" w:line="240" w:lineRule="auto"/>
        <w:jc w:val="both"/>
        <w:rPr>
          <w:rFonts w:ascii="Times New Roman" w:eastAsia="Times New Roman" w:hAnsi="Times New Roman" w:cs="Times New Roman"/>
          <w:sz w:val="24"/>
          <w:szCs w:val="24"/>
        </w:rPr>
      </w:pPr>
      <w:r w:rsidRPr="00E71565">
        <w:rPr>
          <w:rFonts w:ascii="Times New Roman" w:hAnsi="Times New Roman" w:cs="Times New Roman"/>
          <w:sz w:val="24"/>
          <w:szCs w:val="24"/>
        </w:rPr>
        <w:lastRenderedPageBreak/>
        <w:t xml:space="preserve">From Table 5, the analysis on monthly income range shows that 36.98% of the respondents earned in the range of </w:t>
      </w:r>
      <w:r w:rsidRPr="00E71565">
        <w:rPr>
          <w:rFonts w:ascii="Times New Roman" w:eastAsia="Times New Roman" w:hAnsi="Times New Roman" w:cs="Times New Roman"/>
          <w:dstrike/>
          <w:sz w:val="24"/>
          <w:szCs w:val="24"/>
        </w:rPr>
        <w:t>N</w:t>
      </w:r>
      <w:r w:rsidR="005F2532" w:rsidRPr="00E71565">
        <w:rPr>
          <w:rFonts w:ascii="Times New Roman" w:eastAsia="Times New Roman" w:hAnsi="Times New Roman" w:cs="Times New Roman"/>
          <w:sz w:val="24"/>
          <w:szCs w:val="24"/>
        </w:rPr>
        <w:t>90</w:t>
      </w:r>
      <w:proofErr w:type="gramStart"/>
      <w:r w:rsidR="005F2532" w:rsidRPr="00E71565">
        <w:rPr>
          <w:rFonts w:ascii="Times New Roman" w:eastAsia="Times New Roman" w:hAnsi="Times New Roman" w:cs="Times New Roman"/>
          <w:sz w:val="24"/>
          <w:szCs w:val="24"/>
        </w:rPr>
        <w:t>,000</w:t>
      </w:r>
      <w:proofErr w:type="gramEnd"/>
      <w:r w:rsidR="005F2532" w:rsidRPr="00E71565">
        <w:rPr>
          <w:rFonts w:ascii="Times New Roman" w:eastAsia="Times New Roman" w:hAnsi="Times New Roman" w:cs="Times New Roman"/>
          <w:sz w:val="24"/>
          <w:szCs w:val="24"/>
        </w:rPr>
        <w:t xml:space="preserve"> - </w:t>
      </w:r>
      <w:r w:rsidR="005F2532"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129,000, 27.38% earned in the range of </w:t>
      </w:r>
      <w:r w:rsidRPr="00E71565">
        <w:rPr>
          <w:rFonts w:ascii="Times New Roman" w:eastAsia="Times New Roman" w:hAnsi="Times New Roman" w:cs="Times New Roman"/>
          <w:dstrike/>
          <w:sz w:val="24"/>
          <w:szCs w:val="24"/>
        </w:rPr>
        <w:t>N</w:t>
      </w:r>
      <w:r w:rsidR="005F2532" w:rsidRPr="00E71565">
        <w:rPr>
          <w:rFonts w:ascii="Times New Roman" w:eastAsia="Times New Roman" w:hAnsi="Times New Roman" w:cs="Times New Roman"/>
          <w:sz w:val="24"/>
          <w:szCs w:val="24"/>
        </w:rPr>
        <w:t xml:space="preserve">50,000 - </w:t>
      </w:r>
      <w:r w:rsidR="005F2532" w:rsidRPr="00E71565">
        <w:rPr>
          <w:rFonts w:ascii="Times New Roman" w:eastAsia="Times New Roman" w:hAnsi="Times New Roman" w:cs="Times New Roman"/>
          <w:dstrike/>
          <w:sz w:val="24"/>
          <w:szCs w:val="24"/>
        </w:rPr>
        <w:t xml:space="preserve"> N</w:t>
      </w:r>
      <w:r w:rsidR="005F2532" w:rsidRPr="00E71565">
        <w:rPr>
          <w:rFonts w:ascii="Times New Roman" w:eastAsia="Times New Roman" w:hAnsi="Times New Roman" w:cs="Times New Roman"/>
          <w:sz w:val="24"/>
          <w:szCs w:val="24"/>
        </w:rPr>
        <w:t xml:space="preserve"> </w:t>
      </w:r>
      <w:r w:rsidRPr="00E71565">
        <w:rPr>
          <w:rFonts w:ascii="Times New Roman" w:eastAsia="Times New Roman" w:hAnsi="Times New Roman" w:cs="Times New Roman"/>
          <w:sz w:val="24"/>
          <w:szCs w:val="24"/>
        </w:rPr>
        <w:t xml:space="preserve">89,000, 20.48% of the respondents monthly income are in the range of </w:t>
      </w: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130,000 and above, 10.20% of the respondents earned between </w:t>
      </w:r>
      <w:r w:rsidRPr="00E71565">
        <w:rPr>
          <w:rFonts w:ascii="Times New Roman" w:eastAsia="Times New Roman" w:hAnsi="Times New Roman" w:cs="Times New Roman"/>
          <w:dstrike/>
          <w:sz w:val="24"/>
          <w:szCs w:val="24"/>
        </w:rPr>
        <w:t>N</w:t>
      </w:r>
      <w:r w:rsidR="005F2532" w:rsidRPr="00E71565">
        <w:rPr>
          <w:rFonts w:ascii="Times New Roman" w:eastAsia="Times New Roman" w:hAnsi="Times New Roman" w:cs="Times New Roman"/>
          <w:sz w:val="24"/>
          <w:szCs w:val="24"/>
        </w:rPr>
        <w:t xml:space="preserve">30,000 - </w:t>
      </w:r>
      <w:r w:rsidR="005F2532" w:rsidRPr="00E71565">
        <w:rPr>
          <w:rFonts w:ascii="Times New Roman" w:eastAsia="Times New Roman" w:hAnsi="Times New Roman" w:cs="Times New Roman"/>
          <w:dstrike/>
          <w:sz w:val="24"/>
          <w:szCs w:val="24"/>
        </w:rPr>
        <w:t xml:space="preserve"> N</w:t>
      </w:r>
      <w:r w:rsidR="005F2532" w:rsidRPr="00E71565">
        <w:rPr>
          <w:rFonts w:ascii="Times New Roman" w:eastAsia="Times New Roman" w:hAnsi="Times New Roman" w:cs="Times New Roman"/>
          <w:sz w:val="24"/>
          <w:szCs w:val="24"/>
        </w:rPr>
        <w:t xml:space="preserve"> </w:t>
      </w:r>
      <w:r w:rsidRPr="00E71565">
        <w:rPr>
          <w:rFonts w:ascii="Times New Roman" w:eastAsia="Times New Roman" w:hAnsi="Times New Roman" w:cs="Times New Roman"/>
          <w:sz w:val="24"/>
          <w:szCs w:val="24"/>
        </w:rPr>
        <w:t xml:space="preserve">49,000, while  the remaining 4.96% of the respondent earned a monthly income less than </w:t>
      </w:r>
      <w:r w:rsidRPr="00E71565">
        <w:rPr>
          <w:rFonts w:ascii="Times New Roman" w:eastAsia="Times New Roman" w:hAnsi="Times New Roman" w:cs="Times New Roman"/>
          <w:dstrike/>
          <w:sz w:val="24"/>
          <w:szCs w:val="24"/>
        </w:rPr>
        <w:t>N</w:t>
      </w:r>
      <w:r w:rsidRPr="00E71565">
        <w:rPr>
          <w:rFonts w:ascii="Times New Roman" w:eastAsia="Times New Roman" w:hAnsi="Times New Roman" w:cs="Times New Roman"/>
          <w:sz w:val="24"/>
          <w:szCs w:val="24"/>
        </w:rPr>
        <w:t xml:space="preserve">30,000. Therefore, it can be concluded that the majority of the respondents has good monthly income base to decide their choice of residential location and as well as the accommodation types. </w:t>
      </w:r>
    </w:p>
    <w:tbl>
      <w:tblPr>
        <w:tblW w:w="9378" w:type="dxa"/>
        <w:tblLook w:val="04A0" w:firstRow="1" w:lastRow="0" w:firstColumn="1" w:lastColumn="0" w:noHBand="0" w:noVBand="1"/>
      </w:tblPr>
      <w:tblGrid>
        <w:gridCol w:w="1437"/>
        <w:gridCol w:w="1343"/>
        <w:gridCol w:w="1525"/>
        <w:gridCol w:w="1343"/>
        <w:gridCol w:w="1525"/>
        <w:gridCol w:w="1343"/>
        <w:gridCol w:w="876"/>
      </w:tblGrid>
      <w:tr w:rsidR="004969AF" w:rsidRPr="00E71565" w14:paraId="7E09E8DF" w14:textId="77777777" w:rsidTr="007D4147">
        <w:trPr>
          <w:trHeight w:val="315"/>
        </w:trPr>
        <w:tc>
          <w:tcPr>
            <w:tcW w:w="9378" w:type="dxa"/>
            <w:gridSpan w:val="7"/>
            <w:tcBorders>
              <w:top w:val="nil"/>
              <w:left w:val="nil"/>
              <w:bottom w:val="nil"/>
              <w:right w:val="nil"/>
            </w:tcBorders>
            <w:shd w:val="clear" w:color="auto" w:fill="auto"/>
            <w:noWrap/>
            <w:vAlign w:val="bottom"/>
            <w:hideMark/>
          </w:tcPr>
          <w:p w14:paraId="6FE9F93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sz w:val="24"/>
                <w:szCs w:val="24"/>
                <w:lang w:val="en-GB" w:eastAsia="en-GB"/>
              </w:rPr>
              <w:t xml:space="preserve">Table 6: </w:t>
            </w:r>
            <w:r w:rsidRPr="00E71565">
              <w:rPr>
                <w:rFonts w:ascii="Times New Roman" w:eastAsia="Times New Roman" w:hAnsi="Times New Roman" w:cs="Times New Roman"/>
                <w:b/>
                <w:bCs/>
                <w:sz w:val="24"/>
                <w:szCs w:val="24"/>
              </w:rPr>
              <w:t>Accommodation types</w:t>
            </w:r>
          </w:p>
        </w:tc>
      </w:tr>
      <w:tr w:rsidR="004969AF" w:rsidRPr="00E71565" w14:paraId="152FDBB3" w14:textId="77777777" w:rsidTr="007D4147">
        <w:trPr>
          <w:trHeight w:val="315"/>
        </w:trPr>
        <w:tc>
          <w:tcPr>
            <w:tcW w:w="1437" w:type="dxa"/>
            <w:vMerge w:val="restart"/>
            <w:tcBorders>
              <w:top w:val="single" w:sz="4" w:space="0" w:color="auto"/>
              <w:left w:val="nil"/>
              <w:bottom w:val="single" w:sz="4" w:space="0" w:color="000000"/>
              <w:right w:val="nil"/>
            </w:tcBorders>
            <w:shd w:val="clear" w:color="auto" w:fill="auto"/>
            <w:noWrap/>
            <w:vAlign w:val="bottom"/>
            <w:hideMark/>
          </w:tcPr>
          <w:p w14:paraId="5D37C10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Responses</w:t>
            </w:r>
          </w:p>
        </w:tc>
        <w:tc>
          <w:tcPr>
            <w:tcW w:w="2868" w:type="dxa"/>
            <w:gridSpan w:val="2"/>
            <w:tcBorders>
              <w:top w:val="single" w:sz="4" w:space="0" w:color="auto"/>
              <w:left w:val="nil"/>
              <w:bottom w:val="single" w:sz="4" w:space="0" w:color="auto"/>
              <w:right w:val="nil"/>
            </w:tcBorders>
            <w:shd w:val="clear" w:color="auto" w:fill="auto"/>
            <w:noWrap/>
            <w:vAlign w:val="bottom"/>
            <w:hideMark/>
          </w:tcPr>
          <w:p w14:paraId="3EF3FEEF"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Fadikpe</w:t>
            </w:r>
            <w:proofErr w:type="spellEnd"/>
          </w:p>
        </w:tc>
        <w:tc>
          <w:tcPr>
            <w:tcW w:w="2868" w:type="dxa"/>
            <w:gridSpan w:val="2"/>
            <w:tcBorders>
              <w:top w:val="single" w:sz="4" w:space="0" w:color="auto"/>
              <w:left w:val="nil"/>
              <w:bottom w:val="single" w:sz="4" w:space="0" w:color="auto"/>
              <w:right w:val="nil"/>
            </w:tcBorders>
            <w:shd w:val="clear" w:color="auto" w:fill="auto"/>
            <w:noWrap/>
            <w:vAlign w:val="bottom"/>
            <w:hideMark/>
          </w:tcPr>
          <w:p w14:paraId="3187D9D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Tundun</w:t>
            </w:r>
            <w:proofErr w:type="spellEnd"/>
            <w:r w:rsidRPr="00E71565">
              <w:rPr>
                <w:rFonts w:ascii="Times New Roman" w:eastAsia="Times New Roman" w:hAnsi="Times New Roman" w:cs="Times New Roman"/>
                <w:b/>
                <w:bCs/>
                <w:sz w:val="24"/>
                <w:szCs w:val="24"/>
              </w:rPr>
              <w:t xml:space="preserve"> Fulani</w:t>
            </w:r>
          </w:p>
        </w:tc>
        <w:tc>
          <w:tcPr>
            <w:tcW w:w="2205" w:type="dxa"/>
            <w:gridSpan w:val="2"/>
            <w:tcBorders>
              <w:top w:val="single" w:sz="4" w:space="0" w:color="auto"/>
              <w:left w:val="nil"/>
              <w:bottom w:val="single" w:sz="4" w:space="0" w:color="auto"/>
              <w:right w:val="nil"/>
            </w:tcBorders>
            <w:shd w:val="clear" w:color="auto" w:fill="auto"/>
            <w:noWrap/>
            <w:vAlign w:val="bottom"/>
            <w:hideMark/>
          </w:tcPr>
          <w:p w14:paraId="43BBC2E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roofErr w:type="spellStart"/>
            <w:r w:rsidRPr="00E71565">
              <w:rPr>
                <w:rFonts w:ascii="Times New Roman" w:eastAsia="Times New Roman" w:hAnsi="Times New Roman" w:cs="Times New Roman"/>
                <w:b/>
                <w:bCs/>
                <w:sz w:val="24"/>
                <w:szCs w:val="24"/>
              </w:rPr>
              <w:t>Bosso</w:t>
            </w:r>
            <w:proofErr w:type="spellEnd"/>
            <w:r w:rsidRPr="00E71565">
              <w:rPr>
                <w:rFonts w:ascii="Times New Roman" w:eastAsia="Times New Roman" w:hAnsi="Times New Roman" w:cs="Times New Roman"/>
                <w:b/>
                <w:bCs/>
                <w:sz w:val="24"/>
                <w:szCs w:val="24"/>
              </w:rPr>
              <w:t xml:space="preserve"> Estate</w:t>
            </w:r>
          </w:p>
        </w:tc>
      </w:tr>
      <w:tr w:rsidR="004969AF" w:rsidRPr="00E71565" w14:paraId="6D9F136E" w14:textId="77777777" w:rsidTr="007D4147">
        <w:trPr>
          <w:trHeight w:val="315"/>
        </w:trPr>
        <w:tc>
          <w:tcPr>
            <w:tcW w:w="1437" w:type="dxa"/>
            <w:vMerge/>
            <w:tcBorders>
              <w:top w:val="single" w:sz="4" w:space="0" w:color="auto"/>
              <w:left w:val="nil"/>
              <w:bottom w:val="single" w:sz="4" w:space="0" w:color="000000"/>
              <w:right w:val="nil"/>
            </w:tcBorders>
            <w:vAlign w:val="center"/>
            <w:hideMark/>
          </w:tcPr>
          <w:p w14:paraId="680C3113"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343" w:type="dxa"/>
            <w:tcBorders>
              <w:top w:val="nil"/>
              <w:left w:val="nil"/>
              <w:bottom w:val="single" w:sz="4" w:space="0" w:color="auto"/>
              <w:right w:val="nil"/>
            </w:tcBorders>
            <w:shd w:val="clear" w:color="auto" w:fill="auto"/>
            <w:noWrap/>
            <w:vAlign w:val="bottom"/>
            <w:hideMark/>
          </w:tcPr>
          <w:p w14:paraId="36C397F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525" w:type="dxa"/>
            <w:tcBorders>
              <w:top w:val="nil"/>
              <w:left w:val="nil"/>
              <w:bottom w:val="single" w:sz="4" w:space="0" w:color="auto"/>
              <w:right w:val="nil"/>
            </w:tcBorders>
            <w:shd w:val="clear" w:color="auto" w:fill="auto"/>
            <w:noWrap/>
            <w:vAlign w:val="bottom"/>
            <w:hideMark/>
          </w:tcPr>
          <w:p w14:paraId="08A8E3ED"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43" w:type="dxa"/>
            <w:tcBorders>
              <w:top w:val="nil"/>
              <w:left w:val="nil"/>
              <w:bottom w:val="single" w:sz="4" w:space="0" w:color="auto"/>
              <w:right w:val="nil"/>
            </w:tcBorders>
            <w:shd w:val="clear" w:color="auto" w:fill="auto"/>
            <w:noWrap/>
            <w:vAlign w:val="bottom"/>
            <w:hideMark/>
          </w:tcPr>
          <w:p w14:paraId="523CB9BD"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1525" w:type="dxa"/>
            <w:tcBorders>
              <w:top w:val="nil"/>
              <w:left w:val="nil"/>
              <w:bottom w:val="single" w:sz="4" w:space="0" w:color="auto"/>
              <w:right w:val="nil"/>
            </w:tcBorders>
            <w:shd w:val="clear" w:color="auto" w:fill="auto"/>
            <w:noWrap/>
            <w:vAlign w:val="bottom"/>
            <w:hideMark/>
          </w:tcPr>
          <w:p w14:paraId="7EAE5BCD"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c>
          <w:tcPr>
            <w:tcW w:w="1343" w:type="dxa"/>
            <w:tcBorders>
              <w:top w:val="nil"/>
              <w:left w:val="nil"/>
              <w:bottom w:val="single" w:sz="4" w:space="0" w:color="auto"/>
              <w:right w:val="nil"/>
            </w:tcBorders>
            <w:shd w:val="clear" w:color="auto" w:fill="auto"/>
            <w:noWrap/>
            <w:vAlign w:val="bottom"/>
            <w:hideMark/>
          </w:tcPr>
          <w:p w14:paraId="0204C701"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Frequency</w:t>
            </w:r>
          </w:p>
        </w:tc>
        <w:tc>
          <w:tcPr>
            <w:tcW w:w="862" w:type="dxa"/>
            <w:tcBorders>
              <w:top w:val="nil"/>
              <w:left w:val="nil"/>
              <w:bottom w:val="single" w:sz="4" w:space="0" w:color="auto"/>
              <w:right w:val="nil"/>
            </w:tcBorders>
            <w:shd w:val="clear" w:color="auto" w:fill="auto"/>
            <w:noWrap/>
            <w:vAlign w:val="bottom"/>
            <w:hideMark/>
          </w:tcPr>
          <w:p w14:paraId="0C532AD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 xml:space="preserve"> (%)</w:t>
            </w:r>
          </w:p>
        </w:tc>
      </w:tr>
      <w:tr w:rsidR="004969AF" w:rsidRPr="00E71565" w14:paraId="49BCD580" w14:textId="77777777" w:rsidTr="007D4147">
        <w:trPr>
          <w:trHeight w:val="315"/>
        </w:trPr>
        <w:tc>
          <w:tcPr>
            <w:tcW w:w="1437" w:type="dxa"/>
            <w:tcBorders>
              <w:top w:val="nil"/>
              <w:left w:val="nil"/>
              <w:bottom w:val="nil"/>
              <w:right w:val="nil"/>
            </w:tcBorders>
            <w:shd w:val="clear" w:color="auto" w:fill="auto"/>
            <w:noWrap/>
            <w:vAlign w:val="bottom"/>
            <w:hideMark/>
          </w:tcPr>
          <w:p w14:paraId="0AB962E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Self-contain</w:t>
            </w:r>
          </w:p>
        </w:tc>
        <w:tc>
          <w:tcPr>
            <w:tcW w:w="1343" w:type="dxa"/>
            <w:tcBorders>
              <w:top w:val="nil"/>
              <w:left w:val="nil"/>
              <w:bottom w:val="nil"/>
              <w:right w:val="nil"/>
            </w:tcBorders>
            <w:shd w:val="clear" w:color="auto" w:fill="auto"/>
            <w:noWrap/>
            <w:vAlign w:val="bottom"/>
            <w:hideMark/>
          </w:tcPr>
          <w:p w14:paraId="05151876"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12</w:t>
            </w:r>
          </w:p>
        </w:tc>
        <w:tc>
          <w:tcPr>
            <w:tcW w:w="1525" w:type="dxa"/>
            <w:tcBorders>
              <w:top w:val="nil"/>
              <w:left w:val="nil"/>
              <w:bottom w:val="nil"/>
              <w:right w:val="nil"/>
            </w:tcBorders>
            <w:shd w:val="clear" w:color="auto" w:fill="auto"/>
            <w:noWrap/>
            <w:vAlign w:val="bottom"/>
            <w:hideMark/>
          </w:tcPr>
          <w:p w14:paraId="15580BB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18.75</w:t>
            </w:r>
          </w:p>
        </w:tc>
        <w:tc>
          <w:tcPr>
            <w:tcW w:w="1343" w:type="dxa"/>
            <w:tcBorders>
              <w:top w:val="nil"/>
              <w:left w:val="nil"/>
              <w:bottom w:val="nil"/>
              <w:right w:val="nil"/>
            </w:tcBorders>
            <w:shd w:val="clear" w:color="auto" w:fill="auto"/>
            <w:noWrap/>
            <w:vAlign w:val="bottom"/>
            <w:hideMark/>
          </w:tcPr>
          <w:p w14:paraId="6DC6ECD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w:t>
            </w:r>
          </w:p>
        </w:tc>
        <w:tc>
          <w:tcPr>
            <w:tcW w:w="1525" w:type="dxa"/>
            <w:tcBorders>
              <w:top w:val="nil"/>
              <w:left w:val="nil"/>
              <w:bottom w:val="nil"/>
              <w:right w:val="nil"/>
            </w:tcBorders>
            <w:shd w:val="clear" w:color="auto" w:fill="auto"/>
            <w:noWrap/>
            <w:vAlign w:val="bottom"/>
            <w:hideMark/>
          </w:tcPr>
          <w:p w14:paraId="03798B4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22.37</w:t>
            </w:r>
          </w:p>
        </w:tc>
        <w:tc>
          <w:tcPr>
            <w:tcW w:w="1343" w:type="dxa"/>
            <w:tcBorders>
              <w:top w:val="nil"/>
              <w:left w:val="nil"/>
              <w:bottom w:val="nil"/>
              <w:right w:val="nil"/>
            </w:tcBorders>
            <w:shd w:val="clear" w:color="auto" w:fill="auto"/>
            <w:noWrap/>
            <w:vAlign w:val="bottom"/>
            <w:hideMark/>
          </w:tcPr>
          <w:p w14:paraId="68E167E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11</w:t>
            </w:r>
          </w:p>
        </w:tc>
        <w:tc>
          <w:tcPr>
            <w:tcW w:w="862" w:type="dxa"/>
            <w:tcBorders>
              <w:top w:val="nil"/>
              <w:left w:val="nil"/>
              <w:bottom w:val="nil"/>
              <w:right w:val="nil"/>
            </w:tcBorders>
            <w:shd w:val="clear" w:color="auto" w:fill="auto"/>
            <w:noWrap/>
            <w:vAlign w:val="bottom"/>
            <w:hideMark/>
          </w:tcPr>
          <w:p w14:paraId="2A5CEB5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14.47</w:t>
            </w:r>
          </w:p>
        </w:tc>
      </w:tr>
      <w:tr w:rsidR="004969AF" w:rsidRPr="00E71565" w14:paraId="05D68558" w14:textId="77777777" w:rsidTr="007D4147">
        <w:trPr>
          <w:trHeight w:val="315"/>
        </w:trPr>
        <w:tc>
          <w:tcPr>
            <w:tcW w:w="1437" w:type="dxa"/>
            <w:tcBorders>
              <w:top w:val="nil"/>
              <w:left w:val="nil"/>
              <w:bottom w:val="nil"/>
              <w:right w:val="nil"/>
            </w:tcBorders>
            <w:shd w:val="clear" w:color="auto" w:fill="auto"/>
            <w:noWrap/>
            <w:vAlign w:val="bottom"/>
            <w:hideMark/>
          </w:tcPr>
          <w:p w14:paraId="6C575D20"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 Bedroom</w:t>
            </w:r>
          </w:p>
        </w:tc>
        <w:tc>
          <w:tcPr>
            <w:tcW w:w="1343" w:type="dxa"/>
            <w:tcBorders>
              <w:top w:val="nil"/>
              <w:left w:val="nil"/>
              <w:bottom w:val="nil"/>
              <w:right w:val="nil"/>
            </w:tcBorders>
            <w:shd w:val="clear" w:color="auto" w:fill="auto"/>
            <w:noWrap/>
            <w:vAlign w:val="bottom"/>
            <w:hideMark/>
          </w:tcPr>
          <w:p w14:paraId="6E9C755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25</w:t>
            </w:r>
          </w:p>
        </w:tc>
        <w:tc>
          <w:tcPr>
            <w:tcW w:w="1525" w:type="dxa"/>
            <w:tcBorders>
              <w:top w:val="nil"/>
              <w:left w:val="nil"/>
              <w:bottom w:val="nil"/>
              <w:right w:val="nil"/>
            </w:tcBorders>
            <w:shd w:val="clear" w:color="auto" w:fill="auto"/>
            <w:noWrap/>
            <w:vAlign w:val="bottom"/>
            <w:hideMark/>
          </w:tcPr>
          <w:p w14:paraId="034F111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39.06</w:t>
            </w:r>
          </w:p>
        </w:tc>
        <w:tc>
          <w:tcPr>
            <w:tcW w:w="1343" w:type="dxa"/>
            <w:tcBorders>
              <w:top w:val="nil"/>
              <w:left w:val="nil"/>
              <w:bottom w:val="nil"/>
              <w:right w:val="nil"/>
            </w:tcBorders>
            <w:shd w:val="clear" w:color="auto" w:fill="auto"/>
            <w:noWrap/>
            <w:vAlign w:val="bottom"/>
            <w:hideMark/>
          </w:tcPr>
          <w:p w14:paraId="0B4F113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22</w:t>
            </w:r>
          </w:p>
        </w:tc>
        <w:tc>
          <w:tcPr>
            <w:tcW w:w="1525" w:type="dxa"/>
            <w:tcBorders>
              <w:top w:val="nil"/>
              <w:left w:val="nil"/>
              <w:bottom w:val="nil"/>
              <w:right w:val="nil"/>
            </w:tcBorders>
            <w:shd w:val="clear" w:color="auto" w:fill="auto"/>
            <w:noWrap/>
            <w:vAlign w:val="bottom"/>
            <w:hideMark/>
          </w:tcPr>
          <w:p w14:paraId="7353785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28.95</w:t>
            </w:r>
          </w:p>
        </w:tc>
        <w:tc>
          <w:tcPr>
            <w:tcW w:w="1343" w:type="dxa"/>
            <w:tcBorders>
              <w:top w:val="nil"/>
              <w:left w:val="nil"/>
              <w:bottom w:val="nil"/>
              <w:right w:val="nil"/>
            </w:tcBorders>
            <w:shd w:val="clear" w:color="auto" w:fill="auto"/>
            <w:noWrap/>
            <w:vAlign w:val="bottom"/>
            <w:hideMark/>
          </w:tcPr>
          <w:p w14:paraId="643C95E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23</w:t>
            </w:r>
          </w:p>
        </w:tc>
        <w:tc>
          <w:tcPr>
            <w:tcW w:w="862" w:type="dxa"/>
            <w:tcBorders>
              <w:top w:val="nil"/>
              <w:left w:val="nil"/>
              <w:bottom w:val="nil"/>
              <w:right w:val="nil"/>
            </w:tcBorders>
            <w:shd w:val="clear" w:color="auto" w:fill="auto"/>
            <w:noWrap/>
            <w:vAlign w:val="bottom"/>
            <w:hideMark/>
          </w:tcPr>
          <w:p w14:paraId="034EEC9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30.26</w:t>
            </w:r>
          </w:p>
        </w:tc>
      </w:tr>
      <w:tr w:rsidR="004969AF" w:rsidRPr="00E71565" w14:paraId="7CFC6198" w14:textId="77777777" w:rsidTr="007D4147">
        <w:trPr>
          <w:trHeight w:val="315"/>
        </w:trPr>
        <w:tc>
          <w:tcPr>
            <w:tcW w:w="1437" w:type="dxa"/>
            <w:tcBorders>
              <w:top w:val="nil"/>
              <w:left w:val="nil"/>
              <w:bottom w:val="nil"/>
              <w:right w:val="nil"/>
            </w:tcBorders>
            <w:shd w:val="clear" w:color="auto" w:fill="auto"/>
            <w:noWrap/>
            <w:vAlign w:val="bottom"/>
            <w:hideMark/>
          </w:tcPr>
          <w:p w14:paraId="11C62E7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 Bedroom</w:t>
            </w:r>
          </w:p>
        </w:tc>
        <w:tc>
          <w:tcPr>
            <w:tcW w:w="1343" w:type="dxa"/>
            <w:tcBorders>
              <w:top w:val="nil"/>
              <w:left w:val="nil"/>
              <w:bottom w:val="nil"/>
              <w:right w:val="nil"/>
            </w:tcBorders>
            <w:shd w:val="clear" w:color="auto" w:fill="auto"/>
            <w:noWrap/>
            <w:vAlign w:val="bottom"/>
            <w:hideMark/>
          </w:tcPr>
          <w:p w14:paraId="7AF0EC6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27</w:t>
            </w:r>
          </w:p>
        </w:tc>
        <w:tc>
          <w:tcPr>
            <w:tcW w:w="1525" w:type="dxa"/>
            <w:tcBorders>
              <w:top w:val="nil"/>
              <w:left w:val="nil"/>
              <w:bottom w:val="nil"/>
              <w:right w:val="nil"/>
            </w:tcBorders>
            <w:shd w:val="clear" w:color="auto" w:fill="auto"/>
            <w:noWrap/>
            <w:vAlign w:val="bottom"/>
            <w:hideMark/>
          </w:tcPr>
          <w:p w14:paraId="07AAE974"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42.19</w:t>
            </w:r>
          </w:p>
        </w:tc>
        <w:tc>
          <w:tcPr>
            <w:tcW w:w="1343" w:type="dxa"/>
            <w:tcBorders>
              <w:top w:val="nil"/>
              <w:left w:val="nil"/>
              <w:bottom w:val="nil"/>
              <w:right w:val="nil"/>
            </w:tcBorders>
            <w:shd w:val="clear" w:color="auto" w:fill="auto"/>
            <w:noWrap/>
            <w:vAlign w:val="bottom"/>
            <w:hideMark/>
          </w:tcPr>
          <w:p w14:paraId="42CACCE6"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37</w:t>
            </w:r>
          </w:p>
        </w:tc>
        <w:tc>
          <w:tcPr>
            <w:tcW w:w="1525" w:type="dxa"/>
            <w:tcBorders>
              <w:top w:val="nil"/>
              <w:left w:val="nil"/>
              <w:bottom w:val="nil"/>
              <w:right w:val="nil"/>
            </w:tcBorders>
            <w:shd w:val="clear" w:color="auto" w:fill="auto"/>
            <w:noWrap/>
            <w:vAlign w:val="bottom"/>
            <w:hideMark/>
          </w:tcPr>
          <w:p w14:paraId="7923718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48.68</w:t>
            </w:r>
          </w:p>
        </w:tc>
        <w:tc>
          <w:tcPr>
            <w:tcW w:w="1343" w:type="dxa"/>
            <w:tcBorders>
              <w:top w:val="nil"/>
              <w:left w:val="nil"/>
              <w:bottom w:val="nil"/>
              <w:right w:val="nil"/>
            </w:tcBorders>
            <w:shd w:val="clear" w:color="auto" w:fill="auto"/>
            <w:noWrap/>
            <w:vAlign w:val="bottom"/>
            <w:hideMark/>
          </w:tcPr>
          <w:p w14:paraId="5FC6A640"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42</w:t>
            </w:r>
          </w:p>
        </w:tc>
        <w:tc>
          <w:tcPr>
            <w:tcW w:w="862" w:type="dxa"/>
            <w:tcBorders>
              <w:top w:val="nil"/>
              <w:left w:val="nil"/>
              <w:bottom w:val="nil"/>
              <w:right w:val="nil"/>
            </w:tcBorders>
            <w:shd w:val="clear" w:color="auto" w:fill="auto"/>
            <w:noWrap/>
            <w:vAlign w:val="bottom"/>
            <w:hideMark/>
          </w:tcPr>
          <w:p w14:paraId="62E4C23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55.26</w:t>
            </w:r>
          </w:p>
        </w:tc>
      </w:tr>
      <w:tr w:rsidR="004969AF" w:rsidRPr="00E71565" w14:paraId="035623B3" w14:textId="77777777" w:rsidTr="007D4147">
        <w:trPr>
          <w:trHeight w:val="315"/>
        </w:trPr>
        <w:tc>
          <w:tcPr>
            <w:tcW w:w="1437" w:type="dxa"/>
            <w:tcBorders>
              <w:top w:val="single" w:sz="4" w:space="0" w:color="auto"/>
              <w:left w:val="nil"/>
              <w:bottom w:val="single" w:sz="4" w:space="0" w:color="auto"/>
              <w:right w:val="nil"/>
            </w:tcBorders>
            <w:shd w:val="clear" w:color="auto" w:fill="auto"/>
            <w:noWrap/>
            <w:vAlign w:val="bottom"/>
            <w:hideMark/>
          </w:tcPr>
          <w:p w14:paraId="7938F05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343" w:type="dxa"/>
            <w:tcBorders>
              <w:top w:val="single" w:sz="4" w:space="0" w:color="auto"/>
              <w:left w:val="nil"/>
              <w:bottom w:val="single" w:sz="4" w:space="0" w:color="auto"/>
              <w:right w:val="nil"/>
            </w:tcBorders>
            <w:shd w:val="clear" w:color="auto" w:fill="auto"/>
            <w:noWrap/>
            <w:vAlign w:val="bottom"/>
            <w:hideMark/>
          </w:tcPr>
          <w:p w14:paraId="186917A5"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64</w:t>
            </w:r>
          </w:p>
        </w:tc>
        <w:tc>
          <w:tcPr>
            <w:tcW w:w="1525" w:type="dxa"/>
            <w:tcBorders>
              <w:top w:val="single" w:sz="4" w:space="0" w:color="auto"/>
              <w:left w:val="nil"/>
              <w:bottom w:val="single" w:sz="4" w:space="0" w:color="auto"/>
              <w:right w:val="nil"/>
            </w:tcBorders>
            <w:shd w:val="clear" w:color="auto" w:fill="auto"/>
            <w:noWrap/>
            <w:vAlign w:val="bottom"/>
            <w:hideMark/>
          </w:tcPr>
          <w:p w14:paraId="12BCC6EC"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43" w:type="dxa"/>
            <w:tcBorders>
              <w:top w:val="single" w:sz="4" w:space="0" w:color="auto"/>
              <w:left w:val="nil"/>
              <w:bottom w:val="single" w:sz="4" w:space="0" w:color="auto"/>
              <w:right w:val="nil"/>
            </w:tcBorders>
            <w:shd w:val="clear" w:color="auto" w:fill="auto"/>
            <w:noWrap/>
            <w:vAlign w:val="bottom"/>
            <w:hideMark/>
          </w:tcPr>
          <w:p w14:paraId="6F28052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1525" w:type="dxa"/>
            <w:tcBorders>
              <w:top w:val="single" w:sz="4" w:space="0" w:color="auto"/>
              <w:left w:val="nil"/>
              <w:bottom w:val="single" w:sz="4" w:space="0" w:color="auto"/>
              <w:right w:val="nil"/>
            </w:tcBorders>
            <w:shd w:val="clear" w:color="auto" w:fill="auto"/>
            <w:noWrap/>
            <w:vAlign w:val="bottom"/>
            <w:hideMark/>
          </w:tcPr>
          <w:p w14:paraId="6D59A212"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c>
          <w:tcPr>
            <w:tcW w:w="1343" w:type="dxa"/>
            <w:tcBorders>
              <w:top w:val="single" w:sz="4" w:space="0" w:color="auto"/>
              <w:left w:val="nil"/>
              <w:bottom w:val="single" w:sz="4" w:space="0" w:color="auto"/>
              <w:right w:val="nil"/>
            </w:tcBorders>
            <w:shd w:val="clear" w:color="auto" w:fill="auto"/>
            <w:noWrap/>
            <w:vAlign w:val="bottom"/>
            <w:hideMark/>
          </w:tcPr>
          <w:p w14:paraId="22AB79B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76</w:t>
            </w:r>
          </w:p>
        </w:tc>
        <w:tc>
          <w:tcPr>
            <w:tcW w:w="862" w:type="dxa"/>
            <w:tcBorders>
              <w:top w:val="single" w:sz="4" w:space="0" w:color="auto"/>
              <w:left w:val="nil"/>
              <w:bottom w:val="single" w:sz="4" w:space="0" w:color="auto"/>
              <w:right w:val="nil"/>
            </w:tcBorders>
            <w:shd w:val="clear" w:color="auto" w:fill="auto"/>
            <w:noWrap/>
            <w:vAlign w:val="bottom"/>
            <w:hideMark/>
          </w:tcPr>
          <w:p w14:paraId="2769079F"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100.00</w:t>
            </w:r>
          </w:p>
        </w:tc>
      </w:tr>
    </w:tbl>
    <w:p w14:paraId="0C89BD98" w14:textId="77777777" w:rsidR="00B32E01" w:rsidRDefault="004969AF" w:rsidP="00B32E01">
      <w:pPr>
        <w:spacing w:before="120" w:after="12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xml:space="preserve">From Table 6 above, the accommodation type analysis revealed that most of the residential types occupying by the respondents are 2 Bedroom which is evident by 48.71%, 32.76% of the respondents occupy 1 Bedroom residential accommodation types while the remaining 18.53% of the respondents occupies residential accommodation type called self-contain. </w:t>
      </w:r>
    </w:p>
    <w:p w14:paraId="72F8C3D8" w14:textId="1B3B27D1" w:rsidR="00025F2E" w:rsidRPr="00B32E01" w:rsidRDefault="00EF011F" w:rsidP="00B32E01">
      <w:pPr>
        <w:spacing w:before="120" w:after="120" w:line="240" w:lineRule="auto"/>
        <w:jc w:val="both"/>
        <w:rPr>
          <w:rFonts w:ascii="Times New Roman" w:eastAsia="Times New Roman" w:hAnsi="Times New Roman" w:cs="Times New Roman"/>
          <w:sz w:val="24"/>
          <w:szCs w:val="24"/>
        </w:rPr>
      </w:pPr>
      <w:r w:rsidRPr="00E71565">
        <w:rPr>
          <w:rFonts w:ascii="Times New Roman" w:hAnsi="Times New Roman" w:cs="Times New Roman"/>
          <w:b/>
          <w:sz w:val="24"/>
          <w:szCs w:val="24"/>
        </w:rPr>
        <w:t>5.3</w:t>
      </w:r>
      <w:r w:rsidR="00025F2E" w:rsidRPr="00E71565">
        <w:rPr>
          <w:rFonts w:ascii="Times New Roman" w:hAnsi="Times New Roman" w:cs="Times New Roman"/>
          <w:b/>
          <w:sz w:val="24"/>
          <w:szCs w:val="24"/>
        </w:rPr>
        <w:tab/>
        <w:t>Rental</w:t>
      </w:r>
      <w:r w:rsidR="00B32E01">
        <w:rPr>
          <w:rFonts w:ascii="Times New Roman" w:hAnsi="Times New Roman" w:cs="Times New Roman"/>
          <w:b/>
          <w:sz w:val="24"/>
          <w:szCs w:val="24"/>
        </w:rPr>
        <w:t xml:space="preserve"> </w:t>
      </w:r>
      <w:r w:rsidR="00025F2E" w:rsidRPr="00E71565">
        <w:rPr>
          <w:rFonts w:ascii="Times New Roman" w:hAnsi="Times New Roman" w:cs="Times New Roman"/>
          <w:b/>
          <w:sz w:val="24"/>
          <w:szCs w:val="24"/>
        </w:rPr>
        <w:t>Values and Growth Rate of Residential Properties</w:t>
      </w:r>
    </w:p>
    <w:p w14:paraId="33834EED" w14:textId="762DD577" w:rsidR="00F55539" w:rsidRPr="00E71565" w:rsidRDefault="00025F2E" w:rsidP="00F55539">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In this section, the authors outline the trend analysis of the average values of different residential properties (self-contained, one-bedroom and two-bedroom) in the three chosen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w:t>
      </w:r>
      <w:r w:rsidR="005F2532" w:rsidRPr="00E71565">
        <w:rPr>
          <w:rFonts w:ascii="Times New Roman" w:hAnsi="Times New Roman" w:cs="Times New Roman"/>
          <w:bCs/>
          <w:sz w:val="24"/>
          <w:szCs w:val="24"/>
        </w:rPr>
        <w:t xml:space="preserve">in </w:t>
      </w:r>
      <w:proofErr w:type="spellStart"/>
      <w:proofErr w:type="gramStart"/>
      <w:r w:rsidR="005F2532" w:rsidRPr="00E71565">
        <w:rPr>
          <w:rFonts w:ascii="Times New Roman" w:hAnsi="Times New Roman" w:cs="Times New Roman"/>
          <w:bCs/>
          <w:sz w:val="24"/>
          <w:szCs w:val="24"/>
        </w:rPr>
        <w:t>Minna</w:t>
      </w:r>
      <w:proofErr w:type="spellEnd"/>
      <w:r w:rsidR="005F2532" w:rsidRPr="00E71565">
        <w:rPr>
          <w:rFonts w:ascii="Times New Roman" w:hAnsi="Times New Roman" w:cs="Times New Roman"/>
          <w:bCs/>
          <w:sz w:val="24"/>
          <w:szCs w:val="24"/>
        </w:rPr>
        <w:t xml:space="preserve">, </w:t>
      </w:r>
      <w:r w:rsidRPr="00E71565">
        <w:rPr>
          <w:rFonts w:ascii="Times New Roman" w:hAnsi="Times New Roman" w:cs="Times New Roman"/>
          <w:bCs/>
          <w:sz w:val="24"/>
          <w:szCs w:val="24"/>
        </w:rPr>
        <w:t>that</w:t>
      </w:r>
      <w:proofErr w:type="gramEnd"/>
      <w:r w:rsidRPr="00E71565">
        <w:rPr>
          <w:rFonts w:ascii="Times New Roman" w:hAnsi="Times New Roman" w:cs="Times New Roman"/>
          <w:bCs/>
          <w:sz w:val="24"/>
          <w:szCs w:val="24"/>
        </w:rPr>
        <w:t xml:space="preserve"> is, </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bCs/>
          <w:sz w:val="24"/>
          <w:szCs w:val="24"/>
        </w:rPr>
        <w:t xml:space="preserve">,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and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between the years of 2013 and 2025. The arithmetic means were calculated to investigate the temporal growth trend and the spatial difference in the performance of rentals in these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in order to give a quantitative basis to further interpretative discussion</w:t>
      </w:r>
      <w:r w:rsidR="00F55539" w:rsidRPr="00E71565">
        <w:rPr>
          <w:rFonts w:ascii="Times New Roman" w:hAnsi="Times New Roman" w:cs="Times New Roman"/>
          <w:bCs/>
          <w:sz w:val="24"/>
          <w:szCs w:val="24"/>
        </w:rPr>
        <w:t>, this is presented in Table 7 and 8 below.</w:t>
      </w:r>
    </w:p>
    <w:tbl>
      <w:tblPr>
        <w:tblW w:w="5000" w:type="pct"/>
        <w:jc w:val="center"/>
        <w:tblLook w:val="04A0" w:firstRow="1" w:lastRow="0" w:firstColumn="1" w:lastColumn="0" w:noHBand="0" w:noVBand="1"/>
      </w:tblPr>
      <w:tblGrid>
        <w:gridCol w:w="567"/>
        <w:gridCol w:w="708"/>
        <w:gridCol w:w="700"/>
        <w:gridCol w:w="778"/>
        <w:gridCol w:w="671"/>
        <w:gridCol w:w="220"/>
        <w:gridCol w:w="707"/>
        <w:gridCol w:w="699"/>
        <w:gridCol w:w="671"/>
        <w:gridCol w:w="671"/>
        <w:gridCol w:w="220"/>
        <w:gridCol w:w="707"/>
        <w:gridCol w:w="699"/>
        <w:gridCol w:w="671"/>
        <w:gridCol w:w="671"/>
      </w:tblGrid>
      <w:tr w:rsidR="00F55539" w:rsidRPr="00E71565" w14:paraId="33E11E3B" w14:textId="77777777" w:rsidTr="005F2532">
        <w:trPr>
          <w:trHeight w:val="330"/>
          <w:jc w:val="center"/>
        </w:trPr>
        <w:tc>
          <w:tcPr>
            <w:tcW w:w="5000" w:type="pct"/>
            <w:gridSpan w:val="15"/>
            <w:tcBorders>
              <w:top w:val="nil"/>
              <w:left w:val="nil"/>
              <w:bottom w:val="single" w:sz="8" w:space="0" w:color="auto"/>
              <w:right w:val="nil"/>
            </w:tcBorders>
            <w:noWrap/>
            <w:vAlign w:val="bottom"/>
            <w:hideMark/>
          </w:tcPr>
          <w:p w14:paraId="4F240503"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Table 7: Arithmetic Mean Rental trend of Self-contained, 1Bedroom, and 2Bedroom in the selected 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in </w:t>
            </w:r>
            <w:proofErr w:type="spellStart"/>
            <w:r w:rsidRPr="00E71565">
              <w:rPr>
                <w:rFonts w:ascii="Times New Roman" w:eastAsia="Times New Roman" w:hAnsi="Times New Roman" w:cs="Times New Roman"/>
                <w:b/>
                <w:bCs/>
                <w:color w:val="000000"/>
                <w:sz w:val="20"/>
                <w:szCs w:val="20"/>
              </w:rPr>
              <w:t>Minna</w:t>
            </w:r>
            <w:proofErr w:type="spellEnd"/>
          </w:p>
        </w:tc>
      </w:tr>
      <w:tr w:rsidR="00F55539" w:rsidRPr="00E71565" w14:paraId="54E2C79F" w14:textId="77777777" w:rsidTr="00F55539">
        <w:trPr>
          <w:trHeight w:val="630"/>
          <w:jc w:val="center"/>
        </w:trPr>
        <w:tc>
          <w:tcPr>
            <w:tcW w:w="296" w:type="pct"/>
            <w:vMerge w:val="restart"/>
            <w:tcBorders>
              <w:top w:val="nil"/>
              <w:left w:val="nil"/>
              <w:bottom w:val="single" w:sz="8" w:space="0" w:color="000000"/>
              <w:right w:val="nil"/>
            </w:tcBorders>
            <w:vAlign w:val="center"/>
            <w:hideMark/>
          </w:tcPr>
          <w:p w14:paraId="5E51849D" w14:textId="77777777" w:rsidR="00F55539" w:rsidRPr="00E71565" w:rsidRDefault="00F55539" w:rsidP="005F2532">
            <w:pPr>
              <w:spacing w:after="0" w:line="240" w:lineRule="auto"/>
              <w:jc w:val="both"/>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Years</w:t>
            </w:r>
          </w:p>
        </w:tc>
        <w:tc>
          <w:tcPr>
            <w:tcW w:w="1637" w:type="pct"/>
            <w:gridSpan w:val="4"/>
            <w:tcBorders>
              <w:top w:val="single" w:sz="8" w:space="0" w:color="auto"/>
              <w:left w:val="nil"/>
              <w:bottom w:val="nil"/>
              <w:right w:val="nil"/>
            </w:tcBorders>
            <w:vAlign w:val="center"/>
            <w:hideMark/>
          </w:tcPr>
          <w:p w14:paraId="78596A4D" w14:textId="77777777" w:rsidR="00F55539" w:rsidRPr="00E71565" w:rsidRDefault="00F55539" w:rsidP="005F2532">
            <w:pPr>
              <w:spacing w:after="0" w:line="240" w:lineRule="auto"/>
              <w:jc w:val="both"/>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Self-contain</w:t>
            </w:r>
          </w:p>
        </w:tc>
        <w:tc>
          <w:tcPr>
            <w:tcW w:w="86" w:type="pct"/>
            <w:tcBorders>
              <w:top w:val="nil"/>
              <w:left w:val="nil"/>
              <w:bottom w:val="single" w:sz="8" w:space="0" w:color="000000"/>
              <w:right w:val="nil"/>
            </w:tcBorders>
            <w:vAlign w:val="center"/>
          </w:tcPr>
          <w:p w14:paraId="19500210" w14:textId="77777777" w:rsidR="00F55539" w:rsidRPr="00E71565" w:rsidRDefault="00F55539" w:rsidP="005F2532">
            <w:pPr>
              <w:spacing w:after="0" w:line="240" w:lineRule="auto"/>
              <w:jc w:val="both"/>
              <w:rPr>
                <w:rFonts w:ascii="Times New Roman" w:eastAsia="Times New Roman" w:hAnsi="Times New Roman" w:cs="Times New Roman"/>
                <w:b/>
                <w:bCs/>
                <w:color w:val="000000"/>
                <w:sz w:val="20"/>
                <w:szCs w:val="20"/>
              </w:rPr>
            </w:pPr>
          </w:p>
        </w:tc>
        <w:tc>
          <w:tcPr>
            <w:tcW w:w="1396" w:type="pct"/>
            <w:gridSpan w:val="4"/>
            <w:tcBorders>
              <w:top w:val="single" w:sz="8" w:space="0" w:color="auto"/>
              <w:left w:val="nil"/>
              <w:bottom w:val="nil"/>
              <w:right w:val="nil"/>
            </w:tcBorders>
            <w:vAlign w:val="center"/>
            <w:hideMark/>
          </w:tcPr>
          <w:p w14:paraId="2D6BDD7B"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1Bedroom</w:t>
            </w:r>
          </w:p>
        </w:tc>
        <w:tc>
          <w:tcPr>
            <w:tcW w:w="86" w:type="pct"/>
            <w:tcBorders>
              <w:top w:val="nil"/>
              <w:left w:val="nil"/>
              <w:bottom w:val="single" w:sz="8" w:space="0" w:color="000000"/>
              <w:right w:val="nil"/>
            </w:tcBorders>
            <w:vAlign w:val="center"/>
          </w:tcPr>
          <w:p w14:paraId="1E1C7DF8" w14:textId="77777777" w:rsidR="00F55539" w:rsidRPr="00E71565" w:rsidRDefault="00F55539" w:rsidP="005F2532">
            <w:pPr>
              <w:spacing w:after="0" w:line="240" w:lineRule="auto"/>
              <w:jc w:val="both"/>
              <w:rPr>
                <w:rFonts w:ascii="Times New Roman" w:eastAsia="Times New Roman" w:hAnsi="Times New Roman" w:cs="Times New Roman"/>
                <w:b/>
                <w:bCs/>
                <w:color w:val="000000"/>
                <w:sz w:val="20"/>
                <w:szCs w:val="20"/>
              </w:rPr>
            </w:pPr>
          </w:p>
        </w:tc>
        <w:tc>
          <w:tcPr>
            <w:tcW w:w="1400" w:type="pct"/>
            <w:gridSpan w:val="4"/>
            <w:tcBorders>
              <w:top w:val="single" w:sz="8" w:space="0" w:color="auto"/>
              <w:left w:val="nil"/>
              <w:bottom w:val="nil"/>
              <w:right w:val="nil"/>
            </w:tcBorders>
            <w:vAlign w:val="center"/>
            <w:hideMark/>
          </w:tcPr>
          <w:p w14:paraId="4619551B" w14:textId="77777777" w:rsidR="00F55539" w:rsidRPr="00E71565" w:rsidRDefault="00F55539" w:rsidP="005F2532">
            <w:pPr>
              <w:spacing w:after="0" w:line="240" w:lineRule="auto"/>
              <w:jc w:val="both"/>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2Bedroom</w:t>
            </w:r>
          </w:p>
        </w:tc>
      </w:tr>
      <w:tr w:rsidR="00F55539" w:rsidRPr="00E71565" w14:paraId="5A5ED339" w14:textId="77777777" w:rsidTr="00F55539">
        <w:trPr>
          <w:trHeight w:val="960"/>
          <w:jc w:val="center"/>
        </w:trPr>
        <w:tc>
          <w:tcPr>
            <w:tcW w:w="296" w:type="pct"/>
            <w:vMerge/>
            <w:tcBorders>
              <w:top w:val="nil"/>
              <w:left w:val="nil"/>
              <w:bottom w:val="single" w:sz="8" w:space="0" w:color="000000"/>
              <w:right w:val="nil"/>
            </w:tcBorders>
            <w:vAlign w:val="center"/>
            <w:hideMark/>
          </w:tcPr>
          <w:p w14:paraId="1B10FE4C" w14:textId="77777777" w:rsidR="00F55539" w:rsidRPr="00E71565" w:rsidRDefault="00F55539" w:rsidP="005F2532">
            <w:pPr>
              <w:spacing w:after="0" w:line="240" w:lineRule="auto"/>
              <w:rPr>
                <w:rFonts w:ascii="Times New Roman" w:eastAsia="Times New Roman" w:hAnsi="Times New Roman" w:cs="Times New Roman"/>
                <w:b/>
                <w:bCs/>
                <w:color w:val="000000"/>
                <w:sz w:val="20"/>
                <w:szCs w:val="20"/>
              </w:rPr>
            </w:pPr>
          </w:p>
        </w:tc>
        <w:tc>
          <w:tcPr>
            <w:tcW w:w="457" w:type="pct"/>
            <w:tcBorders>
              <w:top w:val="nil"/>
              <w:left w:val="nil"/>
              <w:bottom w:val="single" w:sz="8" w:space="0" w:color="auto"/>
              <w:right w:val="nil"/>
            </w:tcBorders>
            <w:vAlign w:val="center"/>
            <w:hideMark/>
          </w:tcPr>
          <w:p w14:paraId="75F873C9"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444" w:type="pct"/>
            <w:tcBorders>
              <w:top w:val="nil"/>
              <w:left w:val="nil"/>
              <w:bottom w:val="single" w:sz="8" w:space="0" w:color="auto"/>
              <w:right w:val="nil"/>
            </w:tcBorders>
            <w:vAlign w:val="center"/>
            <w:hideMark/>
          </w:tcPr>
          <w:p w14:paraId="577EDF7A"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402" w:type="pct"/>
            <w:tcBorders>
              <w:top w:val="nil"/>
              <w:left w:val="nil"/>
              <w:bottom w:val="single" w:sz="8" w:space="0" w:color="auto"/>
              <w:right w:val="nil"/>
            </w:tcBorders>
            <w:vAlign w:val="center"/>
            <w:hideMark/>
          </w:tcPr>
          <w:p w14:paraId="39503618"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c>
          <w:tcPr>
            <w:tcW w:w="334" w:type="pct"/>
            <w:tcBorders>
              <w:top w:val="nil"/>
              <w:left w:val="nil"/>
              <w:bottom w:val="single" w:sz="4" w:space="0" w:color="auto"/>
              <w:right w:val="nil"/>
            </w:tcBorders>
            <w:vAlign w:val="center"/>
            <w:hideMark/>
          </w:tcPr>
          <w:p w14:paraId="55380A56"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Mean (</w:t>
            </w:r>
            <w:r w:rsidRPr="00E71565">
              <w:rPr>
                <w:rFonts w:ascii="Times New Roman" w:eastAsia="Times New Roman" w:hAnsi="Times New Roman" w:cs="Times New Roman"/>
                <w:b/>
                <w:bCs/>
                <w:strike/>
                <w:color w:val="000000"/>
                <w:sz w:val="20"/>
                <w:szCs w:val="20"/>
              </w:rPr>
              <w:t>N)</w:t>
            </w:r>
          </w:p>
        </w:tc>
        <w:tc>
          <w:tcPr>
            <w:tcW w:w="86" w:type="pct"/>
            <w:tcBorders>
              <w:top w:val="nil"/>
              <w:left w:val="nil"/>
              <w:bottom w:val="single" w:sz="8" w:space="0" w:color="000000"/>
              <w:right w:val="nil"/>
            </w:tcBorders>
            <w:vAlign w:val="center"/>
          </w:tcPr>
          <w:p w14:paraId="61F17A5A" w14:textId="77777777" w:rsidR="00F55539" w:rsidRPr="00E71565" w:rsidRDefault="00F55539" w:rsidP="005F2532">
            <w:pPr>
              <w:spacing w:after="0" w:line="240" w:lineRule="auto"/>
              <w:rPr>
                <w:rFonts w:ascii="Times New Roman" w:eastAsia="Times New Roman" w:hAnsi="Times New Roman" w:cs="Times New Roman"/>
                <w:b/>
                <w:bCs/>
                <w:color w:val="000000"/>
                <w:sz w:val="20"/>
                <w:szCs w:val="20"/>
              </w:rPr>
            </w:pPr>
          </w:p>
        </w:tc>
        <w:tc>
          <w:tcPr>
            <w:tcW w:w="378" w:type="pct"/>
            <w:tcBorders>
              <w:top w:val="nil"/>
              <w:left w:val="nil"/>
              <w:bottom w:val="single" w:sz="8" w:space="0" w:color="auto"/>
              <w:right w:val="nil"/>
            </w:tcBorders>
            <w:vAlign w:val="center"/>
            <w:hideMark/>
          </w:tcPr>
          <w:p w14:paraId="07EFCB3B"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350" w:type="pct"/>
            <w:tcBorders>
              <w:top w:val="nil"/>
              <w:left w:val="nil"/>
              <w:bottom w:val="single" w:sz="8" w:space="0" w:color="auto"/>
              <w:right w:val="nil"/>
            </w:tcBorders>
            <w:vAlign w:val="center"/>
            <w:hideMark/>
          </w:tcPr>
          <w:p w14:paraId="15544591"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334" w:type="pct"/>
            <w:tcBorders>
              <w:top w:val="nil"/>
              <w:left w:val="nil"/>
              <w:bottom w:val="single" w:sz="8" w:space="0" w:color="auto"/>
              <w:right w:val="nil"/>
            </w:tcBorders>
            <w:vAlign w:val="center"/>
            <w:hideMark/>
          </w:tcPr>
          <w:p w14:paraId="5CFD88D1"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c>
          <w:tcPr>
            <w:tcW w:w="334" w:type="pct"/>
            <w:tcBorders>
              <w:top w:val="nil"/>
              <w:left w:val="nil"/>
              <w:bottom w:val="single" w:sz="4" w:space="0" w:color="auto"/>
              <w:right w:val="nil"/>
            </w:tcBorders>
            <w:vAlign w:val="center"/>
            <w:hideMark/>
          </w:tcPr>
          <w:p w14:paraId="05769C29"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Mean (</w:t>
            </w:r>
            <w:r w:rsidRPr="00E71565">
              <w:rPr>
                <w:rFonts w:ascii="Times New Roman" w:eastAsia="Times New Roman" w:hAnsi="Times New Roman" w:cs="Times New Roman"/>
                <w:b/>
                <w:bCs/>
                <w:strike/>
                <w:color w:val="000000"/>
                <w:sz w:val="20"/>
                <w:szCs w:val="20"/>
              </w:rPr>
              <w:t>N)</w:t>
            </w:r>
          </w:p>
        </w:tc>
        <w:tc>
          <w:tcPr>
            <w:tcW w:w="86" w:type="pct"/>
            <w:tcBorders>
              <w:top w:val="nil"/>
              <w:left w:val="nil"/>
              <w:bottom w:val="single" w:sz="8" w:space="0" w:color="000000"/>
              <w:right w:val="nil"/>
            </w:tcBorders>
            <w:vAlign w:val="center"/>
          </w:tcPr>
          <w:p w14:paraId="32518964" w14:textId="77777777" w:rsidR="00F55539" w:rsidRPr="00E71565" w:rsidRDefault="00F55539" w:rsidP="005F2532">
            <w:pPr>
              <w:spacing w:after="0" w:line="240" w:lineRule="auto"/>
              <w:rPr>
                <w:rFonts w:ascii="Times New Roman" w:eastAsia="Times New Roman" w:hAnsi="Times New Roman" w:cs="Times New Roman"/>
                <w:b/>
                <w:bCs/>
                <w:color w:val="000000"/>
                <w:sz w:val="20"/>
                <w:szCs w:val="20"/>
              </w:rPr>
            </w:pPr>
          </w:p>
        </w:tc>
        <w:tc>
          <w:tcPr>
            <w:tcW w:w="354" w:type="pct"/>
            <w:tcBorders>
              <w:top w:val="nil"/>
              <w:left w:val="nil"/>
              <w:bottom w:val="single" w:sz="8" w:space="0" w:color="auto"/>
              <w:right w:val="nil"/>
            </w:tcBorders>
            <w:vAlign w:val="center"/>
            <w:hideMark/>
          </w:tcPr>
          <w:p w14:paraId="7D109984"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350" w:type="pct"/>
            <w:tcBorders>
              <w:top w:val="nil"/>
              <w:left w:val="nil"/>
              <w:bottom w:val="single" w:sz="8" w:space="0" w:color="auto"/>
              <w:right w:val="nil"/>
            </w:tcBorders>
            <w:vAlign w:val="center"/>
            <w:hideMark/>
          </w:tcPr>
          <w:p w14:paraId="00DE5524"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361" w:type="pct"/>
            <w:tcBorders>
              <w:top w:val="nil"/>
              <w:left w:val="nil"/>
              <w:bottom w:val="single" w:sz="8" w:space="0" w:color="auto"/>
              <w:right w:val="nil"/>
            </w:tcBorders>
            <w:vAlign w:val="center"/>
            <w:hideMark/>
          </w:tcPr>
          <w:p w14:paraId="6C75070A"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c>
          <w:tcPr>
            <w:tcW w:w="335" w:type="pct"/>
            <w:tcBorders>
              <w:top w:val="nil"/>
              <w:left w:val="nil"/>
              <w:bottom w:val="single" w:sz="8" w:space="0" w:color="auto"/>
              <w:right w:val="nil"/>
            </w:tcBorders>
            <w:vAlign w:val="center"/>
            <w:hideMark/>
          </w:tcPr>
          <w:p w14:paraId="609BF6FB"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Mean (</w:t>
            </w:r>
            <w:r w:rsidRPr="00E71565">
              <w:rPr>
                <w:rFonts w:ascii="Times New Roman" w:eastAsia="Times New Roman" w:hAnsi="Times New Roman" w:cs="Times New Roman"/>
                <w:b/>
                <w:bCs/>
                <w:strike/>
                <w:color w:val="000000"/>
                <w:sz w:val="20"/>
                <w:szCs w:val="20"/>
              </w:rPr>
              <w:t>N)</w:t>
            </w:r>
          </w:p>
        </w:tc>
      </w:tr>
      <w:tr w:rsidR="00F55539" w:rsidRPr="00E71565" w14:paraId="5810DA1F" w14:textId="77777777" w:rsidTr="00F55539">
        <w:trPr>
          <w:trHeight w:val="315"/>
          <w:jc w:val="center"/>
        </w:trPr>
        <w:tc>
          <w:tcPr>
            <w:tcW w:w="296" w:type="pct"/>
            <w:tcBorders>
              <w:top w:val="nil"/>
              <w:left w:val="nil"/>
              <w:bottom w:val="nil"/>
              <w:right w:val="nil"/>
            </w:tcBorders>
            <w:vAlign w:val="center"/>
            <w:hideMark/>
          </w:tcPr>
          <w:p w14:paraId="02DA1BF6"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2013</w:t>
            </w:r>
          </w:p>
        </w:tc>
        <w:tc>
          <w:tcPr>
            <w:tcW w:w="457" w:type="pct"/>
            <w:tcBorders>
              <w:top w:val="nil"/>
              <w:left w:val="nil"/>
              <w:bottom w:val="nil"/>
              <w:right w:val="nil"/>
            </w:tcBorders>
            <w:vAlign w:val="center"/>
            <w:hideMark/>
          </w:tcPr>
          <w:p w14:paraId="046F4F3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43,000</w:t>
            </w:r>
          </w:p>
        </w:tc>
        <w:tc>
          <w:tcPr>
            <w:tcW w:w="444" w:type="pct"/>
            <w:tcBorders>
              <w:top w:val="nil"/>
              <w:left w:val="nil"/>
              <w:bottom w:val="nil"/>
              <w:right w:val="nil"/>
            </w:tcBorders>
            <w:vAlign w:val="center"/>
            <w:hideMark/>
          </w:tcPr>
          <w:p w14:paraId="3D3E8FD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38,000</w:t>
            </w:r>
          </w:p>
        </w:tc>
        <w:tc>
          <w:tcPr>
            <w:tcW w:w="402" w:type="pct"/>
            <w:tcBorders>
              <w:top w:val="nil"/>
              <w:left w:val="nil"/>
              <w:bottom w:val="nil"/>
              <w:right w:val="nil"/>
            </w:tcBorders>
            <w:vAlign w:val="center"/>
            <w:hideMark/>
          </w:tcPr>
          <w:p w14:paraId="242188B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68,000</w:t>
            </w:r>
          </w:p>
        </w:tc>
        <w:tc>
          <w:tcPr>
            <w:tcW w:w="334" w:type="pct"/>
            <w:tcBorders>
              <w:top w:val="nil"/>
              <w:left w:val="nil"/>
              <w:bottom w:val="nil"/>
              <w:right w:val="nil"/>
            </w:tcBorders>
            <w:noWrap/>
            <w:vAlign w:val="bottom"/>
            <w:hideMark/>
          </w:tcPr>
          <w:p w14:paraId="35876A17"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49,667</w:t>
            </w:r>
          </w:p>
        </w:tc>
        <w:tc>
          <w:tcPr>
            <w:tcW w:w="86" w:type="pct"/>
            <w:tcBorders>
              <w:top w:val="nil"/>
              <w:left w:val="nil"/>
              <w:bottom w:val="nil"/>
              <w:right w:val="nil"/>
            </w:tcBorders>
            <w:vAlign w:val="center"/>
          </w:tcPr>
          <w:p w14:paraId="26FDCD5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71BC874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73,000</w:t>
            </w:r>
          </w:p>
        </w:tc>
        <w:tc>
          <w:tcPr>
            <w:tcW w:w="350" w:type="pct"/>
            <w:tcBorders>
              <w:top w:val="nil"/>
              <w:left w:val="nil"/>
              <w:bottom w:val="nil"/>
              <w:right w:val="nil"/>
            </w:tcBorders>
            <w:vAlign w:val="center"/>
            <w:hideMark/>
          </w:tcPr>
          <w:p w14:paraId="689DCF5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68,000</w:t>
            </w:r>
          </w:p>
        </w:tc>
        <w:tc>
          <w:tcPr>
            <w:tcW w:w="334" w:type="pct"/>
            <w:tcBorders>
              <w:top w:val="nil"/>
              <w:left w:val="nil"/>
              <w:bottom w:val="nil"/>
              <w:right w:val="nil"/>
            </w:tcBorders>
            <w:vAlign w:val="center"/>
            <w:hideMark/>
          </w:tcPr>
          <w:p w14:paraId="0927E08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128,000</w:t>
            </w:r>
          </w:p>
        </w:tc>
        <w:tc>
          <w:tcPr>
            <w:tcW w:w="334" w:type="pct"/>
            <w:tcBorders>
              <w:top w:val="nil"/>
              <w:left w:val="nil"/>
              <w:bottom w:val="nil"/>
              <w:right w:val="nil"/>
            </w:tcBorders>
            <w:noWrap/>
            <w:vAlign w:val="bottom"/>
            <w:hideMark/>
          </w:tcPr>
          <w:p w14:paraId="59DC4233"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89,667</w:t>
            </w:r>
          </w:p>
        </w:tc>
        <w:tc>
          <w:tcPr>
            <w:tcW w:w="86" w:type="pct"/>
            <w:tcBorders>
              <w:top w:val="nil"/>
              <w:left w:val="nil"/>
              <w:bottom w:val="nil"/>
              <w:right w:val="nil"/>
            </w:tcBorders>
            <w:vAlign w:val="center"/>
          </w:tcPr>
          <w:p w14:paraId="71E4851A"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66D329D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158,333</w:t>
            </w:r>
          </w:p>
        </w:tc>
        <w:tc>
          <w:tcPr>
            <w:tcW w:w="350" w:type="pct"/>
            <w:tcBorders>
              <w:top w:val="nil"/>
              <w:left w:val="nil"/>
              <w:bottom w:val="nil"/>
              <w:right w:val="nil"/>
            </w:tcBorders>
            <w:vAlign w:val="center"/>
            <w:hideMark/>
          </w:tcPr>
          <w:p w14:paraId="4DF8C61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121,667</w:t>
            </w:r>
          </w:p>
        </w:tc>
        <w:tc>
          <w:tcPr>
            <w:tcW w:w="361" w:type="pct"/>
            <w:tcBorders>
              <w:top w:val="nil"/>
              <w:left w:val="nil"/>
              <w:bottom w:val="nil"/>
              <w:right w:val="nil"/>
            </w:tcBorders>
            <w:vAlign w:val="center"/>
            <w:hideMark/>
          </w:tcPr>
          <w:p w14:paraId="5BD447E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166,667</w:t>
            </w:r>
          </w:p>
        </w:tc>
        <w:tc>
          <w:tcPr>
            <w:tcW w:w="335" w:type="pct"/>
            <w:tcBorders>
              <w:top w:val="nil"/>
              <w:left w:val="nil"/>
              <w:bottom w:val="nil"/>
              <w:right w:val="nil"/>
            </w:tcBorders>
            <w:noWrap/>
            <w:vAlign w:val="bottom"/>
            <w:hideMark/>
          </w:tcPr>
          <w:p w14:paraId="79D76A2B"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148,889</w:t>
            </w:r>
          </w:p>
        </w:tc>
      </w:tr>
      <w:tr w:rsidR="00F55539" w:rsidRPr="00E71565" w14:paraId="0796E728" w14:textId="77777777" w:rsidTr="00F55539">
        <w:trPr>
          <w:trHeight w:val="315"/>
          <w:jc w:val="center"/>
        </w:trPr>
        <w:tc>
          <w:tcPr>
            <w:tcW w:w="296" w:type="pct"/>
            <w:tcBorders>
              <w:top w:val="nil"/>
              <w:left w:val="nil"/>
              <w:bottom w:val="nil"/>
              <w:right w:val="nil"/>
            </w:tcBorders>
            <w:vAlign w:val="center"/>
            <w:hideMark/>
          </w:tcPr>
          <w:p w14:paraId="198CC3B0"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2014</w:t>
            </w:r>
          </w:p>
        </w:tc>
        <w:tc>
          <w:tcPr>
            <w:tcW w:w="457" w:type="pct"/>
            <w:tcBorders>
              <w:top w:val="nil"/>
              <w:left w:val="nil"/>
              <w:bottom w:val="nil"/>
              <w:right w:val="nil"/>
            </w:tcBorders>
            <w:vAlign w:val="center"/>
            <w:hideMark/>
          </w:tcPr>
          <w:p w14:paraId="483BE40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43,000</w:t>
            </w:r>
          </w:p>
        </w:tc>
        <w:tc>
          <w:tcPr>
            <w:tcW w:w="444" w:type="pct"/>
            <w:tcBorders>
              <w:top w:val="nil"/>
              <w:left w:val="nil"/>
              <w:bottom w:val="nil"/>
              <w:right w:val="nil"/>
            </w:tcBorders>
            <w:vAlign w:val="center"/>
            <w:hideMark/>
          </w:tcPr>
          <w:p w14:paraId="3CA8612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38,000</w:t>
            </w:r>
          </w:p>
        </w:tc>
        <w:tc>
          <w:tcPr>
            <w:tcW w:w="402" w:type="pct"/>
            <w:tcBorders>
              <w:top w:val="nil"/>
              <w:left w:val="nil"/>
              <w:bottom w:val="nil"/>
              <w:right w:val="nil"/>
            </w:tcBorders>
            <w:vAlign w:val="center"/>
            <w:hideMark/>
          </w:tcPr>
          <w:p w14:paraId="22A4B36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72,000</w:t>
            </w:r>
          </w:p>
        </w:tc>
        <w:tc>
          <w:tcPr>
            <w:tcW w:w="334" w:type="pct"/>
            <w:tcBorders>
              <w:top w:val="nil"/>
              <w:left w:val="nil"/>
              <w:bottom w:val="nil"/>
              <w:right w:val="nil"/>
            </w:tcBorders>
            <w:noWrap/>
            <w:vAlign w:val="bottom"/>
            <w:hideMark/>
          </w:tcPr>
          <w:p w14:paraId="2382FE70"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51,000</w:t>
            </w:r>
          </w:p>
        </w:tc>
        <w:tc>
          <w:tcPr>
            <w:tcW w:w="86" w:type="pct"/>
            <w:tcBorders>
              <w:top w:val="nil"/>
              <w:left w:val="nil"/>
              <w:bottom w:val="nil"/>
              <w:right w:val="nil"/>
            </w:tcBorders>
            <w:vAlign w:val="center"/>
          </w:tcPr>
          <w:p w14:paraId="7367D2D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71119A1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73,000</w:t>
            </w:r>
          </w:p>
        </w:tc>
        <w:tc>
          <w:tcPr>
            <w:tcW w:w="350" w:type="pct"/>
            <w:tcBorders>
              <w:top w:val="nil"/>
              <w:left w:val="nil"/>
              <w:bottom w:val="nil"/>
              <w:right w:val="nil"/>
            </w:tcBorders>
            <w:vAlign w:val="center"/>
            <w:hideMark/>
          </w:tcPr>
          <w:p w14:paraId="4B513F8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68,000</w:t>
            </w:r>
          </w:p>
        </w:tc>
        <w:tc>
          <w:tcPr>
            <w:tcW w:w="334" w:type="pct"/>
            <w:tcBorders>
              <w:top w:val="nil"/>
              <w:left w:val="nil"/>
              <w:bottom w:val="nil"/>
              <w:right w:val="nil"/>
            </w:tcBorders>
            <w:vAlign w:val="center"/>
            <w:hideMark/>
          </w:tcPr>
          <w:p w14:paraId="06FF939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128,000</w:t>
            </w:r>
          </w:p>
        </w:tc>
        <w:tc>
          <w:tcPr>
            <w:tcW w:w="334" w:type="pct"/>
            <w:tcBorders>
              <w:top w:val="nil"/>
              <w:left w:val="nil"/>
              <w:bottom w:val="nil"/>
              <w:right w:val="nil"/>
            </w:tcBorders>
            <w:noWrap/>
            <w:vAlign w:val="bottom"/>
            <w:hideMark/>
          </w:tcPr>
          <w:p w14:paraId="15CD9E0A"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89,667</w:t>
            </w:r>
          </w:p>
        </w:tc>
        <w:tc>
          <w:tcPr>
            <w:tcW w:w="86" w:type="pct"/>
            <w:tcBorders>
              <w:top w:val="nil"/>
              <w:left w:val="nil"/>
              <w:bottom w:val="nil"/>
              <w:right w:val="nil"/>
            </w:tcBorders>
            <w:vAlign w:val="center"/>
          </w:tcPr>
          <w:p w14:paraId="0C34901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5789A85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158,333</w:t>
            </w:r>
          </w:p>
        </w:tc>
        <w:tc>
          <w:tcPr>
            <w:tcW w:w="350" w:type="pct"/>
            <w:tcBorders>
              <w:top w:val="nil"/>
              <w:left w:val="nil"/>
              <w:bottom w:val="nil"/>
              <w:right w:val="nil"/>
            </w:tcBorders>
            <w:vAlign w:val="center"/>
            <w:hideMark/>
          </w:tcPr>
          <w:p w14:paraId="570CCCF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121,667</w:t>
            </w:r>
          </w:p>
        </w:tc>
        <w:tc>
          <w:tcPr>
            <w:tcW w:w="361" w:type="pct"/>
            <w:tcBorders>
              <w:top w:val="nil"/>
              <w:left w:val="nil"/>
              <w:bottom w:val="nil"/>
              <w:right w:val="nil"/>
            </w:tcBorders>
            <w:vAlign w:val="center"/>
            <w:hideMark/>
          </w:tcPr>
          <w:p w14:paraId="212080D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171,667</w:t>
            </w:r>
          </w:p>
        </w:tc>
        <w:tc>
          <w:tcPr>
            <w:tcW w:w="335" w:type="pct"/>
            <w:tcBorders>
              <w:top w:val="nil"/>
              <w:left w:val="nil"/>
              <w:bottom w:val="nil"/>
              <w:right w:val="nil"/>
            </w:tcBorders>
            <w:noWrap/>
            <w:vAlign w:val="bottom"/>
            <w:hideMark/>
          </w:tcPr>
          <w:p w14:paraId="76FA9E46"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150,556</w:t>
            </w:r>
          </w:p>
        </w:tc>
      </w:tr>
      <w:tr w:rsidR="00F55539" w:rsidRPr="00E71565" w14:paraId="43CC9CA2" w14:textId="77777777" w:rsidTr="00F55539">
        <w:trPr>
          <w:trHeight w:val="315"/>
          <w:jc w:val="center"/>
        </w:trPr>
        <w:tc>
          <w:tcPr>
            <w:tcW w:w="296" w:type="pct"/>
            <w:tcBorders>
              <w:top w:val="nil"/>
              <w:left w:val="nil"/>
              <w:bottom w:val="nil"/>
              <w:right w:val="nil"/>
            </w:tcBorders>
            <w:vAlign w:val="center"/>
            <w:hideMark/>
          </w:tcPr>
          <w:p w14:paraId="432EA998"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2015</w:t>
            </w:r>
          </w:p>
        </w:tc>
        <w:tc>
          <w:tcPr>
            <w:tcW w:w="457" w:type="pct"/>
            <w:tcBorders>
              <w:top w:val="nil"/>
              <w:left w:val="nil"/>
              <w:bottom w:val="nil"/>
              <w:right w:val="nil"/>
            </w:tcBorders>
            <w:vAlign w:val="center"/>
            <w:hideMark/>
          </w:tcPr>
          <w:p w14:paraId="702D11A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55,000</w:t>
            </w:r>
          </w:p>
        </w:tc>
        <w:tc>
          <w:tcPr>
            <w:tcW w:w="444" w:type="pct"/>
            <w:tcBorders>
              <w:top w:val="nil"/>
              <w:left w:val="nil"/>
              <w:bottom w:val="nil"/>
              <w:right w:val="nil"/>
            </w:tcBorders>
            <w:vAlign w:val="center"/>
            <w:hideMark/>
          </w:tcPr>
          <w:p w14:paraId="0C0BCB1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40,000</w:t>
            </w:r>
          </w:p>
        </w:tc>
        <w:tc>
          <w:tcPr>
            <w:tcW w:w="402" w:type="pct"/>
            <w:tcBorders>
              <w:top w:val="nil"/>
              <w:left w:val="nil"/>
              <w:bottom w:val="nil"/>
              <w:right w:val="nil"/>
            </w:tcBorders>
            <w:vAlign w:val="center"/>
            <w:hideMark/>
          </w:tcPr>
          <w:p w14:paraId="3B7A7EC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81,250</w:t>
            </w:r>
          </w:p>
        </w:tc>
        <w:tc>
          <w:tcPr>
            <w:tcW w:w="334" w:type="pct"/>
            <w:tcBorders>
              <w:top w:val="nil"/>
              <w:left w:val="nil"/>
              <w:bottom w:val="nil"/>
              <w:right w:val="nil"/>
            </w:tcBorders>
            <w:noWrap/>
            <w:vAlign w:val="bottom"/>
            <w:hideMark/>
          </w:tcPr>
          <w:p w14:paraId="655E8131"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58,750</w:t>
            </w:r>
          </w:p>
        </w:tc>
        <w:tc>
          <w:tcPr>
            <w:tcW w:w="86" w:type="pct"/>
            <w:tcBorders>
              <w:top w:val="nil"/>
              <w:left w:val="nil"/>
              <w:bottom w:val="nil"/>
              <w:right w:val="nil"/>
            </w:tcBorders>
            <w:vAlign w:val="center"/>
          </w:tcPr>
          <w:p w14:paraId="758F1A07"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0DE6679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86,667</w:t>
            </w:r>
          </w:p>
        </w:tc>
        <w:tc>
          <w:tcPr>
            <w:tcW w:w="350" w:type="pct"/>
            <w:tcBorders>
              <w:top w:val="nil"/>
              <w:left w:val="nil"/>
              <w:bottom w:val="nil"/>
              <w:right w:val="nil"/>
            </w:tcBorders>
            <w:vAlign w:val="center"/>
            <w:hideMark/>
          </w:tcPr>
          <w:p w14:paraId="5B20FF2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71,500</w:t>
            </w:r>
          </w:p>
        </w:tc>
        <w:tc>
          <w:tcPr>
            <w:tcW w:w="334" w:type="pct"/>
            <w:tcBorders>
              <w:top w:val="nil"/>
              <w:left w:val="nil"/>
              <w:bottom w:val="nil"/>
              <w:right w:val="nil"/>
            </w:tcBorders>
            <w:vAlign w:val="center"/>
            <w:hideMark/>
          </w:tcPr>
          <w:p w14:paraId="1BEA035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127,143</w:t>
            </w:r>
          </w:p>
        </w:tc>
        <w:tc>
          <w:tcPr>
            <w:tcW w:w="334" w:type="pct"/>
            <w:tcBorders>
              <w:top w:val="nil"/>
              <w:left w:val="nil"/>
              <w:bottom w:val="nil"/>
              <w:right w:val="nil"/>
            </w:tcBorders>
            <w:noWrap/>
            <w:vAlign w:val="bottom"/>
            <w:hideMark/>
          </w:tcPr>
          <w:p w14:paraId="7B8FF274"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95,103</w:t>
            </w:r>
          </w:p>
        </w:tc>
        <w:tc>
          <w:tcPr>
            <w:tcW w:w="86" w:type="pct"/>
            <w:tcBorders>
              <w:top w:val="nil"/>
              <w:left w:val="nil"/>
              <w:bottom w:val="nil"/>
              <w:right w:val="nil"/>
            </w:tcBorders>
            <w:vAlign w:val="center"/>
          </w:tcPr>
          <w:p w14:paraId="5C554D0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4F787C7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148,571</w:t>
            </w:r>
          </w:p>
        </w:tc>
        <w:tc>
          <w:tcPr>
            <w:tcW w:w="350" w:type="pct"/>
            <w:tcBorders>
              <w:top w:val="nil"/>
              <w:left w:val="nil"/>
              <w:bottom w:val="nil"/>
              <w:right w:val="nil"/>
            </w:tcBorders>
            <w:vAlign w:val="center"/>
            <w:hideMark/>
          </w:tcPr>
          <w:p w14:paraId="5C4C2EF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135,714</w:t>
            </w:r>
          </w:p>
        </w:tc>
        <w:tc>
          <w:tcPr>
            <w:tcW w:w="361" w:type="pct"/>
            <w:tcBorders>
              <w:top w:val="nil"/>
              <w:left w:val="nil"/>
              <w:bottom w:val="nil"/>
              <w:right w:val="nil"/>
            </w:tcBorders>
            <w:vAlign w:val="center"/>
            <w:hideMark/>
          </w:tcPr>
          <w:p w14:paraId="71B34B2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181,429</w:t>
            </w:r>
          </w:p>
        </w:tc>
        <w:tc>
          <w:tcPr>
            <w:tcW w:w="335" w:type="pct"/>
            <w:tcBorders>
              <w:top w:val="nil"/>
              <w:left w:val="nil"/>
              <w:bottom w:val="nil"/>
              <w:right w:val="nil"/>
            </w:tcBorders>
            <w:noWrap/>
            <w:vAlign w:val="bottom"/>
            <w:hideMark/>
          </w:tcPr>
          <w:p w14:paraId="06569CDE"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155,238</w:t>
            </w:r>
          </w:p>
        </w:tc>
      </w:tr>
      <w:tr w:rsidR="00F55539" w:rsidRPr="00E71565" w14:paraId="49528FAE" w14:textId="77777777" w:rsidTr="00F55539">
        <w:trPr>
          <w:trHeight w:val="315"/>
          <w:jc w:val="center"/>
        </w:trPr>
        <w:tc>
          <w:tcPr>
            <w:tcW w:w="296" w:type="pct"/>
            <w:tcBorders>
              <w:top w:val="nil"/>
              <w:left w:val="nil"/>
              <w:bottom w:val="nil"/>
              <w:right w:val="nil"/>
            </w:tcBorders>
            <w:vAlign w:val="center"/>
            <w:hideMark/>
          </w:tcPr>
          <w:p w14:paraId="1BA1BE3B"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2016</w:t>
            </w:r>
          </w:p>
        </w:tc>
        <w:tc>
          <w:tcPr>
            <w:tcW w:w="457" w:type="pct"/>
            <w:tcBorders>
              <w:top w:val="nil"/>
              <w:left w:val="nil"/>
              <w:bottom w:val="nil"/>
              <w:right w:val="nil"/>
            </w:tcBorders>
            <w:vAlign w:val="center"/>
            <w:hideMark/>
          </w:tcPr>
          <w:p w14:paraId="270BACE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59,286</w:t>
            </w:r>
          </w:p>
        </w:tc>
        <w:tc>
          <w:tcPr>
            <w:tcW w:w="444" w:type="pct"/>
            <w:tcBorders>
              <w:top w:val="nil"/>
              <w:left w:val="nil"/>
              <w:bottom w:val="nil"/>
              <w:right w:val="nil"/>
            </w:tcBorders>
            <w:vAlign w:val="center"/>
            <w:hideMark/>
          </w:tcPr>
          <w:p w14:paraId="05F61BF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55,714</w:t>
            </w:r>
          </w:p>
        </w:tc>
        <w:tc>
          <w:tcPr>
            <w:tcW w:w="402" w:type="pct"/>
            <w:tcBorders>
              <w:top w:val="nil"/>
              <w:left w:val="nil"/>
              <w:bottom w:val="nil"/>
              <w:right w:val="nil"/>
            </w:tcBorders>
            <w:vAlign w:val="center"/>
            <w:hideMark/>
          </w:tcPr>
          <w:p w14:paraId="4D9B0BE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86,250</w:t>
            </w:r>
          </w:p>
        </w:tc>
        <w:tc>
          <w:tcPr>
            <w:tcW w:w="334" w:type="pct"/>
            <w:tcBorders>
              <w:top w:val="nil"/>
              <w:left w:val="nil"/>
              <w:bottom w:val="nil"/>
              <w:right w:val="nil"/>
            </w:tcBorders>
            <w:noWrap/>
            <w:vAlign w:val="bottom"/>
            <w:hideMark/>
          </w:tcPr>
          <w:p w14:paraId="502543FC"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67,083</w:t>
            </w:r>
          </w:p>
        </w:tc>
        <w:tc>
          <w:tcPr>
            <w:tcW w:w="86" w:type="pct"/>
            <w:tcBorders>
              <w:top w:val="nil"/>
              <w:left w:val="nil"/>
              <w:bottom w:val="nil"/>
              <w:right w:val="nil"/>
            </w:tcBorders>
            <w:vAlign w:val="center"/>
          </w:tcPr>
          <w:p w14:paraId="40ADFFED"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6E3FF7B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91,429</w:t>
            </w:r>
          </w:p>
        </w:tc>
        <w:tc>
          <w:tcPr>
            <w:tcW w:w="350" w:type="pct"/>
            <w:tcBorders>
              <w:top w:val="nil"/>
              <w:left w:val="nil"/>
              <w:bottom w:val="nil"/>
              <w:right w:val="nil"/>
            </w:tcBorders>
            <w:vAlign w:val="center"/>
            <w:hideMark/>
          </w:tcPr>
          <w:p w14:paraId="270F38C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79,286</w:t>
            </w:r>
          </w:p>
        </w:tc>
        <w:tc>
          <w:tcPr>
            <w:tcW w:w="334" w:type="pct"/>
            <w:tcBorders>
              <w:top w:val="nil"/>
              <w:left w:val="nil"/>
              <w:bottom w:val="nil"/>
              <w:right w:val="nil"/>
            </w:tcBorders>
            <w:vAlign w:val="center"/>
            <w:hideMark/>
          </w:tcPr>
          <w:p w14:paraId="0E0198D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135,000</w:t>
            </w:r>
          </w:p>
        </w:tc>
        <w:tc>
          <w:tcPr>
            <w:tcW w:w="334" w:type="pct"/>
            <w:tcBorders>
              <w:top w:val="nil"/>
              <w:left w:val="nil"/>
              <w:bottom w:val="nil"/>
              <w:right w:val="nil"/>
            </w:tcBorders>
            <w:noWrap/>
            <w:vAlign w:val="bottom"/>
            <w:hideMark/>
          </w:tcPr>
          <w:p w14:paraId="6E511737"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101,905</w:t>
            </w:r>
          </w:p>
        </w:tc>
        <w:tc>
          <w:tcPr>
            <w:tcW w:w="86" w:type="pct"/>
            <w:tcBorders>
              <w:top w:val="nil"/>
              <w:left w:val="nil"/>
              <w:bottom w:val="nil"/>
              <w:right w:val="nil"/>
            </w:tcBorders>
            <w:vAlign w:val="center"/>
          </w:tcPr>
          <w:p w14:paraId="37F4922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3C973DF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170,000</w:t>
            </w:r>
          </w:p>
        </w:tc>
        <w:tc>
          <w:tcPr>
            <w:tcW w:w="350" w:type="pct"/>
            <w:tcBorders>
              <w:top w:val="nil"/>
              <w:left w:val="nil"/>
              <w:bottom w:val="nil"/>
              <w:right w:val="nil"/>
            </w:tcBorders>
            <w:vAlign w:val="center"/>
            <w:hideMark/>
          </w:tcPr>
          <w:p w14:paraId="113183E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148,750</w:t>
            </w:r>
          </w:p>
        </w:tc>
        <w:tc>
          <w:tcPr>
            <w:tcW w:w="361" w:type="pct"/>
            <w:tcBorders>
              <w:top w:val="nil"/>
              <w:left w:val="nil"/>
              <w:bottom w:val="nil"/>
              <w:right w:val="nil"/>
            </w:tcBorders>
            <w:vAlign w:val="center"/>
            <w:hideMark/>
          </w:tcPr>
          <w:p w14:paraId="339EE85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183,750</w:t>
            </w:r>
          </w:p>
        </w:tc>
        <w:tc>
          <w:tcPr>
            <w:tcW w:w="335" w:type="pct"/>
            <w:tcBorders>
              <w:top w:val="nil"/>
              <w:left w:val="nil"/>
              <w:bottom w:val="nil"/>
              <w:right w:val="nil"/>
            </w:tcBorders>
            <w:noWrap/>
            <w:vAlign w:val="bottom"/>
            <w:hideMark/>
          </w:tcPr>
          <w:p w14:paraId="72448295"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167,500</w:t>
            </w:r>
          </w:p>
        </w:tc>
      </w:tr>
      <w:tr w:rsidR="00F55539" w:rsidRPr="00E71565" w14:paraId="762EC602" w14:textId="77777777" w:rsidTr="00F55539">
        <w:trPr>
          <w:trHeight w:val="315"/>
          <w:jc w:val="center"/>
        </w:trPr>
        <w:tc>
          <w:tcPr>
            <w:tcW w:w="296" w:type="pct"/>
            <w:tcBorders>
              <w:top w:val="nil"/>
              <w:left w:val="nil"/>
              <w:bottom w:val="nil"/>
              <w:right w:val="nil"/>
            </w:tcBorders>
            <w:vAlign w:val="center"/>
            <w:hideMark/>
          </w:tcPr>
          <w:p w14:paraId="7F5EE24B"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2017</w:t>
            </w:r>
          </w:p>
        </w:tc>
        <w:tc>
          <w:tcPr>
            <w:tcW w:w="457" w:type="pct"/>
            <w:tcBorders>
              <w:top w:val="nil"/>
              <w:left w:val="nil"/>
              <w:bottom w:val="nil"/>
              <w:right w:val="nil"/>
            </w:tcBorders>
            <w:vAlign w:val="center"/>
            <w:hideMark/>
          </w:tcPr>
          <w:p w14:paraId="761C608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61,429</w:t>
            </w:r>
          </w:p>
        </w:tc>
        <w:tc>
          <w:tcPr>
            <w:tcW w:w="444" w:type="pct"/>
            <w:tcBorders>
              <w:top w:val="nil"/>
              <w:left w:val="nil"/>
              <w:bottom w:val="nil"/>
              <w:right w:val="nil"/>
            </w:tcBorders>
            <w:vAlign w:val="center"/>
            <w:hideMark/>
          </w:tcPr>
          <w:p w14:paraId="39AF78C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62,857</w:t>
            </w:r>
          </w:p>
        </w:tc>
        <w:tc>
          <w:tcPr>
            <w:tcW w:w="402" w:type="pct"/>
            <w:tcBorders>
              <w:top w:val="nil"/>
              <w:left w:val="nil"/>
              <w:bottom w:val="nil"/>
              <w:right w:val="nil"/>
            </w:tcBorders>
            <w:vAlign w:val="center"/>
            <w:hideMark/>
          </w:tcPr>
          <w:p w14:paraId="1BBA2A0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90,000</w:t>
            </w:r>
          </w:p>
        </w:tc>
        <w:tc>
          <w:tcPr>
            <w:tcW w:w="334" w:type="pct"/>
            <w:tcBorders>
              <w:top w:val="nil"/>
              <w:left w:val="nil"/>
              <w:bottom w:val="nil"/>
              <w:right w:val="nil"/>
            </w:tcBorders>
            <w:noWrap/>
            <w:vAlign w:val="bottom"/>
            <w:hideMark/>
          </w:tcPr>
          <w:p w14:paraId="4FEA9140"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71,429</w:t>
            </w:r>
          </w:p>
        </w:tc>
        <w:tc>
          <w:tcPr>
            <w:tcW w:w="86" w:type="pct"/>
            <w:tcBorders>
              <w:top w:val="nil"/>
              <w:left w:val="nil"/>
              <w:bottom w:val="nil"/>
              <w:right w:val="nil"/>
            </w:tcBorders>
            <w:vAlign w:val="center"/>
          </w:tcPr>
          <w:p w14:paraId="74D32E1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649D4E5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95,714</w:t>
            </w:r>
          </w:p>
        </w:tc>
        <w:tc>
          <w:tcPr>
            <w:tcW w:w="350" w:type="pct"/>
            <w:tcBorders>
              <w:top w:val="nil"/>
              <w:left w:val="nil"/>
              <w:bottom w:val="nil"/>
              <w:right w:val="nil"/>
            </w:tcBorders>
            <w:vAlign w:val="center"/>
            <w:hideMark/>
          </w:tcPr>
          <w:p w14:paraId="01D3AC8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98,571</w:t>
            </w:r>
          </w:p>
        </w:tc>
        <w:tc>
          <w:tcPr>
            <w:tcW w:w="334" w:type="pct"/>
            <w:tcBorders>
              <w:top w:val="nil"/>
              <w:left w:val="nil"/>
              <w:bottom w:val="nil"/>
              <w:right w:val="nil"/>
            </w:tcBorders>
            <w:vAlign w:val="center"/>
            <w:hideMark/>
          </w:tcPr>
          <w:p w14:paraId="308ED57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170,000</w:t>
            </w:r>
          </w:p>
        </w:tc>
        <w:tc>
          <w:tcPr>
            <w:tcW w:w="334" w:type="pct"/>
            <w:tcBorders>
              <w:top w:val="nil"/>
              <w:left w:val="nil"/>
              <w:bottom w:val="nil"/>
              <w:right w:val="nil"/>
            </w:tcBorders>
            <w:noWrap/>
            <w:vAlign w:val="bottom"/>
            <w:hideMark/>
          </w:tcPr>
          <w:p w14:paraId="729F2971"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121,428</w:t>
            </w:r>
          </w:p>
        </w:tc>
        <w:tc>
          <w:tcPr>
            <w:tcW w:w="86" w:type="pct"/>
            <w:tcBorders>
              <w:top w:val="nil"/>
              <w:left w:val="nil"/>
              <w:bottom w:val="nil"/>
              <w:right w:val="nil"/>
            </w:tcBorders>
            <w:vAlign w:val="center"/>
          </w:tcPr>
          <w:p w14:paraId="5F05B947"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79A1C1E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186,250</w:t>
            </w:r>
          </w:p>
        </w:tc>
        <w:tc>
          <w:tcPr>
            <w:tcW w:w="350" w:type="pct"/>
            <w:tcBorders>
              <w:top w:val="nil"/>
              <w:left w:val="nil"/>
              <w:bottom w:val="nil"/>
              <w:right w:val="nil"/>
            </w:tcBorders>
            <w:vAlign w:val="center"/>
            <w:hideMark/>
          </w:tcPr>
          <w:p w14:paraId="4D99282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158,750</w:t>
            </w:r>
          </w:p>
        </w:tc>
        <w:tc>
          <w:tcPr>
            <w:tcW w:w="361" w:type="pct"/>
            <w:tcBorders>
              <w:top w:val="nil"/>
              <w:left w:val="nil"/>
              <w:bottom w:val="nil"/>
              <w:right w:val="nil"/>
            </w:tcBorders>
            <w:vAlign w:val="center"/>
            <w:hideMark/>
          </w:tcPr>
          <w:p w14:paraId="07A5C9E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207,778</w:t>
            </w:r>
          </w:p>
        </w:tc>
        <w:tc>
          <w:tcPr>
            <w:tcW w:w="335" w:type="pct"/>
            <w:tcBorders>
              <w:top w:val="nil"/>
              <w:left w:val="nil"/>
              <w:bottom w:val="nil"/>
              <w:right w:val="nil"/>
            </w:tcBorders>
            <w:noWrap/>
            <w:vAlign w:val="bottom"/>
            <w:hideMark/>
          </w:tcPr>
          <w:p w14:paraId="7E3FF1DE"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184,259</w:t>
            </w:r>
          </w:p>
        </w:tc>
      </w:tr>
      <w:tr w:rsidR="00F55539" w:rsidRPr="00E71565" w14:paraId="16D41385" w14:textId="77777777" w:rsidTr="00F55539">
        <w:trPr>
          <w:trHeight w:val="315"/>
          <w:jc w:val="center"/>
        </w:trPr>
        <w:tc>
          <w:tcPr>
            <w:tcW w:w="296" w:type="pct"/>
            <w:tcBorders>
              <w:top w:val="nil"/>
              <w:left w:val="nil"/>
              <w:bottom w:val="nil"/>
              <w:right w:val="nil"/>
            </w:tcBorders>
            <w:vAlign w:val="center"/>
            <w:hideMark/>
          </w:tcPr>
          <w:p w14:paraId="7B6F3E5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lastRenderedPageBreak/>
              <w:t>2018</w:t>
            </w:r>
          </w:p>
        </w:tc>
        <w:tc>
          <w:tcPr>
            <w:tcW w:w="457" w:type="pct"/>
            <w:tcBorders>
              <w:top w:val="nil"/>
              <w:left w:val="nil"/>
              <w:bottom w:val="nil"/>
              <w:right w:val="nil"/>
            </w:tcBorders>
            <w:vAlign w:val="center"/>
            <w:hideMark/>
          </w:tcPr>
          <w:p w14:paraId="75B8C84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67,857</w:t>
            </w:r>
          </w:p>
        </w:tc>
        <w:tc>
          <w:tcPr>
            <w:tcW w:w="444" w:type="pct"/>
            <w:tcBorders>
              <w:top w:val="nil"/>
              <w:left w:val="nil"/>
              <w:bottom w:val="nil"/>
              <w:right w:val="nil"/>
            </w:tcBorders>
            <w:vAlign w:val="center"/>
            <w:hideMark/>
          </w:tcPr>
          <w:p w14:paraId="4CE76EA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63,571</w:t>
            </w:r>
          </w:p>
        </w:tc>
        <w:tc>
          <w:tcPr>
            <w:tcW w:w="402" w:type="pct"/>
            <w:tcBorders>
              <w:top w:val="nil"/>
              <w:left w:val="nil"/>
              <w:bottom w:val="nil"/>
              <w:right w:val="nil"/>
            </w:tcBorders>
            <w:vAlign w:val="center"/>
            <w:hideMark/>
          </w:tcPr>
          <w:p w14:paraId="658D056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102,500</w:t>
            </w:r>
          </w:p>
        </w:tc>
        <w:tc>
          <w:tcPr>
            <w:tcW w:w="334" w:type="pct"/>
            <w:tcBorders>
              <w:top w:val="nil"/>
              <w:left w:val="nil"/>
              <w:bottom w:val="nil"/>
              <w:right w:val="nil"/>
            </w:tcBorders>
            <w:noWrap/>
            <w:vAlign w:val="bottom"/>
            <w:hideMark/>
          </w:tcPr>
          <w:p w14:paraId="6E1579F0"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77,976</w:t>
            </w:r>
          </w:p>
        </w:tc>
        <w:tc>
          <w:tcPr>
            <w:tcW w:w="86" w:type="pct"/>
            <w:tcBorders>
              <w:top w:val="nil"/>
              <w:left w:val="nil"/>
              <w:bottom w:val="nil"/>
              <w:right w:val="nil"/>
            </w:tcBorders>
            <w:vAlign w:val="center"/>
          </w:tcPr>
          <w:p w14:paraId="48F3E280"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4F451B2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98,571</w:t>
            </w:r>
          </w:p>
        </w:tc>
        <w:tc>
          <w:tcPr>
            <w:tcW w:w="350" w:type="pct"/>
            <w:tcBorders>
              <w:top w:val="nil"/>
              <w:left w:val="nil"/>
              <w:bottom w:val="nil"/>
              <w:right w:val="nil"/>
            </w:tcBorders>
            <w:vAlign w:val="center"/>
            <w:hideMark/>
          </w:tcPr>
          <w:p w14:paraId="292F41B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98,571</w:t>
            </w:r>
          </w:p>
        </w:tc>
        <w:tc>
          <w:tcPr>
            <w:tcW w:w="334" w:type="pct"/>
            <w:tcBorders>
              <w:top w:val="nil"/>
              <w:left w:val="nil"/>
              <w:bottom w:val="nil"/>
              <w:right w:val="nil"/>
            </w:tcBorders>
            <w:vAlign w:val="center"/>
            <w:hideMark/>
          </w:tcPr>
          <w:p w14:paraId="14F808A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181,250</w:t>
            </w:r>
          </w:p>
        </w:tc>
        <w:tc>
          <w:tcPr>
            <w:tcW w:w="334" w:type="pct"/>
            <w:tcBorders>
              <w:top w:val="nil"/>
              <w:left w:val="nil"/>
              <w:bottom w:val="nil"/>
              <w:right w:val="nil"/>
            </w:tcBorders>
            <w:noWrap/>
            <w:vAlign w:val="bottom"/>
            <w:hideMark/>
          </w:tcPr>
          <w:p w14:paraId="0A71CBD6"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126,131</w:t>
            </w:r>
          </w:p>
        </w:tc>
        <w:tc>
          <w:tcPr>
            <w:tcW w:w="86" w:type="pct"/>
            <w:tcBorders>
              <w:top w:val="nil"/>
              <w:left w:val="nil"/>
              <w:bottom w:val="nil"/>
              <w:right w:val="nil"/>
            </w:tcBorders>
            <w:vAlign w:val="center"/>
          </w:tcPr>
          <w:p w14:paraId="4AA5954D"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4D5D8C8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192,500</w:t>
            </w:r>
          </w:p>
        </w:tc>
        <w:tc>
          <w:tcPr>
            <w:tcW w:w="350" w:type="pct"/>
            <w:tcBorders>
              <w:top w:val="nil"/>
              <w:left w:val="nil"/>
              <w:bottom w:val="nil"/>
              <w:right w:val="nil"/>
            </w:tcBorders>
            <w:vAlign w:val="center"/>
            <w:hideMark/>
          </w:tcPr>
          <w:p w14:paraId="18E503E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171,250</w:t>
            </w:r>
          </w:p>
        </w:tc>
        <w:tc>
          <w:tcPr>
            <w:tcW w:w="361" w:type="pct"/>
            <w:tcBorders>
              <w:top w:val="nil"/>
              <w:left w:val="nil"/>
              <w:bottom w:val="nil"/>
              <w:right w:val="nil"/>
            </w:tcBorders>
            <w:vAlign w:val="center"/>
            <w:hideMark/>
          </w:tcPr>
          <w:p w14:paraId="24D3FEE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214,444</w:t>
            </w:r>
          </w:p>
        </w:tc>
        <w:tc>
          <w:tcPr>
            <w:tcW w:w="335" w:type="pct"/>
            <w:tcBorders>
              <w:top w:val="nil"/>
              <w:left w:val="nil"/>
              <w:bottom w:val="nil"/>
              <w:right w:val="nil"/>
            </w:tcBorders>
            <w:noWrap/>
            <w:vAlign w:val="bottom"/>
            <w:hideMark/>
          </w:tcPr>
          <w:p w14:paraId="73E7988B"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192,731</w:t>
            </w:r>
          </w:p>
        </w:tc>
      </w:tr>
      <w:tr w:rsidR="00F55539" w:rsidRPr="00E71565" w14:paraId="708E317B" w14:textId="77777777" w:rsidTr="00F55539">
        <w:trPr>
          <w:trHeight w:val="315"/>
          <w:jc w:val="center"/>
        </w:trPr>
        <w:tc>
          <w:tcPr>
            <w:tcW w:w="296" w:type="pct"/>
            <w:tcBorders>
              <w:top w:val="nil"/>
              <w:left w:val="nil"/>
              <w:bottom w:val="nil"/>
              <w:right w:val="nil"/>
            </w:tcBorders>
            <w:vAlign w:val="center"/>
            <w:hideMark/>
          </w:tcPr>
          <w:p w14:paraId="60FD951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2019</w:t>
            </w:r>
          </w:p>
        </w:tc>
        <w:tc>
          <w:tcPr>
            <w:tcW w:w="457" w:type="pct"/>
            <w:tcBorders>
              <w:top w:val="nil"/>
              <w:left w:val="nil"/>
              <w:bottom w:val="nil"/>
              <w:right w:val="nil"/>
            </w:tcBorders>
            <w:vAlign w:val="center"/>
            <w:hideMark/>
          </w:tcPr>
          <w:p w14:paraId="7B4D103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65,625</w:t>
            </w:r>
          </w:p>
        </w:tc>
        <w:tc>
          <w:tcPr>
            <w:tcW w:w="444" w:type="pct"/>
            <w:tcBorders>
              <w:top w:val="nil"/>
              <w:left w:val="nil"/>
              <w:bottom w:val="nil"/>
              <w:right w:val="nil"/>
            </w:tcBorders>
            <w:vAlign w:val="center"/>
            <w:hideMark/>
          </w:tcPr>
          <w:p w14:paraId="5673A95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72,857</w:t>
            </w:r>
          </w:p>
        </w:tc>
        <w:tc>
          <w:tcPr>
            <w:tcW w:w="402" w:type="pct"/>
            <w:tcBorders>
              <w:top w:val="nil"/>
              <w:left w:val="nil"/>
              <w:bottom w:val="nil"/>
              <w:right w:val="nil"/>
            </w:tcBorders>
            <w:vAlign w:val="center"/>
            <w:hideMark/>
          </w:tcPr>
          <w:p w14:paraId="2E33E0E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107,500</w:t>
            </w:r>
          </w:p>
        </w:tc>
        <w:tc>
          <w:tcPr>
            <w:tcW w:w="334" w:type="pct"/>
            <w:tcBorders>
              <w:top w:val="nil"/>
              <w:left w:val="nil"/>
              <w:bottom w:val="nil"/>
              <w:right w:val="nil"/>
            </w:tcBorders>
            <w:noWrap/>
            <w:vAlign w:val="bottom"/>
            <w:hideMark/>
          </w:tcPr>
          <w:p w14:paraId="174781D1"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81,994</w:t>
            </w:r>
          </w:p>
        </w:tc>
        <w:tc>
          <w:tcPr>
            <w:tcW w:w="86" w:type="pct"/>
            <w:tcBorders>
              <w:top w:val="nil"/>
              <w:left w:val="nil"/>
              <w:bottom w:val="nil"/>
              <w:right w:val="nil"/>
            </w:tcBorders>
            <w:vAlign w:val="center"/>
          </w:tcPr>
          <w:p w14:paraId="2D4BF37D"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55C8BD9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110,000</w:t>
            </w:r>
          </w:p>
        </w:tc>
        <w:tc>
          <w:tcPr>
            <w:tcW w:w="350" w:type="pct"/>
            <w:tcBorders>
              <w:top w:val="nil"/>
              <w:left w:val="nil"/>
              <w:bottom w:val="nil"/>
              <w:right w:val="nil"/>
            </w:tcBorders>
            <w:vAlign w:val="center"/>
            <w:hideMark/>
          </w:tcPr>
          <w:p w14:paraId="111EA9D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110,000</w:t>
            </w:r>
          </w:p>
        </w:tc>
        <w:tc>
          <w:tcPr>
            <w:tcW w:w="334" w:type="pct"/>
            <w:tcBorders>
              <w:top w:val="nil"/>
              <w:left w:val="nil"/>
              <w:bottom w:val="nil"/>
              <w:right w:val="nil"/>
            </w:tcBorders>
            <w:vAlign w:val="center"/>
            <w:hideMark/>
          </w:tcPr>
          <w:p w14:paraId="60658DD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191,250</w:t>
            </w:r>
          </w:p>
        </w:tc>
        <w:tc>
          <w:tcPr>
            <w:tcW w:w="334" w:type="pct"/>
            <w:tcBorders>
              <w:top w:val="nil"/>
              <w:left w:val="nil"/>
              <w:bottom w:val="nil"/>
              <w:right w:val="nil"/>
            </w:tcBorders>
            <w:noWrap/>
            <w:vAlign w:val="bottom"/>
            <w:hideMark/>
          </w:tcPr>
          <w:p w14:paraId="32FF65EB"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137,083</w:t>
            </w:r>
          </w:p>
        </w:tc>
        <w:tc>
          <w:tcPr>
            <w:tcW w:w="86" w:type="pct"/>
            <w:tcBorders>
              <w:top w:val="nil"/>
              <w:left w:val="nil"/>
              <w:bottom w:val="nil"/>
              <w:right w:val="nil"/>
            </w:tcBorders>
            <w:vAlign w:val="center"/>
          </w:tcPr>
          <w:p w14:paraId="0AF5C908"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122DF78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196,250</w:t>
            </w:r>
          </w:p>
        </w:tc>
        <w:tc>
          <w:tcPr>
            <w:tcW w:w="350" w:type="pct"/>
            <w:tcBorders>
              <w:top w:val="nil"/>
              <w:left w:val="nil"/>
              <w:bottom w:val="nil"/>
              <w:right w:val="nil"/>
            </w:tcBorders>
            <w:vAlign w:val="center"/>
            <w:hideMark/>
          </w:tcPr>
          <w:p w14:paraId="087D8B5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178,750</w:t>
            </w:r>
          </w:p>
        </w:tc>
        <w:tc>
          <w:tcPr>
            <w:tcW w:w="361" w:type="pct"/>
            <w:tcBorders>
              <w:top w:val="nil"/>
              <w:left w:val="nil"/>
              <w:bottom w:val="nil"/>
              <w:right w:val="nil"/>
            </w:tcBorders>
            <w:vAlign w:val="center"/>
            <w:hideMark/>
          </w:tcPr>
          <w:p w14:paraId="5356B91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224,444</w:t>
            </w:r>
          </w:p>
        </w:tc>
        <w:tc>
          <w:tcPr>
            <w:tcW w:w="335" w:type="pct"/>
            <w:tcBorders>
              <w:top w:val="nil"/>
              <w:left w:val="nil"/>
              <w:bottom w:val="nil"/>
              <w:right w:val="nil"/>
            </w:tcBorders>
            <w:noWrap/>
            <w:vAlign w:val="bottom"/>
            <w:hideMark/>
          </w:tcPr>
          <w:p w14:paraId="4108255D"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199,815</w:t>
            </w:r>
          </w:p>
        </w:tc>
      </w:tr>
      <w:tr w:rsidR="00F55539" w:rsidRPr="00E71565" w14:paraId="49778F5F" w14:textId="77777777" w:rsidTr="00F55539">
        <w:trPr>
          <w:trHeight w:val="315"/>
          <w:jc w:val="center"/>
        </w:trPr>
        <w:tc>
          <w:tcPr>
            <w:tcW w:w="296" w:type="pct"/>
            <w:tcBorders>
              <w:top w:val="nil"/>
              <w:left w:val="nil"/>
              <w:bottom w:val="nil"/>
              <w:right w:val="nil"/>
            </w:tcBorders>
            <w:vAlign w:val="center"/>
            <w:hideMark/>
          </w:tcPr>
          <w:p w14:paraId="1A0D2D9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2020</w:t>
            </w:r>
          </w:p>
        </w:tc>
        <w:tc>
          <w:tcPr>
            <w:tcW w:w="457" w:type="pct"/>
            <w:tcBorders>
              <w:top w:val="nil"/>
              <w:left w:val="nil"/>
              <w:bottom w:val="nil"/>
              <w:right w:val="nil"/>
            </w:tcBorders>
            <w:vAlign w:val="center"/>
            <w:hideMark/>
          </w:tcPr>
          <w:p w14:paraId="069A3DD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76,250</w:t>
            </w:r>
          </w:p>
        </w:tc>
        <w:tc>
          <w:tcPr>
            <w:tcW w:w="444" w:type="pct"/>
            <w:tcBorders>
              <w:top w:val="nil"/>
              <w:left w:val="nil"/>
              <w:bottom w:val="nil"/>
              <w:right w:val="nil"/>
            </w:tcBorders>
            <w:vAlign w:val="center"/>
            <w:hideMark/>
          </w:tcPr>
          <w:p w14:paraId="664327F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73,571</w:t>
            </w:r>
          </w:p>
        </w:tc>
        <w:tc>
          <w:tcPr>
            <w:tcW w:w="402" w:type="pct"/>
            <w:tcBorders>
              <w:top w:val="nil"/>
              <w:left w:val="nil"/>
              <w:bottom w:val="nil"/>
              <w:right w:val="nil"/>
            </w:tcBorders>
            <w:vAlign w:val="center"/>
            <w:hideMark/>
          </w:tcPr>
          <w:p w14:paraId="3961E84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107,500</w:t>
            </w:r>
          </w:p>
        </w:tc>
        <w:tc>
          <w:tcPr>
            <w:tcW w:w="334" w:type="pct"/>
            <w:tcBorders>
              <w:top w:val="nil"/>
              <w:left w:val="nil"/>
              <w:bottom w:val="nil"/>
              <w:right w:val="nil"/>
            </w:tcBorders>
            <w:noWrap/>
            <w:vAlign w:val="bottom"/>
            <w:hideMark/>
          </w:tcPr>
          <w:p w14:paraId="7C19D88A"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85,774</w:t>
            </w:r>
          </w:p>
        </w:tc>
        <w:tc>
          <w:tcPr>
            <w:tcW w:w="86" w:type="pct"/>
            <w:tcBorders>
              <w:top w:val="nil"/>
              <w:left w:val="nil"/>
              <w:bottom w:val="nil"/>
              <w:right w:val="nil"/>
            </w:tcBorders>
            <w:vAlign w:val="center"/>
          </w:tcPr>
          <w:p w14:paraId="06952F08"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2439F3F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115,000</w:t>
            </w:r>
          </w:p>
        </w:tc>
        <w:tc>
          <w:tcPr>
            <w:tcW w:w="350" w:type="pct"/>
            <w:tcBorders>
              <w:top w:val="nil"/>
              <w:left w:val="nil"/>
              <w:bottom w:val="nil"/>
              <w:right w:val="nil"/>
            </w:tcBorders>
            <w:vAlign w:val="center"/>
            <w:hideMark/>
          </w:tcPr>
          <w:p w14:paraId="5E51FF9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114,286</w:t>
            </w:r>
          </w:p>
        </w:tc>
        <w:tc>
          <w:tcPr>
            <w:tcW w:w="334" w:type="pct"/>
            <w:tcBorders>
              <w:top w:val="nil"/>
              <w:left w:val="nil"/>
              <w:bottom w:val="nil"/>
              <w:right w:val="nil"/>
            </w:tcBorders>
            <w:vAlign w:val="center"/>
            <w:hideMark/>
          </w:tcPr>
          <w:p w14:paraId="0AC6ECB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200,000</w:t>
            </w:r>
          </w:p>
        </w:tc>
        <w:tc>
          <w:tcPr>
            <w:tcW w:w="334" w:type="pct"/>
            <w:tcBorders>
              <w:top w:val="nil"/>
              <w:left w:val="nil"/>
              <w:bottom w:val="nil"/>
              <w:right w:val="nil"/>
            </w:tcBorders>
            <w:noWrap/>
            <w:vAlign w:val="bottom"/>
            <w:hideMark/>
          </w:tcPr>
          <w:p w14:paraId="0C731BEB"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143,095</w:t>
            </w:r>
          </w:p>
        </w:tc>
        <w:tc>
          <w:tcPr>
            <w:tcW w:w="86" w:type="pct"/>
            <w:tcBorders>
              <w:top w:val="nil"/>
              <w:left w:val="nil"/>
              <w:bottom w:val="nil"/>
              <w:right w:val="nil"/>
            </w:tcBorders>
            <w:vAlign w:val="center"/>
          </w:tcPr>
          <w:p w14:paraId="3702C32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0004FB7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205,000</w:t>
            </w:r>
          </w:p>
        </w:tc>
        <w:tc>
          <w:tcPr>
            <w:tcW w:w="350" w:type="pct"/>
            <w:tcBorders>
              <w:top w:val="nil"/>
              <w:left w:val="nil"/>
              <w:bottom w:val="nil"/>
              <w:right w:val="nil"/>
            </w:tcBorders>
            <w:vAlign w:val="center"/>
            <w:hideMark/>
          </w:tcPr>
          <w:p w14:paraId="5A2FF7B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195,000</w:t>
            </w:r>
          </w:p>
        </w:tc>
        <w:tc>
          <w:tcPr>
            <w:tcW w:w="361" w:type="pct"/>
            <w:tcBorders>
              <w:top w:val="nil"/>
              <w:left w:val="nil"/>
              <w:bottom w:val="nil"/>
              <w:right w:val="nil"/>
            </w:tcBorders>
            <w:vAlign w:val="center"/>
            <w:hideMark/>
          </w:tcPr>
          <w:p w14:paraId="7D3E3DF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233,333</w:t>
            </w:r>
          </w:p>
        </w:tc>
        <w:tc>
          <w:tcPr>
            <w:tcW w:w="335" w:type="pct"/>
            <w:tcBorders>
              <w:top w:val="nil"/>
              <w:left w:val="nil"/>
              <w:bottom w:val="nil"/>
              <w:right w:val="nil"/>
            </w:tcBorders>
            <w:noWrap/>
            <w:vAlign w:val="bottom"/>
            <w:hideMark/>
          </w:tcPr>
          <w:p w14:paraId="57DCB779"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211,111</w:t>
            </w:r>
          </w:p>
        </w:tc>
      </w:tr>
      <w:tr w:rsidR="00F55539" w:rsidRPr="00E71565" w14:paraId="3EA4BE71" w14:textId="77777777" w:rsidTr="00F55539">
        <w:trPr>
          <w:trHeight w:val="315"/>
          <w:jc w:val="center"/>
        </w:trPr>
        <w:tc>
          <w:tcPr>
            <w:tcW w:w="296" w:type="pct"/>
            <w:tcBorders>
              <w:top w:val="nil"/>
              <w:left w:val="nil"/>
              <w:bottom w:val="nil"/>
              <w:right w:val="nil"/>
            </w:tcBorders>
            <w:vAlign w:val="center"/>
            <w:hideMark/>
          </w:tcPr>
          <w:p w14:paraId="0AC4175E"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2021</w:t>
            </w:r>
          </w:p>
        </w:tc>
        <w:tc>
          <w:tcPr>
            <w:tcW w:w="457" w:type="pct"/>
            <w:tcBorders>
              <w:top w:val="nil"/>
              <w:left w:val="nil"/>
              <w:bottom w:val="nil"/>
              <w:right w:val="nil"/>
            </w:tcBorders>
            <w:vAlign w:val="center"/>
            <w:hideMark/>
          </w:tcPr>
          <w:p w14:paraId="1FC11B2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81,875</w:t>
            </w:r>
          </w:p>
        </w:tc>
        <w:tc>
          <w:tcPr>
            <w:tcW w:w="444" w:type="pct"/>
            <w:tcBorders>
              <w:top w:val="nil"/>
              <w:left w:val="nil"/>
              <w:bottom w:val="nil"/>
              <w:right w:val="nil"/>
            </w:tcBorders>
            <w:vAlign w:val="center"/>
            <w:hideMark/>
          </w:tcPr>
          <w:p w14:paraId="4E3CB01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86,429</w:t>
            </w:r>
          </w:p>
        </w:tc>
        <w:tc>
          <w:tcPr>
            <w:tcW w:w="402" w:type="pct"/>
            <w:tcBorders>
              <w:top w:val="nil"/>
              <w:left w:val="nil"/>
              <w:bottom w:val="nil"/>
              <w:right w:val="nil"/>
            </w:tcBorders>
            <w:vAlign w:val="center"/>
            <w:hideMark/>
          </w:tcPr>
          <w:p w14:paraId="093C504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133,750</w:t>
            </w:r>
          </w:p>
        </w:tc>
        <w:tc>
          <w:tcPr>
            <w:tcW w:w="334" w:type="pct"/>
            <w:tcBorders>
              <w:top w:val="nil"/>
              <w:left w:val="nil"/>
              <w:bottom w:val="nil"/>
              <w:right w:val="nil"/>
            </w:tcBorders>
            <w:noWrap/>
            <w:vAlign w:val="bottom"/>
            <w:hideMark/>
          </w:tcPr>
          <w:p w14:paraId="69E0792D"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100,685</w:t>
            </w:r>
          </w:p>
        </w:tc>
        <w:tc>
          <w:tcPr>
            <w:tcW w:w="86" w:type="pct"/>
            <w:tcBorders>
              <w:top w:val="nil"/>
              <w:left w:val="nil"/>
              <w:bottom w:val="nil"/>
              <w:right w:val="nil"/>
            </w:tcBorders>
            <w:vAlign w:val="center"/>
          </w:tcPr>
          <w:p w14:paraId="639594D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7C7B6EE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125,000</w:t>
            </w:r>
          </w:p>
        </w:tc>
        <w:tc>
          <w:tcPr>
            <w:tcW w:w="350" w:type="pct"/>
            <w:tcBorders>
              <w:top w:val="nil"/>
              <w:left w:val="nil"/>
              <w:bottom w:val="nil"/>
              <w:right w:val="nil"/>
            </w:tcBorders>
            <w:vAlign w:val="center"/>
            <w:hideMark/>
          </w:tcPr>
          <w:p w14:paraId="265B086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131,429</w:t>
            </w:r>
          </w:p>
        </w:tc>
        <w:tc>
          <w:tcPr>
            <w:tcW w:w="334" w:type="pct"/>
            <w:tcBorders>
              <w:top w:val="nil"/>
              <w:left w:val="nil"/>
              <w:bottom w:val="nil"/>
              <w:right w:val="nil"/>
            </w:tcBorders>
            <w:vAlign w:val="center"/>
            <w:hideMark/>
          </w:tcPr>
          <w:p w14:paraId="0D5E724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211,250</w:t>
            </w:r>
          </w:p>
        </w:tc>
        <w:tc>
          <w:tcPr>
            <w:tcW w:w="334" w:type="pct"/>
            <w:tcBorders>
              <w:top w:val="nil"/>
              <w:left w:val="nil"/>
              <w:bottom w:val="nil"/>
              <w:right w:val="nil"/>
            </w:tcBorders>
            <w:noWrap/>
            <w:vAlign w:val="bottom"/>
            <w:hideMark/>
          </w:tcPr>
          <w:p w14:paraId="7B539264"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155,893</w:t>
            </w:r>
          </w:p>
        </w:tc>
        <w:tc>
          <w:tcPr>
            <w:tcW w:w="86" w:type="pct"/>
            <w:tcBorders>
              <w:top w:val="nil"/>
              <w:left w:val="nil"/>
              <w:bottom w:val="nil"/>
              <w:right w:val="nil"/>
            </w:tcBorders>
            <w:vAlign w:val="center"/>
          </w:tcPr>
          <w:p w14:paraId="5023FCCA"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0FA5B1F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225,000</w:t>
            </w:r>
          </w:p>
        </w:tc>
        <w:tc>
          <w:tcPr>
            <w:tcW w:w="350" w:type="pct"/>
            <w:tcBorders>
              <w:top w:val="nil"/>
              <w:left w:val="nil"/>
              <w:bottom w:val="nil"/>
              <w:right w:val="nil"/>
            </w:tcBorders>
            <w:vAlign w:val="center"/>
            <w:hideMark/>
          </w:tcPr>
          <w:p w14:paraId="62A92FB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218,750</w:t>
            </w:r>
          </w:p>
        </w:tc>
        <w:tc>
          <w:tcPr>
            <w:tcW w:w="361" w:type="pct"/>
            <w:tcBorders>
              <w:top w:val="nil"/>
              <w:left w:val="nil"/>
              <w:bottom w:val="nil"/>
              <w:right w:val="nil"/>
            </w:tcBorders>
            <w:vAlign w:val="center"/>
            <w:hideMark/>
          </w:tcPr>
          <w:p w14:paraId="0F994BC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270,000</w:t>
            </w:r>
          </w:p>
        </w:tc>
        <w:tc>
          <w:tcPr>
            <w:tcW w:w="335" w:type="pct"/>
            <w:tcBorders>
              <w:top w:val="nil"/>
              <w:left w:val="nil"/>
              <w:bottom w:val="nil"/>
              <w:right w:val="nil"/>
            </w:tcBorders>
            <w:noWrap/>
            <w:vAlign w:val="bottom"/>
            <w:hideMark/>
          </w:tcPr>
          <w:p w14:paraId="06FD4DF7"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237,917</w:t>
            </w:r>
          </w:p>
        </w:tc>
      </w:tr>
      <w:tr w:rsidR="00F55539" w:rsidRPr="00E71565" w14:paraId="5E63F618" w14:textId="77777777" w:rsidTr="00F55539">
        <w:trPr>
          <w:trHeight w:val="315"/>
          <w:jc w:val="center"/>
        </w:trPr>
        <w:tc>
          <w:tcPr>
            <w:tcW w:w="296" w:type="pct"/>
            <w:tcBorders>
              <w:top w:val="nil"/>
              <w:left w:val="nil"/>
              <w:bottom w:val="nil"/>
              <w:right w:val="nil"/>
            </w:tcBorders>
            <w:vAlign w:val="center"/>
            <w:hideMark/>
          </w:tcPr>
          <w:p w14:paraId="512ADA5A"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2022</w:t>
            </w:r>
          </w:p>
        </w:tc>
        <w:tc>
          <w:tcPr>
            <w:tcW w:w="457" w:type="pct"/>
            <w:tcBorders>
              <w:top w:val="nil"/>
              <w:left w:val="nil"/>
              <w:bottom w:val="nil"/>
              <w:right w:val="nil"/>
            </w:tcBorders>
            <w:vAlign w:val="center"/>
            <w:hideMark/>
          </w:tcPr>
          <w:p w14:paraId="74079EB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83,750</w:t>
            </w:r>
          </w:p>
        </w:tc>
        <w:tc>
          <w:tcPr>
            <w:tcW w:w="444" w:type="pct"/>
            <w:tcBorders>
              <w:top w:val="nil"/>
              <w:left w:val="nil"/>
              <w:bottom w:val="nil"/>
              <w:right w:val="nil"/>
            </w:tcBorders>
            <w:vAlign w:val="center"/>
            <w:hideMark/>
          </w:tcPr>
          <w:p w14:paraId="63609B2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88,571</w:t>
            </w:r>
          </w:p>
        </w:tc>
        <w:tc>
          <w:tcPr>
            <w:tcW w:w="402" w:type="pct"/>
            <w:tcBorders>
              <w:top w:val="nil"/>
              <w:left w:val="nil"/>
              <w:bottom w:val="nil"/>
              <w:right w:val="nil"/>
            </w:tcBorders>
            <w:vAlign w:val="center"/>
            <w:hideMark/>
          </w:tcPr>
          <w:p w14:paraId="0C2D553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137,500</w:t>
            </w:r>
          </w:p>
        </w:tc>
        <w:tc>
          <w:tcPr>
            <w:tcW w:w="334" w:type="pct"/>
            <w:tcBorders>
              <w:top w:val="nil"/>
              <w:left w:val="nil"/>
              <w:bottom w:val="nil"/>
              <w:right w:val="nil"/>
            </w:tcBorders>
            <w:noWrap/>
            <w:vAlign w:val="bottom"/>
            <w:hideMark/>
          </w:tcPr>
          <w:p w14:paraId="422B6A09"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103,274</w:t>
            </w:r>
          </w:p>
        </w:tc>
        <w:tc>
          <w:tcPr>
            <w:tcW w:w="86" w:type="pct"/>
            <w:tcBorders>
              <w:top w:val="nil"/>
              <w:left w:val="nil"/>
              <w:bottom w:val="nil"/>
              <w:right w:val="nil"/>
            </w:tcBorders>
            <w:vAlign w:val="center"/>
          </w:tcPr>
          <w:p w14:paraId="168FBE8D"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vAlign w:val="center"/>
            <w:hideMark/>
          </w:tcPr>
          <w:p w14:paraId="238DF48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135,000</w:t>
            </w:r>
          </w:p>
        </w:tc>
        <w:tc>
          <w:tcPr>
            <w:tcW w:w="350" w:type="pct"/>
            <w:tcBorders>
              <w:top w:val="nil"/>
              <w:left w:val="nil"/>
              <w:bottom w:val="nil"/>
              <w:right w:val="nil"/>
            </w:tcBorders>
            <w:vAlign w:val="center"/>
            <w:hideMark/>
          </w:tcPr>
          <w:p w14:paraId="17EB8A1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134,286</w:t>
            </w:r>
          </w:p>
        </w:tc>
        <w:tc>
          <w:tcPr>
            <w:tcW w:w="334" w:type="pct"/>
            <w:tcBorders>
              <w:top w:val="nil"/>
              <w:left w:val="nil"/>
              <w:bottom w:val="nil"/>
              <w:right w:val="nil"/>
            </w:tcBorders>
            <w:vAlign w:val="center"/>
            <w:hideMark/>
          </w:tcPr>
          <w:p w14:paraId="421D1EB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236,250</w:t>
            </w:r>
          </w:p>
        </w:tc>
        <w:tc>
          <w:tcPr>
            <w:tcW w:w="334" w:type="pct"/>
            <w:tcBorders>
              <w:top w:val="nil"/>
              <w:left w:val="nil"/>
              <w:bottom w:val="nil"/>
              <w:right w:val="nil"/>
            </w:tcBorders>
            <w:noWrap/>
            <w:vAlign w:val="bottom"/>
            <w:hideMark/>
          </w:tcPr>
          <w:p w14:paraId="722F6F0C"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168,512</w:t>
            </w:r>
          </w:p>
        </w:tc>
        <w:tc>
          <w:tcPr>
            <w:tcW w:w="86" w:type="pct"/>
            <w:tcBorders>
              <w:top w:val="nil"/>
              <w:left w:val="nil"/>
              <w:bottom w:val="nil"/>
              <w:right w:val="nil"/>
            </w:tcBorders>
            <w:vAlign w:val="center"/>
          </w:tcPr>
          <w:p w14:paraId="20C41E2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vAlign w:val="center"/>
            <w:hideMark/>
          </w:tcPr>
          <w:p w14:paraId="1EC50B7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238,750</w:t>
            </w:r>
          </w:p>
        </w:tc>
        <w:tc>
          <w:tcPr>
            <w:tcW w:w="350" w:type="pct"/>
            <w:tcBorders>
              <w:top w:val="nil"/>
              <w:left w:val="nil"/>
              <w:bottom w:val="nil"/>
              <w:right w:val="nil"/>
            </w:tcBorders>
            <w:vAlign w:val="center"/>
            <w:hideMark/>
          </w:tcPr>
          <w:p w14:paraId="0854C90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222,500</w:t>
            </w:r>
          </w:p>
        </w:tc>
        <w:tc>
          <w:tcPr>
            <w:tcW w:w="361" w:type="pct"/>
            <w:tcBorders>
              <w:top w:val="nil"/>
              <w:left w:val="nil"/>
              <w:bottom w:val="nil"/>
              <w:right w:val="nil"/>
            </w:tcBorders>
            <w:vAlign w:val="center"/>
            <w:hideMark/>
          </w:tcPr>
          <w:p w14:paraId="37B0659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278,889</w:t>
            </w:r>
          </w:p>
        </w:tc>
        <w:tc>
          <w:tcPr>
            <w:tcW w:w="335" w:type="pct"/>
            <w:tcBorders>
              <w:top w:val="nil"/>
              <w:left w:val="nil"/>
              <w:bottom w:val="nil"/>
              <w:right w:val="nil"/>
            </w:tcBorders>
            <w:noWrap/>
            <w:vAlign w:val="bottom"/>
            <w:hideMark/>
          </w:tcPr>
          <w:p w14:paraId="05350741"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246,713</w:t>
            </w:r>
          </w:p>
        </w:tc>
      </w:tr>
      <w:tr w:rsidR="00F55539" w:rsidRPr="00E71565" w14:paraId="0B560504" w14:textId="77777777" w:rsidTr="00F55539">
        <w:trPr>
          <w:trHeight w:val="315"/>
          <w:jc w:val="center"/>
        </w:trPr>
        <w:tc>
          <w:tcPr>
            <w:tcW w:w="296" w:type="pct"/>
            <w:tcBorders>
              <w:top w:val="nil"/>
              <w:left w:val="nil"/>
              <w:bottom w:val="nil"/>
              <w:right w:val="nil"/>
            </w:tcBorders>
            <w:vAlign w:val="center"/>
            <w:hideMark/>
          </w:tcPr>
          <w:p w14:paraId="3BE4DA60"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2023</w:t>
            </w:r>
          </w:p>
        </w:tc>
        <w:tc>
          <w:tcPr>
            <w:tcW w:w="457" w:type="pct"/>
            <w:tcBorders>
              <w:top w:val="nil"/>
              <w:left w:val="nil"/>
              <w:bottom w:val="nil"/>
              <w:right w:val="nil"/>
            </w:tcBorders>
            <w:noWrap/>
            <w:vAlign w:val="bottom"/>
            <w:hideMark/>
          </w:tcPr>
          <w:p w14:paraId="559A5EA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85,895</w:t>
            </w:r>
          </w:p>
        </w:tc>
        <w:tc>
          <w:tcPr>
            <w:tcW w:w="444" w:type="pct"/>
            <w:tcBorders>
              <w:top w:val="nil"/>
              <w:left w:val="nil"/>
              <w:bottom w:val="nil"/>
              <w:right w:val="nil"/>
            </w:tcBorders>
            <w:noWrap/>
            <w:vAlign w:val="bottom"/>
            <w:hideMark/>
          </w:tcPr>
          <w:p w14:paraId="1E2F0FD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95,434</w:t>
            </w:r>
          </w:p>
        </w:tc>
        <w:tc>
          <w:tcPr>
            <w:tcW w:w="402" w:type="pct"/>
            <w:tcBorders>
              <w:top w:val="nil"/>
              <w:left w:val="nil"/>
              <w:bottom w:val="nil"/>
              <w:right w:val="nil"/>
            </w:tcBorders>
            <w:noWrap/>
            <w:vAlign w:val="bottom"/>
            <w:hideMark/>
          </w:tcPr>
          <w:p w14:paraId="0E7F10F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138,453</w:t>
            </w:r>
          </w:p>
        </w:tc>
        <w:tc>
          <w:tcPr>
            <w:tcW w:w="334" w:type="pct"/>
            <w:tcBorders>
              <w:top w:val="nil"/>
              <w:left w:val="nil"/>
              <w:bottom w:val="nil"/>
              <w:right w:val="nil"/>
            </w:tcBorders>
            <w:noWrap/>
            <w:vAlign w:val="bottom"/>
            <w:hideMark/>
          </w:tcPr>
          <w:p w14:paraId="3BBA51C8"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106,594</w:t>
            </w:r>
          </w:p>
        </w:tc>
        <w:tc>
          <w:tcPr>
            <w:tcW w:w="86" w:type="pct"/>
            <w:tcBorders>
              <w:top w:val="nil"/>
              <w:left w:val="nil"/>
              <w:bottom w:val="nil"/>
              <w:right w:val="nil"/>
            </w:tcBorders>
            <w:vAlign w:val="center"/>
          </w:tcPr>
          <w:p w14:paraId="75E04A22"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noWrap/>
            <w:vAlign w:val="bottom"/>
            <w:hideMark/>
          </w:tcPr>
          <w:p w14:paraId="3888EA72"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141,435</w:t>
            </w:r>
          </w:p>
        </w:tc>
        <w:tc>
          <w:tcPr>
            <w:tcW w:w="350" w:type="pct"/>
            <w:tcBorders>
              <w:top w:val="nil"/>
              <w:left w:val="nil"/>
              <w:bottom w:val="nil"/>
              <w:right w:val="nil"/>
            </w:tcBorders>
            <w:noWrap/>
            <w:vAlign w:val="bottom"/>
            <w:hideMark/>
          </w:tcPr>
          <w:p w14:paraId="7796E70F"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141,453</w:t>
            </w:r>
          </w:p>
        </w:tc>
        <w:tc>
          <w:tcPr>
            <w:tcW w:w="334" w:type="pct"/>
            <w:tcBorders>
              <w:top w:val="nil"/>
              <w:left w:val="nil"/>
              <w:bottom w:val="nil"/>
              <w:right w:val="nil"/>
            </w:tcBorders>
            <w:noWrap/>
            <w:vAlign w:val="bottom"/>
            <w:hideMark/>
          </w:tcPr>
          <w:p w14:paraId="732B2DDF"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247,453</w:t>
            </w:r>
          </w:p>
        </w:tc>
        <w:tc>
          <w:tcPr>
            <w:tcW w:w="334" w:type="pct"/>
            <w:tcBorders>
              <w:top w:val="nil"/>
              <w:left w:val="nil"/>
              <w:bottom w:val="nil"/>
              <w:right w:val="nil"/>
            </w:tcBorders>
            <w:noWrap/>
            <w:vAlign w:val="bottom"/>
            <w:hideMark/>
          </w:tcPr>
          <w:p w14:paraId="5A8BB4ED"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176,780</w:t>
            </w:r>
          </w:p>
        </w:tc>
        <w:tc>
          <w:tcPr>
            <w:tcW w:w="86" w:type="pct"/>
            <w:tcBorders>
              <w:top w:val="nil"/>
              <w:left w:val="nil"/>
              <w:bottom w:val="nil"/>
              <w:right w:val="nil"/>
            </w:tcBorders>
            <w:vAlign w:val="center"/>
          </w:tcPr>
          <w:p w14:paraId="3CA8DE1C"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noWrap/>
            <w:vAlign w:val="bottom"/>
            <w:hideMark/>
          </w:tcPr>
          <w:p w14:paraId="355DB53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242,342</w:t>
            </w:r>
          </w:p>
        </w:tc>
        <w:tc>
          <w:tcPr>
            <w:tcW w:w="350" w:type="pct"/>
            <w:tcBorders>
              <w:top w:val="nil"/>
              <w:left w:val="nil"/>
              <w:bottom w:val="nil"/>
              <w:right w:val="nil"/>
            </w:tcBorders>
            <w:noWrap/>
            <w:vAlign w:val="bottom"/>
            <w:hideMark/>
          </w:tcPr>
          <w:p w14:paraId="66FE8933"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234,453</w:t>
            </w:r>
          </w:p>
        </w:tc>
        <w:tc>
          <w:tcPr>
            <w:tcW w:w="361" w:type="pct"/>
            <w:tcBorders>
              <w:top w:val="nil"/>
              <w:left w:val="nil"/>
              <w:bottom w:val="nil"/>
              <w:right w:val="nil"/>
            </w:tcBorders>
            <w:noWrap/>
            <w:vAlign w:val="bottom"/>
            <w:hideMark/>
          </w:tcPr>
          <w:p w14:paraId="4DE25187"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294,564</w:t>
            </w:r>
          </w:p>
        </w:tc>
        <w:tc>
          <w:tcPr>
            <w:tcW w:w="335" w:type="pct"/>
            <w:tcBorders>
              <w:top w:val="nil"/>
              <w:left w:val="nil"/>
              <w:bottom w:val="nil"/>
              <w:right w:val="nil"/>
            </w:tcBorders>
            <w:noWrap/>
            <w:vAlign w:val="bottom"/>
            <w:hideMark/>
          </w:tcPr>
          <w:p w14:paraId="7E5E8660"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257,120</w:t>
            </w:r>
          </w:p>
        </w:tc>
      </w:tr>
      <w:tr w:rsidR="00F55539" w:rsidRPr="00E71565" w14:paraId="4D427B9E" w14:textId="77777777" w:rsidTr="00F55539">
        <w:trPr>
          <w:trHeight w:val="315"/>
          <w:jc w:val="center"/>
        </w:trPr>
        <w:tc>
          <w:tcPr>
            <w:tcW w:w="296" w:type="pct"/>
            <w:tcBorders>
              <w:top w:val="nil"/>
              <w:left w:val="nil"/>
              <w:bottom w:val="nil"/>
              <w:right w:val="nil"/>
            </w:tcBorders>
            <w:vAlign w:val="center"/>
            <w:hideMark/>
          </w:tcPr>
          <w:p w14:paraId="7E0B32E8"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2024</w:t>
            </w:r>
          </w:p>
        </w:tc>
        <w:tc>
          <w:tcPr>
            <w:tcW w:w="457" w:type="pct"/>
            <w:tcBorders>
              <w:top w:val="nil"/>
              <w:left w:val="nil"/>
              <w:bottom w:val="nil"/>
              <w:right w:val="nil"/>
            </w:tcBorders>
            <w:noWrap/>
            <w:vAlign w:val="bottom"/>
            <w:hideMark/>
          </w:tcPr>
          <w:p w14:paraId="0EACE0E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86,467</w:t>
            </w:r>
          </w:p>
        </w:tc>
        <w:tc>
          <w:tcPr>
            <w:tcW w:w="444" w:type="pct"/>
            <w:tcBorders>
              <w:top w:val="nil"/>
              <w:left w:val="nil"/>
              <w:bottom w:val="nil"/>
              <w:right w:val="nil"/>
            </w:tcBorders>
            <w:noWrap/>
            <w:vAlign w:val="bottom"/>
            <w:hideMark/>
          </w:tcPr>
          <w:p w14:paraId="193D944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96,983</w:t>
            </w:r>
          </w:p>
        </w:tc>
        <w:tc>
          <w:tcPr>
            <w:tcW w:w="402" w:type="pct"/>
            <w:tcBorders>
              <w:top w:val="nil"/>
              <w:left w:val="nil"/>
              <w:bottom w:val="nil"/>
              <w:right w:val="nil"/>
            </w:tcBorders>
            <w:noWrap/>
            <w:vAlign w:val="bottom"/>
            <w:hideMark/>
          </w:tcPr>
          <w:p w14:paraId="6A6E39C3" w14:textId="77777777" w:rsidR="00F55539" w:rsidRPr="00E71565" w:rsidRDefault="00F55539" w:rsidP="005F2532">
            <w:pPr>
              <w:spacing w:after="0" w:line="240" w:lineRule="auto"/>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 xml:space="preserve">   139,789 </w:t>
            </w:r>
          </w:p>
        </w:tc>
        <w:tc>
          <w:tcPr>
            <w:tcW w:w="334" w:type="pct"/>
            <w:tcBorders>
              <w:top w:val="nil"/>
              <w:left w:val="nil"/>
              <w:bottom w:val="nil"/>
              <w:right w:val="nil"/>
            </w:tcBorders>
            <w:noWrap/>
            <w:vAlign w:val="bottom"/>
            <w:hideMark/>
          </w:tcPr>
          <w:p w14:paraId="21AAE31B"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107,746</w:t>
            </w:r>
          </w:p>
        </w:tc>
        <w:tc>
          <w:tcPr>
            <w:tcW w:w="86" w:type="pct"/>
            <w:tcBorders>
              <w:top w:val="nil"/>
              <w:left w:val="nil"/>
              <w:bottom w:val="nil"/>
              <w:right w:val="nil"/>
            </w:tcBorders>
            <w:vAlign w:val="center"/>
          </w:tcPr>
          <w:p w14:paraId="33D7408D"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nil"/>
              <w:right w:val="nil"/>
            </w:tcBorders>
            <w:noWrap/>
            <w:vAlign w:val="bottom"/>
            <w:hideMark/>
          </w:tcPr>
          <w:p w14:paraId="63D42E79"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152,345</w:t>
            </w:r>
          </w:p>
        </w:tc>
        <w:tc>
          <w:tcPr>
            <w:tcW w:w="350" w:type="pct"/>
            <w:tcBorders>
              <w:top w:val="nil"/>
              <w:left w:val="nil"/>
              <w:bottom w:val="nil"/>
              <w:right w:val="nil"/>
            </w:tcBorders>
            <w:noWrap/>
            <w:vAlign w:val="bottom"/>
            <w:hideMark/>
          </w:tcPr>
          <w:p w14:paraId="5E07BC36"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153,564</w:t>
            </w:r>
          </w:p>
        </w:tc>
        <w:tc>
          <w:tcPr>
            <w:tcW w:w="334" w:type="pct"/>
            <w:tcBorders>
              <w:top w:val="nil"/>
              <w:left w:val="nil"/>
              <w:bottom w:val="nil"/>
              <w:right w:val="nil"/>
            </w:tcBorders>
            <w:noWrap/>
            <w:vAlign w:val="bottom"/>
            <w:hideMark/>
          </w:tcPr>
          <w:p w14:paraId="69CC3ECD"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253,564</w:t>
            </w:r>
          </w:p>
        </w:tc>
        <w:tc>
          <w:tcPr>
            <w:tcW w:w="334" w:type="pct"/>
            <w:tcBorders>
              <w:top w:val="nil"/>
              <w:left w:val="nil"/>
              <w:bottom w:val="nil"/>
              <w:right w:val="nil"/>
            </w:tcBorders>
            <w:noWrap/>
            <w:vAlign w:val="bottom"/>
            <w:hideMark/>
          </w:tcPr>
          <w:p w14:paraId="5B9240D9"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186,491</w:t>
            </w:r>
          </w:p>
        </w:tc>
        <w:tc>
          <w:tcPr>
            <w:tcW w:w="86" w:type="pct"/>
            <w:tcBorders>
              <w:top w:val="nil"/>
              <w:left w:val="nil"/>
              <w:bottom w:val="nil"/>
              <w:right w:val="nil"/>
            </w:tcBorders>
            <w:vAlign w:val="center"/>
          </w:tcPr>
          <w:p w14:paraId="14CEA0C6"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nil"/>
              <w:right w:val="nil"/>
            </w:tcBorders>
            <w:noWrap/>
            <w:vAlign w:val="bottom"/>
            <w:hideMark/>
          </w:tcPr>
          <w:p w14:paraId="55FA7A8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253,900</w:t>
            </w:r>
          </w:p>
        </w:tc>
        <w:tc>
          <w:tcPr>
            <w:tcW w:w="350" w:type="pct"/>
            <w:tcBorders>
              <w:top w:val="nil"/>
              <w:left w:val="nil"/>
              <w:bottom w:val="nil"/>
              <w:right w:val="nil"/>
            </w:tcBorders>
            <w:noWrap/>
            <w:vAlign w:val="bottom"/>
            <w:hideMark/>
          </w:tcPr>
          <w:p w14:paraId="053BB2DD"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244,563</w:t>
            </w:r>
          </w:p>
        </w:tc>
        <w:tc>
          <w:tcPr>
            <w:tcW w:w="361" w:type="pct"/>
            <w:tcBorders>
              <w:top w:val="nil"/>
              <w:left w:val="nil"/>
              <w:bottom w:val="nil"/>
              <w:right w:val="nil"/>
            </w:tcBorders>
            <w:noWrap/>
            <w:vAlign w:val="bottom"/>
            <w:hideMark/>
          </w:tcPr>
          <w:p w14:paraId="5E497AA3"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312,094</w:t>
            </w:r>
          </w:p>
        </w:tc>
        <w:tc>
          <w:tcPr>
            <w:tcW w:w="335" w:type="pct"/>
            <w:tcBorders>
              <w:top w:val="nil"/>
              <w:left w:val="nil"/>
              <w:bottom w:val="nil"/>
              <w:right w:val="nil"/>
            </w:tcBorders>
            <w:noWrap/>
            <w:vAlign w:val="bottom"/>
            <w:hideMark/>
          </w:tcPr>
          <w:p w14:paraId="43F29B74"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270,186</w:t>
            </w:r>
          </w:p>
        </w:tc>
      </w:tr>
      <w:tr w:rsidR="00F55539" w:rsidRPr="00E71565" w14:paraId="6537933F" w14:textId="77777777" w:rsidTr="00F55539">
        <w:trPr>
          <w:trHeight w:val="315"/>
          <w:jc w:val="center"/>
        </w:trPr>
        <w:tc>
          <w:tcPr>
            <w:tcW w:w="296" w:type="pct"/>
            <w:tcBorders>
              <w:top w:val="nil"/>
              <w:left w:val="nil"/>
              <w:bottom w:val="single" w:sz="4" w:space="0" w:color="auto"/>
              <w:right w:val="nil"/>
            </w:tcBorders>
            <w:vAlign w:val="center"/>
            <w:hideMark/>
          </w:tcPr>
          <w:p w14:paraId="0A8D4B5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2025</w:t>
            </w:r>
          </w:p>
        </w:tc>
        <w:tc>
          <w:tcPr>
            <w:tcW w:w="457" w:type="pct"/>
            <w:tcBorders>
              <w:top w:val="nil"/>
              <w:left w:val="nil"/>
              <w:bottom w:val="single" w:sz="4" w:space="0" w:color="auto"/>
              <w:right w:val="nil"/>
            </w:tcBorders>
            <w:noWrap/>
            <w:vAlign w:val="bottom"/>
            <w:hideMark/>
          </w:tcPr>
          <w:p w14:paraId="69912F5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88,345</w:t>
            </w:r>
          </w:p>
        </w:tc>
        <w:tc>
          <w:tcPr>
            <w:tcW w:w="444" w:type="pct"/>
            <w:tcBorders>
              <w:top w:val="nil"/>
              <w:left w:val="nil"/>
              <w:bottom w:val="single" w:sz="4" w:space="0" w:color="auto"/>
              <w:right w:val="nil"/>
            </w:tcBorders>
            <w:noWrap/>
            <w:vAlign w:val="bottom"/>
            <w:hideMark/>
          </w:tcPr>
          <w:p w14:paraId="01D2D0F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97,458</w:t>
            </w:r>
          </w:p>
        </w:tc>
        <w:tc>
          <w:tcPr>
            <w:tcW w:w="402" w:type="pct"/>
            <w:tcBorders>
              <w:top w:val="nil"/>
              <w:left w:val="nil"/>
              <w:bottom w:val="single" w:sz="4" w:space="0" w:color="auto"/>
              <w:right w:val="nil"/>
            </w:tcBorders>
            <w:noWrap/>
            <w:vAlign w:val="bottom"/>
            <w:hideMark/>
          </w:tcPr>
          <w:p w14:paraId="0FA64BF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141,342</w:t>
            </w:r>
          </w:p>
        </w:tc>
        <w:tc>
          <w:tcPr>
            <w:tcW w:w="334" w:type="pct"/>
            <w:tcBorders>
              <w:top w:val="nil"/>
              <w:left w:val="nil"/>
              <w:bottom w:val="single" w:sz="4" w:space="0" w:color="auto"/>
              <w:right w:val="nil"/>
            </w:tcBorders>
            <w:noWrap/>
            <w:vAlign w:val="bottom"/>
            <w:hideMark/>
          </w:tcPr>
          <w:p w14:paraId="79BD5F8E"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109,048</w:t>
            </w:r>
          </w:p>
        </w:tc>
        <w:tc>
          <w:tcPr>
            <w:tcW w:w="86" w:type="pct"/>
            <w:tcBorders>
              <w:top w:val="nil"/>
              <w:left w:val="nil"/>
              <w:bottom w:val="single" w:sz="4" w:space="0" w:color="auto"/>
              <w:right w:val="nil"/>
            </w:tcBorders>
            <w:vAlign w:val="center"/>
          </w:tcPr>
          <w:p w14:paraId="7107C218"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78" w:type="pct"/>
            <w:tcBorders>
              <w:top w:val="nil"/>
              <w:left w:val="nil"/>
              <w:bottom w:val="single" w:sz="4" w:space="0" w:color="auto"/>
              <w:right w:val="nil"/>
            </w:tcBorders>
            <w:noWrap/>
            <w:vAlign w:val="bottom"/>
            <w:hideMark/>
          </w:tcPr>
          <w:p w14:paraId="51AE0821"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167,675</w:t>
            </w:r>
          </w:p>
        </w:tc>
        <w:tc>
          <w:tcPr>
            <w:tcW w:w="350" w:type="pct"/>
            <w:tcBorders>
              <w:top w:val="nil"/>
              <w:left w:val="nil"/>
              <w:bottom w:val="single" w:sz="4" w:space="0" w:color="auto"/>
              <w:right w:val="nil"/>
            </w:tcBorders>
            <w:noWrap/>
            <w:vAlign w:val="bottom"/>
            <w:hideMark/>
          </w:tcPr>
          <w:p w14:paraId="1C7ACC1B"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166,789</w:t>
            </w:r>
          </w:p>
        </w:tc>
        <w:tc>
          <w:tcPr>
            <w:tcW w:w="334" w:type="pct"/>
            <w:tcBorders>
              <w:top w:val="nil"/>
              <w:left w:val="nil"/>
              <w:bottom w:val="single" w:sz="4" w:space="0" w:color="auto"/>
              <w:right w:val="nil"/>
            </w:tcBorders>
            <w:noWrap/>
            <w:vAlign w:val="bottom"/>
            <w:hideMark/>
          </w:tcPr>
          <w:p w14:paraId="2DF4F3CA"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268,892</w:t>
            </w:r>
          </w:p>
        </w:tc>
        <w:tc>
          <w:tcPr>
            <w:tcW w:w="334" w:type="pct"/>
            <w:tcBorders>
              <w:top w:val="nil"/>
              <w:left w:val="nil"/>
              <w:bottom w:val="single" w:sz="4" w:space="0" w:color="auto"/>
              <w:right w:val="nil"/>
            </w:tcBorders>
            <w:noWrap/>
            <w:vAlign w:val="bottom"/>
            <w:hideMark/>
          </w:tcPr>
          <w:p w14:paraId="293946E7"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201,119</w:t>
            </w:r>
          </w:p>
        </w:tc>
        <w:tc>
          <w:tcPr>
            <w:tcW w:w="86" w:type="pct"/>
            <w:tcBorders>
              <w:top w:val="nil"/>
              <w:left w:val="nil"/>
              <w:bottom w:val="single" w:sz="4" w:space="0" w:color="auto"/>
              <w:right w:val="nil"/>
            </w:tcBorders>
            <w:vAlign w:val="center"/>
          </w:tcPr>
          <w:p w14:paraId="1561E071"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p>
        </w:tc>
        <w:tc>
          <w:tcPr>
            <w:tcW w:w="354" w:type="pct"/>
            <w:tcBorders>
              <w:top w:val="nil"/>
              <w:left w:val="nil"/>
              <w:bottom w:val="single" w:sz="4" w:space="0" w:color="auto"/>
              <w:right w:val="nil"/>
            </w:tcBorders>
            <w:noWrap/>
            <w:vAlign w:val="bottom"/>
            <w:hideMark/>
          </w:tcPr>
          <w:p w14:paraId="66EBFE5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265,580</w:t>
            </w:r>
          </w:p>
        </w:tc>
        <w:tc>
          <w:tcPr>
            <w:tcW w:w="350" w:type="pct"/>
            <w:tcBorders>
              <w:top w:val="nil"/>
              <w:left w:val="nil"/>
              <w:bottom w:val="single" w:sz="4" w:space="0" w:color="auto"/>
              <w:right w:val="nil"/>
            </w:tcBorders>
            <w:noWrap/>
            <w:vAlign w:val="bottom"/>
            <w:hideMark/>
          </w:tcPr>
          <w:p w14:paraId="0688CDF6"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267,876</w:t>
            </w:r>
          </w:p>
        </w:tc>
        <w:tc>
          <w:tcPr>
            <w:tcW w:w="361" w:type="pct"/>
            <w:tcBorders>
              <w:top w:val="nil"/>
              <w:left w:val="nil"/>
              <w:bottom w:val="single" w:sz="4" w:space="0" w:color="auto"/>
              <w:right w:val="nil"/>
            </w:tcBorders>
            <w:noWrap/>
            <w:vAlign w:val="bottom"/>
            <w:hideMark/>
          </w:tcPr>
          <w:p w14:paraId="495209FE" w14:textId="77777777" w:rsidR="00F55539" w:rsidRPr="00E71565" w:rsidRDefault="00F55539" w:rsidP="005F2532">
            <w:pPr>
              <w:spacing w:after="0" w:line="240" w:lineRule="auto"/>
              <w:jc w:val="right"/>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330,342</w:t>
            </w:r>
          </w:p>
        </w:tc>
        <w:tc>
          <w:tcPr>
            <w:tcW w:w="335" w:type="pct"/>
            <w:tcBorders>
              <w:top w:val="nil"/>
              <w:left w:val="nil"/>
              <w:bottom w:val="single" w:sz="4" w:space="0" w:color="auto"/>
              <w:right w:val="nil"/>
            </w:tcBorders>
            <w:noWrap/>
            <w:vAlign w:val="bottom"/>
            <w:hideMark/>
          </w:tcPr>
          <w:p w14:paraId="6B5634E1" w14:textId="77777777" w:rsidR="00F55539" w:rsidRPr="00E71565" w:rsidRDefault="00F55539" w:rsidP="005F2532">
            <w:pPr>
              <w:spacing w:after="0" w:line="240" w:lineRule="auto"/>
              <w:jc w:val="right"/>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287,933</w:t>
            </w:r>
          </w:p>
        </w:tc>
      </w:tr>
    </w:tbl>
    <w:p w14:paraId="0F5044F3" w14:textId="77777777" w:rsidR="00F55539" w:rsidRPr="00E71565" w:rsidRDefault="00F55539" w:rsidP="00F55539">
      <w:pPr>
        <w:spacing w:line="240" w:lineRule="auto"/>
        <w:ind w:left="66"/>
        <w:jc w:val="both"/>
        <w:rPr>
          <w:rFonts w:ascii="Times New Roman" w:hAnsi="Times New Roman" w:cs="Times New Roman"/>
          <w:bCs/>
          <w:sz w:val="24"/>
          <w:szCs w:val="24"/>
        </w:rPr>
      </w:pPr>
      <w:r w:rsidRPr="00E71565">
        <w:rPr>
          <w:rFonts w:ascii="Times New Roman" w:hAnsi="Times New Roman" w:cs="Times New Roman"/>
          <w:bCs/>
          <w:sz w:val="24"/>
          <w:szCs w:val="24"/>
        </w:rPr>
        <w:t xml:space="preserve">Sources: Researcher’s Analysis </w:t>
      </w:r>
    </w:p>
    <w:p w14:paraId="1571D162" w14:textId="77777777" w:rsidR="00F55539" w:rsidRDefault="00F55539" w:rsidP="00F55539">
      <w:pPr>
        <w:spacing w:line="278" w:lineRule="auto"/>
        <w:jc w:val="both"/>
        <w:rPr>
          <w:rFonts w:ascii="Times New Roman" w:hAnsi="Times New Roman" w:cs="Times New Roman"/>
          <w:bCs/>
          <w:sz w:val="24"/>
          <w:szCs w:val="24"/>
        </w:rPr>
      </w:pPr>
    </w:p>
    <w:p w14:paraId="4D7E1705" w14:textId="77777777" w:rsidR="00B32E01" w:rsidRDefault="00B32E01" w:rsidP="00F55539">
      <w:pPr>
        <w:spacing w:line="278" w:lineRule="auto"/>
        <w:jc w:val="both"/>
        <w:rPr>
          <w:rFonts w:ascii="Times New Roman" w:hAnsi="Times New Roman" w:cs="Times New Roman"/>
          <w:bCs/>
          <w:sz w:val="24"/>
          <w:szCs w:val="24"/>
        </w:rPr>
      </w:pPr>
    </w:p>
    <w:p w14:paraId="18C75D50" w14:textId="6256FF1F" w:rsidR="00F55539" w:rsidRPr="00E71565" w:rsidRDefault="00F55539" w:rsidP="00F55539">
      <w:pPr>
        <w:spacing w:line="278"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Table 7 indicates that the general trend of the thirteen-year period shows a steady increase in the value of rentals in all the types of property and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To self-contained apartments, the average rental value has been rising since 2013 to ₦109,048 by 2025 and is almost doubling in value. The one-bedroom apartments increased between ₦89,667 and ₦201,119 whereas the two-bedroom units increased between ₦148,889 to ₦287,933.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is one of the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which highlighted the highest rent values in all categories, which shows its relatively high quality of residence and attractiveness. On the contrary,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had the lowest values in their initial years but had significant growth over time. The figures also show more pronounced increments in the years 2020 to 2025, which may be an indicator that rental appreciation is accelerating over the recent years.</w:t>
      </w:r>
    </w:p>
    <w:p w14:paraId="33537BCA" w14:textId="77777777" w:rsidR="00F55539" w:rsidRDefault="00F55539" w:rsidP="00F55539">
      <w:pPr>
        <w:spacing w:line="278"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Research has shown that residential property values in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xml:space="preserve"> have shown consistent market growth without consideration of category of </w:t>
      </w:r>
      <w:proofErr w:type="spellStart"/>
      <w:r w:rsidRPr="00E71565">
        <w:rPr>
          <w:rFonts w:ascii="Times New Roman" w:hAnsi="Times New Roman" w:cs="Times New Roman"/>
          <w:bCs/>
          <w:sz w:val="24"/>
          <w:szCs w:val="24"/>
        </w:rPr>
        <w:t>neighbourhood</w:t>
      </w:r>
      <w:proofErr w:type="spellEnd"/>
      <w:r w:rsidRPr="00E71565">
        <w:rPr>
          <w:rFonts w:ascii="Times New Roman" w:hAnsi="Times New Roman" w:cs="Times New Roman"/>
          <w:bCs/>
          <w:sz w:val="24"/>
          <w:szCs w:val="24"/>
        </w:rPr>
        <w:t xml:space="preserve"> but the rate and extent of growth vary across space. The greater rental performance in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suggests that the factors like </w:t>
      </w:r>
      <w:proofErr w:type="spellStart"/>
      <w:r w:rsidRPr="00E71565">
        <w:rPr>
          <w:rFonts w:ascii="Times New Roman" w:hAnsi="Times New Roman" w:cs="Times New Roman"/>
          <w:bCs/>
          <w:sz w:val="24"/>
          <w:szCs w:val="24"/>
        </w:rPr>
        <w:t>neighbourhood</w:t>
      </w:r>
      <w:proofErr w:type="spellEnd"/>
      <w:r w:rsidRPr="00E71565">
        <w:rPr>
          <w:rFonts w:ascii="Times New Roman" w:hAnsi="Times New Roman" w:cs="Times New Roman"/>
          <w:bCs/>
          <w:sz w:val="24"/>
          <w:szCs w:val="24"/>
        </w:rPr>
        <w:t xml:space="preserve"> attributes such as the level of infrastructure, the quality of planning and security perception can have a big role to rent price. On the other hand, the increase in the overtime convergence in the values of rent in the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could indicate the growing demand of housing and the consequential stresses of the urban growth in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w:t>
      </w:r>
    </w:p>
    <w:p w14:paraId="7A23B9F0" w14:textId="77777777" w:rsidR="00AB6A9F" w:rsidRDefault="00AB6A9F" w:rsidP="00F55539">
      <w:pPr>
        <w:spacing w:line="278" w:lineRule="auto"/>
        <w:jc w:val="both"/>
        <w:rPr>
          <w:rFonts w:ascii="Times New Roman" w:hAnsi="Times New Roman" w:cs="Times New Roman"/>
          <w:bCs/>
          <w:sz w:val="24"/>
          <w:szCs w:val="24"/>
        </w:rPr>
      </w:pPr>
    </w:p>
    <w:p w14:paraId="47A1159D" w14:textId="77777777" w:rsidR="00AB6A9F" w:rsidRDefault="00AB6A9F" w:rsidP="00F55539">
      <w:pPr>
        <w:spacing w:line="278" w:lineRule="auto"/>
        <w:jc w:val="both"/>
        <w:rPr>
          <w:rFonts w:ascii="Times New Roman" w:hAnsi="Times New Roman" w:cs="Times New Roman"/>
          <w:bCs/>
          <w:sz w:val="24"/>
          <w:szCs w:val="24"/>
        </w:rPr>
      </w:pPr>
    </w:p>
    <w:p w14:paraId="09C6F165" w14:textId="77777777" w:rsidR="00AB6A9F" w:rsidRPr="00E71565" w:rsidRDefault="00AB6A9F" w:rsidP="00F55539">
      <w:pPr>
        <w:spacing w:line="278" w:lineRule="auto"/>
        <w:jc w:val="both"/>
        <w:rPr>
          <w:rFonts w:ascii="Times New Roman" w:hAnsi="Times New Roman" w:cs="Times New Roman"/>
          <w:bCs/>
          <w:sz w:val="24"/>
          <w:szCs w:val="24"/>
        </w:rPr>
      </w:pPr>
    </w:p>
    <w:tbl>
      <w:tblPr>
        <w:tblW w:w="5000" w:type="pct"/>
        <w:tblLook w:val="04A0" w:firstRow="1" w:lastRow="0" w:firstColumn="1" w:lastColumn="0" w:noHBand="0" w:noVBand="1"/>
      </w:tblPr>
      <w:tblGrid>
        <w:gridCol w:w="692"/>
        <w:gridCol w:w="996"/>
        <w:gridCol w:w="973"/>
        <w:gridCol w:w="975"/>
        <w:gridCol w:w="828"/>
        <w:gridCol w:w="878"/>
        <w:gridCol w:w="1227"/>
        <w:gridCol w:w="923"/>
        <w:gridCol w:w="864"/>
        <w:gridCol w:w="1004"/>
      </w:tblGrid>
      <w:tr w:rsidR="00F55539" w:rsidRPr="00E71565" w14:paraId="324CFC63" w14:textId="77777777" w:rsidTr="005F2532">
        <w:trPr>
          <w:trHeight w:val="330"/>
        </w:trPr>
        <w:tc>
          <w:tcPr>
            <w:tcW w:w="5000" w:type="pct"/>
            <w:gridSpan w:val="10"/>
            <w:tcBorders>
              <w:top w:val="nil"/>
              <w:left w:val="nil"/>
              <w:bottom w:val="nil"/>
              <w:right w:val="nil"/>
            </w:tcBorders>
            <w:noWrap/>
            <w:vAlign w:val="bottom"/>
            <w:hideMark/>
          </w:tcPr>
          <w:p w14:paraId="447E09DB" w14:textId="77777777" w:rsidR="00F55539" w:rsidRPr="00B32E01" w:rsidRDefault="00F55539" w:rsidP="005F2532">
            <w:pPr>
              <w:spacing w:after="0" w:line="240" w:lineRule="auto"/>
              <w:rPr>
                <w:rFonts w:ascii="Times New Roman" w:eastAsia="Times New Roman" w:hAnsi="Times New Roman" w:cs="Times New Roman"/>
                <w:b/>
                <w:bCs/>
                <w:color w:val="000000"/>
                <w:sz w:val="24"/>
                <w:szCs w:val="24"/>
              </w:rPr>
            </w:pPr>
            <w:r w:rsidRPr="00B32E01">
              <w:rPr>
                <w:rFonts w:ascii="Times New Roman" w:eastAsia="Times New Roman" w:hAnsi="Times New Roman" w:cs="Times New Roman"/>
                <w:b/>
                <w:bCs/>
                <w:color w:val="000000"/>
                <w:sz w:val="24"/>
                <w:szCs w:val="24"/>
              </w:rPr>
              <w:lastRenderedPageBreak/>
              <w:t xml:space="preserve">Table 8: Rental Growth rate for Self-contain, 1Bedroom, and 2Bedroom in the selected residential </w:t>
            </w:r>
            <w:proofErr w:type="spellStart"/>
            <w:r w:rsidRPr="00B32E01">
              <w:rPr>
                <w:rFonts w:ascii="Times New Roman" w:eastAsia="Times New Roman" w:hAnsi="Times New Roman" w:cs="Times New Roman"/>
                <w:b/>
                <w:bCs/>
                <w:color w:val="000000"/>
                <w:sz w:val="24"/>
                <w:szCs w:val="24"/>
              </w:rPr>
              <w:t>neighbourhood</w:t>
            </w:r>
            <w:proofErr w:type="spellEnd"/>
            <w:r w:rsidRPr="00B32E01">
              <w:rPr>
                <w:rFonts w:ascii="Times New Roman" w:eastAsia="Times New Roman" w:hAnsi="Times New Roman" w:cs="Times New Roman"/>
                <w:b/>
                <w:bCs/>
                <w:color w:val="000000"/>
                <w:sz w:val="24"/>
                <w:szCs w:val="24"/>
              </w:rPr>
              <w:t xml:space="preserve"> in </w:t>
            </w:r>
            <w:proofErr w:type="spellStart"/>
            <w:r w:rsidRPr="00B32E01">
              <w:rPr>
                <w:rFonts w:ascii="Times New Roman" w:eastAsia="Times New Roman" w:hAnsi="Times New Roman" w:cs="Times New Roman"/>
                <w:b/>
                <w:bCs/>
                <w:color w:val="000000"/>
                <w:sz w:val="24"/>
                <w:szCs w:val="24"/>
              </w:rPr>
              <w:t>Minna</w:t>
            </w:r>
            <w:proofErr w:type="spellEnd"/>
          </w:p>
        </w:tc>
      </w:tr>
      <w:tr w:rsidR="00F55539" w:rsidRPr="00E71565" w14:paraId="7A5F3C76" w14:textId="77777777" w:rsidTr="005F2532">
        <w:trPr>
          <w:trHeight w:val="315"/>
        </w:trPr>
        <w:tc>
          <w:tcPr>
            <w:tcW w:w="360" w:type="pct"/>
            <w:tcBorders>
              <w:top w:val="single" w:sz="4" w:space="0" w:color="auto"/>
              <w:left w:val="nil"/>
              <w:bottom w:val="nil"/>
              <w:right w:val="nil"/>
            </w:tcBorders>
            <w:vAlign w:val="center"/>
            <w:hideMark/>
          </w:tcPr>
          <w:p w14:paraId="4E7B3609"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
        </w:tc>
        <w:tc>
          <w:tcPr>
            <w:tcW w:w="1578" w:type="pct"/>
            <w:gridSpan w:val="3"/>
            <w:tcBorders>
              <w:top w:val="single" w:sz="8" w:space="0" w:color="auto"/>
              <w:left w:val="nil"/>
              <w:bottom w:val="nil"/>
              <w:right w:val="nil"/>
            </w:tcBorders>
            <w:vAlign w:val="center"/>
            <w:hideMark/>
          </w:tcPr>
          <w:p w14:paraId="67D4C977"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Self-contain</w:t>
            </w:r>
          </w:p>
        </w:tc>
        <w:tc>
          <w:tcPr>
            <w:tcW w:w="1572" w:type="pct"/>
            <w:gridSpan w:val="3"/>
            <w:tcBorders>
              <w:top w:val="single" w:sz="8" w:space="0" w:color="auto"/>
              <w:left w:val="nil"/>
              <w:bottom w:val="nil"/>
              <w:right w:val="nil"/>
            </w:tcBorders>
            <w:vAlign w:val="center"/>
            <w:hideMark/>
          </w:tcPr>
          <w:p w14:paraId="6941BE08"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1Bedroom</w:t>
            </w:r>
          </w:p>
        </w:tc>
        <w:tc>
          <w:tcPr>
            <w:tcW w:w="1490" w:type="pct"/>
            <w:gridSpan w:val="3"/>
            <w:tcBorders>
              <w:top w:val="single" w:sz="8" w:space="0" w:color="auto"/>
              <w:left w:val="nil"/>
              <w:bottom w:val="nil"/>
              <w:right w:val="nil"/>
            </w:tcBorders>
            <w:vAlign w:val="center"/>
            <w:hideMark/>
          </w:tcPr>
          <w:p w14:paraId="1A243703"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 xml:space="preserve">Residential </w:t>
            </w:r>
            <w:proofErr w:type="spellStart"/>
            <w:r w:rsidRPr="00E71565">
              <w:rPr>
                <w:rFonts w:ascii="Times New Roman" w:eastAsia="Times New Roman" w:hAnsi="Times New Roman" w:cs="Times New Roman"/>
                <w:b/>
                <w:bCs/>
                <w:color w:val="000000"/>
                <w:sz w:val="20"/>
                <w:szCs w:val="20"/>
              </w:rPr>
              <w:t>neighbourhood</w:t>
            </w:r>
            <w:proofErr w:type="spellEnd"/>
            <w:r w:rsidRPr="00E71565">
              <w:rPr>
                <w:rFonts w:ascii="Times New Roman" w:eastAsia="Times New Roman" w:hAnsi="Times New Roman" w:cs="Times New Roman"/>
                <w:b/>
                <w:bCs/>
                <w:color w:val="000000"/>
                <w:sz w:val="20"/>
                <w:szCs w:val="20"/>
              </w:rPr>
              <w:t xml:space="preserve"> and average rental values for 2Bedroom</w:t>
            </w:r>
          </w:p>
        </w:tc>
      </w:tr>
      <w:tr w:rsidR="00F55539" w:rsidRPr="00E71565" w14:paraId="4803F5AF" w14:textId="77777777" w:rsidTr="00F55539">
        <w:trPr>
          <w:trHeight w:val="960"/>
        </w:trPr>
        <w:tc>
          <w:tcPr>
            <w:tcW w:w="360" w:type="pct"/>
            <w:tcBorders>
              <w:top w:val="nil"/>
              <w:left w:val="nil"/>
              <w:bottom w:val="single" w:sz="8" w:space="0" w:color="auto"/>
              <w:right w:val="nil"/>
            </w:tcBorders>
            <w:vAlign w:val="center"/>
            <w:hideMark/>
          </w:tcPr>
          <w:p w14:paraId="329F7AEC" w14:textId="77777777" w:rsidR="00F55539" w:rsidRPr="00E71565" w:rsidRDefault="00F55539" w:rsidP="005F2532">
            <w:pPr>
              <w:spacing w:after="0" w:line="240" w:lineRule="auto"/>
              <w:rPr>
                <w:rFonts w:ascii="Times New Roman" w:eastAsia="Times New Roman" w:hAnsi="Times New Roman" w:cs="Times New Roman"/>
                <w:b/>
                <w:bCs/>
                <w:color w:val="000000"/>
                <w:sz w:val="20"/>
                <w:szCs w:val="20"/>
              </w:rPr>
            </w:pPr>
            <w:r w:rsidRPr="00E71565">
              <w:rPr>
                <w:rFonts w:ascii="Times New Roman" w:eastAsia="Times New Roman" w:hAnsi="Times New Roman" w:cs="Times New Roman"/>
                <w:b/>
                <w:bCs/>
                <w:color w:val="000000"/>
                <w:sz w:val="20"/>
                <w:szCs w:val="20"/>
              </w:rPr>
              <w:t>Year</w:t>
            </w:r>
          </w:p>
        </w:tc>
        <w:tc>
          <w:tcPr>
            <w:tcW w:w="535" w:type="pct"/>
            <w:tcBorders>
              <w:top w:val="nil"/>
              <w:left w:val="nil"/>
              <w:bottom w:val="single" w:sz="8" w:space="0" w:color="auto"/>
              <w:right w:val="nil"/>
            </w:tcBorders>
            <w:vAlign w:val="center"/>
            <w:hideMark/>
          </w:tcPr>
          <w:p w14:paraId="2B3B738C"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521" w:type="pct"/>
            <w:tcBorders>
              <w:top w:val="nil"/>
              <w:left w:val="nil"/>
              <w:bottom w:val="single" w:sz="8" w:space="0" w:color="auto"/>
              <w:right w:val="nil"/>
            </w:tcBorders>
            <w:vAlign w:val="center"/>
            <w:hideMark/>
          </w:tcPr>
          <w:p w14:paraId="22CC8419"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522" w:type="pct"/>
            <w:tcBorders>
              <w:top w:val="nil"/>
              <w:left w:val="nil"/>
              <w:bottom w:val="single" w:sz="8" w:space="0" w:color="auto"/>
              <w:right w:val="nil"/>
            </w:tcBorders>
            <w:vAlign w:val="center"/>
            <w:hideMark/>
          </w:tcPr>
          <w:p w14:paraId="1AF47C70"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c>
          <w:tcPr>
            <w:tcW w:w="437" w:type="pct"/>
            <w:tcBorders>
              <w:top w:val="nil"/>
              <w:left w:val="nil"/>
              <w:bottom w:val="single" w:sz="8" w:space="0" w:color="auto"/>
              <w:right w:val="nil"/>
            </w:tcBorders>
            <w:vAlign w:val="center"/>
            <w:hideMark/>
          </w:tcPr>
          <w:p w14:paraId="3056A7DC"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466" w:type="pct"/>
            <w:tcBorders>
              <w:top w:val="nil"/>
              <w:left w:val="nil"/>
              <w:bottom w:val="single" w:sz="8" w:space="0" w:color="auto"/>
              <w:right w:val="nil"/>
            </w:tcBorders>
            <w:vAlign w:val="center"/>
            <w:hideMark/>
          </w:tcPr>
          <w:p w14:paraId="07726E3B"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669" w:type="pct"/>
            <w:tcBorders>
              <w:top w:val="nil"/>
              <w:left w:val="nil"/>
              <w:bottom w:val="single" w:sz="8" w:space="0" w:color="auto"/>
              <w:right w:val="nil"/>
            </w:tcBorders>
            <w:vAlign w:val="center"/>
            <w:hideMark/>
          </w:tcPr>
          <w:p w14:paraId="4BFB6F9A"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c>
          <w:tcPr>
            <w:tcW w:w="493" w:type="pct"/>
            <w:tcBorders>
              <w:top w:val="nil"/>
              <w:left w:val="nil"/>
              <w:bottom w:val="single" w:sz="8" w:space="0" w:color="auto"/>
              <w:right w:val="nil"/>
            </w:tcBorders>
            <w:vAlign w:val="center"/>
            <w:hideMark/>
          </w:tcPr>
          <w:p w14:paraId="07F53A32"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Fadikpe</w:t>
            </w:r>
            <w:proofErr w:type="spellEnd"/>
            <w:r w:rsidRPr="00E71565">
              <w:rPr>
                <w:rFonts w:ascii="Times New Roman" w:eastAsia="Times New Roman" w:hAnsi="Times New Roman" w:cs="Times New Roman"/>
                <w:b/>
                <w:bCs/>
                <w:color w:val="000000"/>
                <w:sz w:val="20"/>
                <w:szCs w:val="20"/>
              </w:rPr>
              <w:t xml:space="preserve"> (</w:t>
            </w:r>
            <w:r w:rsidRPr="00E71565">
              <w:rPr>
                <w:rFonts w:ascii="Times New Roman" w:eastAsia="Times New Roman" w:hAnsi="Times New Roman" w:cs="Times New Roman"/>
                <w:b/>
                <w:bCs/>
                <w:strike/>
                <w:color w:val="000000"/>
                <w:sz w:val="20"/>
                <w:szCs w:val="20"/>
              </w:rPr>
              <w:t>N)</w:t>
            </w:r>
          </w:p>
        </w:tc>
        <w:tc>
          <w:tcPr>
            <w:tcW w:w="458" w:type="pct"/>
            <w:tcBorders>
              <w:top w:val="nil"/>
              <w:left w:val="nil"/>
              <w:bottom w:val="single" w:sz="8" w:space="0" w:color="auto"/>
              <w:right w:val="nil"/>
            </w:tcBorders>
            <w:vAlign w:val="center"/>
            <w:hideMark/>
          </w:tcPr>
          <w:p w14:paraId="65C63C12"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Tundun</w:t>
            </w:r>
            <w:proofErr w:type="spellEnd"/>
            <w:r w:rsidRPr="00E71565">
              <w:rPr>
                <w:rFonts w:ascii="Times New Roman" w:eastAsia="Times New Roman" w:hAnsi="Times New Roman" w:cs="Times New Roman"/>
                <w:b/>
                <w:bCs/>
                <w:color w:val="000000"/>
                <w:sz w:val="20"/>
                <w:szCs w:val="20"/>
              </w:rPr>
              <w:t xml:space="preserve"> Fulani (</w:t>
            </w:r>
            <w:r w:rsidRPr="00E71565">
              <w:rPr>
                <w:rFonts w:ascii="Times New Roman" w:eastAsia="Times New Roman" w:hAnsi="Times New Roman" w:cs="Times New Roman"/>
                <w:b/>
                <w:bCs/>
                <w:strike/>
                <w:color w:val="000000"/>
                <w:sz w:val="20"/>
                <w:szCs w:val="20"/>
              </w:rPr>
              <w:t>N)</w:t>
            </w:r>
          </w:p>
        </w:tc>
        <w:tc>
          <w:tcPr>
            <w:tcW w:w="539" w:type="pct"/>
            <w:tcBorders>
              <w:top w:val="nil"/>
              <w:left w:val="nil"/>
              <w:bottom w:val="single" w:sz="8" w:space="0" w:color="auto"/>
              <w:right w:val="nil"/>
            </w:tcBorders>
            <w:vAlign w:val="center"/>
            <w:hideMark/>
          </w:tcPr>
          <w:p w14:paraId="00FB6951" w14:textId="77777777" w:rsidR="00F55539" w:rsidRPr="00E71565" w:rsidRDefault="00F55539" w:rsidP="005F2532">
            <w:pPr>
              <w:spacing w:after="0" w:line="240" w:lineRule="auto"/>
              <w:jc w:val="center"/>
              <w:rPr>
                <w:rFonts w:ascii="Times New Roman" w:eastAsia="Times New Roman" w:hAnsi="Times New Roman" w:cs="Times New Roman"/>
                <w:b/>
                <w:bCs/>
                <w:color w:val="000000"/>
                <w:sz w:val="20"/>
                <w:szCs w:val="20"/>
              </w:rPr>
            </w:pPr>
            <w:proofErr w:type="spellStart"/>
            <w:r w:rsidRPr="00E71565">
              <w:rPr>
                <w:rFonts w:ascii="Times New Roman" w:eastAsia="Times New Roman" w:hAnsi="Times New Roman" w:cs="Times New Roman"/>
                <w:b/>
                <w:bCs/>
                <w:color w:val="000000"/>
                <w:sz w:val="20"/>
                <w:szCs w:val="20"/>
              </w:rPr>
              <w:t>Bosso</w:t>
            </w:r>
            <w:proofErr w:type="spellEnd"/>
            <w:r w:rsidRPr="00E71565">
              <w:rPr>
                <w:rFonts w:ascii="Times New Roman" w:eastAsia="Times New Roman" w:hAnsi="Times New Roman" w:cs="Times New Roman"/>
                <w:b/>
                <w:bCs/>
                <w:color w:val="000000"/>
                <w:sz w:val="20"/>
                <w:szCs w:val="20"/>
              </w:rPr>
              <w:t xml:space="preserve"> Estate (</w:t>
            </w:r>
            <w:r w:rsidRPr="00E71565">
              <w:rPr>
                <w:rFonts w:ascii="Times New Roman" w:eastAsia="Times New Roman" w:hAnsi="Times New Roman" w:cs="Times New Roman"/>
                <w:b/>
                <w:bCs/>
                <w:strike/>
                <w:color w:val="000000"/>
                <w:sz w:val="20"/>
                <w:szCs w:val="20"/>
              </w:rPr>
              <w:t>N)</w:t>
            </w:r>
          </w:p>
        </w:tc>
      </w:tr>
      <w:tr w:rsidR="00F55539" w:rsidRPr="00E71565" w14:paraId="7DBFA88B" w14:textId="77777777" w:rsidTr="00F55539">
        <w:trPr>
          <w:trHeight w:val="315"/>
        </w:trPr>
        <w:tc>
          <w:tcPr>
            <w:tcW w:w="360" w:type="pct"/>
            <w:tcBorders>
              <w:top w:val="nil"/>
              <w:left w:val="nil"/>
              <w:bottom w:val="nil"/>
              <w:right w:val="nil"/>
            </w:tcBorders>
            <w:vAlign w:val="center"/>
            <w:hideMark/>
          </w:tcPr>
          <w:p w14:paraId="5AF50953"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2013</w:t>
            </w:r>
          </w:p>
        </w:tc>
        <w:tc>
          <w:tcPr>
            <w:tcW w:w="535" w:type="pct"/>
            <w:tcBorders>
              <w:top w:val="nil"/>
              <w:left w:val="nil"/>
              <w:bottom w:val="nil"/>
              <w:right w:val="nil"/>
            </w:tcBorders>
            <w:vAlign w:val="center"/>
            <w:hideMark/>
          </w:tcPr>
          <w:p w14:paraId="057396C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521" w:type="pct"/>
            <w:tcBorders>
              <w:top w:val="nil"/>
              <w:left w:val="nil"/>
              <w:bottom w:val="nil"/>
              <w:right w:val="nil"/>
            </w:tcBorders>
            <w:vAlign w:val="center"/>
            <w:hideMark/>
          </w:tcPr>
          <w:p w14:paraId="3E6C6A7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522" w:type="pct"/>
            <w:tcBorders>
              <w:top w:val="nil"/>
              <w:left w:val="nil"/>
              <w:bottom w:val="nil"/>
              <w:right w:val="nil"/>
            </w:tcBorders>
            <w:vAlign w:val="center"/>
            <w:hideMark/>
          </w:tcPr>
          <w:p w14:paraId="603E5CE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437" w:type="pct"/>
            <w:tcBorders>
              <w:top w:val="nil"/>
              <w:left w:val="nil"/>
              <w:bottom w:val="nil"/>
              <w:right w:val="nil"/>
            </w:tcBorders>
            <w:vAlign w:val="center"/>
            <w:hideMark/>
          </w:tcPr>
          <w:p w14:paraId="53800BA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466" w:type="pct"/>
            <w:tcBorders>
              <w:top w:val="nil"/>
              <w:left w:val="nil"/>
              <w:bottom w:val="nil"/>
              <w:right w:val="nil"/>
            </w:tcBorders>
            <w:vAlign w:val="center"/>
            <w:hideMark/>
          </w:tcPr>
          <w:p w14:paraId="724BBC7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669" w:type="pct"/>
            <w:tcBorders>
              <w:top w:val="nil"/>
              <w:left w:val="nil"/>
              <w:bottom w:val="nil"/>
              <w:right w:val="nil"/>
            </w:tcBorders>
            <w:vAlign w:val="center"/>
            <w:hideMark/>
          </w:tcPr>
          <w:p w14:paraId="5E890C6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493" w:type="pct"/>
            <w:tcBorders>
              <w:top w:val="nil"/>
              <w:left w:val="nil"/>
              <w:bottom w:val="nil"/>
              <w:right w:val="nil"/>
            </w:tcBorders>
            <w:vAlign w:val="center"/>
            <w:hideMark/>
          </w:tcPr>
          <w:p w14:paraId="4AAE6F4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458" w:type="pct"/>
            <w:tcBorders>
              <w:top w:val="nil"/>
              <w:left w:val="nil"/>
              <w:bottom w:val="nil"/>
              <w:right w:val="nil"/>
            </w:tcBorders>
            <w:vAlign w:val="center"/>
            <w:hideMark/>
          </w:tcPr>
          <w:p w14:paraId="20EF49F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c>
          <w:tcPr>
            <w:tcW w:w="539" w:type="pct"/>
            <w:tcBorders>
              <w:top w:val="nil"/>
              <w:left w:val="nil"/>
              <w:bottom w:val="nil"/>
              <w:right w:val="nil"/>
            </w:tcBorders>
            <w:vAlign w:val="center"/>
            <w:hideMark/>
          </w:tcPr>
          <w:p w14:paraId="16F630E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w:t>
            </w:r>
          </w:p>
        </w:tc>
      </w:tr>
      <w:tr w:rsidR="00F55539" w:rsidRPr="00E71565" w14:paraId="631AA96F" w14:textId="77777777" w:rsidTr="00F55539">
        <w:trPr>
          <w:trHeight w:val="315"/>
        </w:trPr>
        <w:tc>
          <w:tcPr>
            <w:tcW w:w="360" w:type="pct"/>
            <w:tcBorders>
              <w:top w:val="nil"/>
              <w:left w:val="nil"/>
              <w:bottom w:val="nil"/>
              <w:right w:val="nil"/>
            </w:tcBorders>
            <w:vAlign w:val="center"/>
            <w:hideMark/>
          </w:tcPr>
          <w:p w14:paraId="3CB1E265"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2014</w:t>
            </w:r>
          </w:p>
        </w:tc>
        <w:tc>
          <w:tcPr>
            <w:tcW w:w="535" w:type="pct"/>
            <w:tcBorders>
              <w:top w:val="nil"/>
              <w:left w:val="nil"/>
              <w:bottom w:val="nil"/>
              <w:right w:val="nil"/>
            </w:tcBorders>
            <w:vAlign w:val="center"/>
            <w:hideMark/>
          </w:tcPr>
          <w:p w14:paraId="0F4706F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521" w:type="pct"/>
            <w:tcBorders>
              <w:top w:val="nil"/>
              <w:left w:val="nil"/>
              <w:bottom w:val="nil"/>
              <w:right w:val="nil"/>
            </w:tcBorders>
            <w:vAlign w:val="center"/>
            <w:hideMark/>
          </w:tcPr>
          <w:p w14:paraId="32E24BF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522" w:type="pct"/>
            <w:tcBorders>
              <w:top w:val="nil"/>
              <w:left w:val="nil"/>
              <w:bottom w:val="nil"/>
              <w:right w:val="nil"/>
            </w:tcBorders>
            <w:vAlign w:val="center"/>
            <w:hideMark/>
          </w:tcPr>
          <w:p w14:paraId="2E899C6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5.88</w:t>
            </w:r>
          </w:p>
        </w:tc>
        <w:tc>
          <w:tcPr>
            <w:tcW w:w="437" w:type="pct"/>
            <w:tcBorders>
              <w:top w:val="nil"/>
              <w:left w:val="nil"/>
              <w:bottom w:val="nil"/>
              <w:right w:val="nil"/>
            </w:tcBorders>
            <w:vAlign w:val="center"/>
            <w:hideMark/>
          </w:tcPr>
          <w:p w14:paraId="7041C21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466" w:type="pct"/>
            <w:tcBorders>
              <w:top w:val="nil"/>
              <w:left w:val="nil"/>
              <w:bottom w:val="nil"/>
              <w:right w:val="nil"/>
            </w:tcBorders>
            <w:vAlign w:val="center"/>
            <w:hideMark/>
          </w:tcPr>
          <w:p w14:paraId="25BF6EF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669" w:type="pct"/>
            <w:tcBorders>
              <w:top w:val="nil"/>
              <w:left w:val="nil"/>
              <w:bottom w:val="nil"/>
              <w:right w:val="nil"/>
            </w:tcBorders>
            <w:vAlign w:val="center"/>
            <w:hideMark/>
          </w:tcPr>
          <w:p w14:paraId="3C11547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493" w:type="pct"/>
            <w:tcBorders>
              <w:top w:val="nil"/>
              <w:left w:val="nil"/>
              <w:bottom w:val="nil"/>
              <w:right w:val="nil"/>
            </w:tcBorders>
            <w:vAlign w:val="center"/>
            <w:hideMark/>
          </w:tcPr>
          <w:p w14:paraId="7FE17B4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458" w:type="pct"/>
            <w:tcBorders>
              <w:top w:val="nil"/>
              <w:left w:val="nil"/>
              <w:bottom w:val="nil"/>
              <w:right w:val="nil"/>
            </w:tcBorders>
            <w:vAlign w:val="center"/>
            <w:hideMark/>
          </w:tcPr>
          <w:p w14:paraId="0842E87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539" w:type="pct"/>
            <w:tcBorders>
              <w:top w:val="nil"/>
              <w:left w:val="nil"/>
              <w:bottom w:val="nil"/>
              <w:right w:val="nil"/>
            </w:tcBorders>
            <w:vAlign w:val="center"/>
            <w:hideMark/>
          </w:tcPr>
          <w:p w14:paraId="09DC4A4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3.00</w:t>
            </w:r>
          </w:p>
        </w:tc>
      </w:tr>
      <w:tr w:rsidR="00F55539" w:rsidRPr="00E71565" w14:paraId="42B61A5A" w14:textId="77777777" w:rsidTr="00F55539">
        <w:trPr>
          <w:trHeight w:val="315"/>
        </w:trPr>
        <w:tc>
          <w:tcPr>
            <w:tcW w:w="360" w:type="pct"/>
            <w:tcBorders>
              <w:top w:val="nil"/>
              <w:left w:val="nil"/>
              <w:bottom w:val="nil"/>
              <w:right w:val="nil"/>
            </w:tcBorders>
            <w:vAlign w:val="center"/>
            <w:hideMark/>
          </w:tcPr>
          <w:p w14:paraId="10E2FC24"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2015</w:t>
            </w:r>
          </w:p>
        </w:tc>
        <w:tc>
          <w:tcPr>
            <w:tcW w:w="535" w:type="pct"/>
            <w:tcBorders>
              <w:top w:val="nil"/>
              <w:left w:val="nil"/>
              <w:bottom w:val="nil"/>
              <w:right w:val="nil"/>
            </w:tcBorders>
            <w:vAlign w:val="center"/>
            <w:hideMark/>
          </w:tcPr>
          <w:p w14:paraId="6EEFAB5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27.91</w:t>
            </w:r>
          </w:p>
        </w:tc>
        <w:tc>
          <w:tcPr>
            <w:tcW w:w="521" w:type="pct"/>
            <w:tcBorders>
              <w:top w:val="nil"/>
              <w:left w:val="nil"/>
              <w:bottom w:val="nil"/>
              <w:right w:val="nil"/>
            </w:tcBorders>
            <w:vAlign w:val="center"/>
            <w:hideMark/>
          </w:tcPr>
          <w:p w14:paraId="7B8E417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5.26</w:t>
            </w:r>
          </w:p>
        </w:tc>
        <w:tc>
          <w:tcPr>
            <w:tcW w:w="522" w:type="pct"/>
            <w:tcBorders>
              <w:top w:val="nil"/>
              <w:left w:val="nil"/>
              <w:bottom w:val="nil"/>
              <w:right w:val="nil"/>
            </w:tcBorders>
            <w:vAlign w:val="center"/>
            <w:hideMark/>
          </w:tcPr>
          <w:p w14:paraId="1B733A7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12.85</w:t>
            </w:r>
          </w:p>
        </w:tc>
        <w:tc>
          <w:tcPr>
            <w:tcW w:w="437" w:type="pct"/>
            <w:tcBorders>
              <w:top w:val="nil"/>
              <w:left w:val="nil"/>
              <w:bottom w:val="nil"/>
              <w:right w:val="nil"/>
            </w:tcBorders>
            <w:vAlign w:val="center"/>
            <w:hideMark/>
          </w:tcPr>
          <w:p w14:paraId="2E97C4C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18.72</w:t>
            </w:r>
          </w:p>
        </w:tc>
        <w:tc>
          <w:tcPr>
            <w:tcW w:w="466" w:type="pct"/>
            <w:tcBorders>
              <w:top w:val="nil"/>
              <w:left w:val="nil"/>
              <w:bottom w:val="nil"/>
              <w:right w:val="nil"/>
            </w:tcBorders>
            <w:vAlign w:val="center"/>
            <w:hideMark/>
          </w:tcPr>
          <w:p w14:paraId="0F64A0F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5.15</w:t>
            </w:r>
          </w:p>
        </w:tc>
        <w:tc>
          <w:tcPr>
            <w:tcW w:w="669" w:type="pct"/>
            <w:tcBorders>
              <w:top w:val="nil"/>
              <w:left w:val="nil"/>
              <w:bottom w:val="nil"/>
              <w:right w:val="nil"/>
            </w:tcBorders>
            <w:vAlign w:val="center"/>
            <w:hideMark/>
          </w:tcPr>
          <w:p w14:paraId="2280170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-0.67</w:t>
            </w:r>
          </w:p>
        </w:tc>
        <w:tc>
          <w:tcPr>
            <w:tcW w:w="493" w:type="pct"/>
            <w:tcBorders>
              <w:top w:val="nil"/>
              <w:left w:val="nil"/>
              <w:bottom w:val="nil"/>
              <w:right w:val="nil"/>
            </w:tcBorders>
            <w:vAlign w:val="center"/>
            <w:hideMark/>
          </w:tcPr>
          <w:p w14:paraId="2700EFB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-6.17</w:t>
            </w:r>
          </w:p>
        </w:tc>
        <w:tc>
          <w:tcPr>
            <w:tcW w:w="458" w:type="pct"/>
            <w:tcBorders>
              <w:top w:val="nil"/>
              <w:left w:val="nil"/>
              <w:bottom w:val="nil"/>
              <w:right w:val="nil"/>
            </w:tcBorders>
            <w:vAlign w:val="center"/>
            <w:hideMark/>
          </w:tcPr>
          <w:p w14:paraId="69FA115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11.55</w:t>
            </w:r>
          </w:p>
        </w:tc>
        <w:tc>
          <w:tcPr>
            <w:tcW w:w="539" w:type="pct"/>
            <w:tcBorders>
              <w:top w:val="nil"/>
              <w:left w:val="nil"/>
              <w:bottom w:val="nil"/>
              <w:right w:val="nil"/>
            </w:tcBorders>
            <w:vAlign w:val="center"/>
            <w:hideMark/>
          </w:tcPr>
          <w:p w14:paraId="3977C46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5.69</w:t>
            </w:r>
          </w:p>
        </w:tc>
      </w:tr>
      <w:tr w:rsidR="00F55539" w:rsidRPr="00E71565" w14:paraId="54C16918" w14:textId="77777777" w:rsidTr="00F55539">
        <w:trPr>
          <w:trHeight w:val="315"/>
        </w:trPr>
        <w:tc>
          <w:tcPr>
            <w:tcW w:w="360" w:type="pct"/>
            <w:tcBorders>
              <w:top w:val="nil"/>
              <w:left w:val="nil"/>
              <w:bottom w:val="nil"/>
              <w:right w:val="nil"/>
            </w:tcBorders>
            <w:vAlign w:val="center"/>
            <w:hideMark/>
          </w:tcPr>
          <w:p w14:paraId="5F1DC95B"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2016</w:t>
            </w:r>
          </w:p>
        </w:tc>
        <w:tc>
          <w:tcPr>
            <w:tcW w:w="535" w:type="pct"/>
            <w:tcBorders>
              <w:top w:val="nil"/>
              <w:left w:val="nil"/>
              <w:bottom w:val="nil"/>
              <w:right w:val="nil"/>
            </w:tcBorders>
            <w:vAlign w:val="center"/>
            <w:hideMark/>
          </w:tcPr>
          <w:p w14:paraId="14C2A00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7.79</w:t>
            </w:r>
          </w:p>
        </w:tc>
        <w:tc>
          <w:tcPr>
            <w:tcW w:w="521" w:type="pct"/>
            <w:tcBorders>
              <w:top w:val="nil"/>
              <w:left w:val="nil"/>
              <w:bottom w:val="nil"/>
              <w:right w:val="nil"/>
            </w:tcBorders>
            <w:vAlign w:val="center"/>
            <w:hideMark/>
          </w:tcPr>
          <w:p w14:paraId="0981B23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39.29</w:t>
            </w:r>
          </w:p>
        </w:tc>
        <w:tc>
          <w:tcPr>
            <w:tcW w:w="522" w:type="pct"/>
            <w:tcBorders>
              <w:top w:val="nil"/>
              <w:left w:val="nil"/>
              <w:bottom w:val="nil"/>
              <w:right w:val="nil"/>
            </w:tcBorders>
            <w:vAlign w:val="center"/>
            <w:hideMark/>
          </w:tcPr>
          <w:p w14:paraId="4F9FA08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6.15</w:t>
            </w:r>
          </w:p>
        </w:tc>
        <w:tc>
          <w:tcPr>
            <w:tcW w:w="437" w:type="pct"/>
            <w:tcBorders>
              <w:top w:val="nil"/>
              <w:left w:val="nil"/>
              <w:bottom w:val="nil"/>
              <w:right w:val="nil"/>
            </w:tcBorders>
            <w:vAlign w:val="center"/>
            <w:hideMark/>
          </w:tcPr>
          <w:p w14:paraId="39DD669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5.49</w:t>
            </w:r>
          </w:p>
        </w:tc>
        <w:tc>
          <w:tcPr>
            <w:tcW w:w="466" w:type="pct"/>
            <w:tcBorders>
              <w:top w:val="nil"/>
              <w:left w:val="nil"/>
              <w:bottom w:val="nil"/>
              <w:right w:val="nil"/>
            </w:tcBorders>
            <w:vAlign w:val="center"/>
            <w:hideMark/>
          </w:tcPr>
          <w:p w14:paraId="7DB617C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10.89</w:t>
            </w:r>
          </w:p>
        </w:tc>
        <w:tc>
          <w:tcPr>
            <w:tcW w:w="669" w:type="pct"/>
            <w:tcBorders>
              <w:top w:val="nil"/>
              <w:left w:val="nil"/>
              <w:bottom w:val="nil"/>
              <w:right w:val="nil"/>
            </w:tcBorders>
            <w:vAlign w:val="center"/>
            <w:hideMark/>
          </w:tcPr>
          <w:p w14:paraId="4DBC2F5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6.18</w:t>
            </w:r>
          </w:p>
        </w:tc>
        <w:tc>
          <w:tcPr>
            <w:tcW w:w="493" w:type="pct"/>
            <w:tcBorders>
              <w:top w:val="nil"/>
              <w:left w:val="nil"/>
              <w:bottom w:val="nil"/>
              <w:right w:val="nil"/>
            </w:tcBorders>
            <w:vAlign w:val="center"/>
            <w:hideMark/>
          </w:tcPr>
          <w:p w14:paraId="477055C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14.42</w:t>
            </w:r>
          </w:p>
        </w:tc>
        <w:tc>
          <w:tcPr>
            <w:tcW w:w="458" w:type="pct"/>
            <w:tcBorders>
              <w:top w:val="nil"/>
              <w:left w:val="nil"/>
              <w:bottom w:val="nil"/>
              <w:right w:val="nil"/>
            </w:tcBorders>
            <w:vAlign w:val="center"/>
            <w:hideMark/>
          </w:tcPr>
          <w:p w14:paraId="3B985A5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9.61</w:t>
            </w:r>
          </w:p>
        </w:tc>
        <w:tc>
          <w:tcPr>
            <w:tcW w:w="539" w:type="pct"/>
            <w:tcBorders>
              <w:top w:val="nil"/>
              <w:left w:val="nil"/>
              <w:bottom w:val="nil"/>
              <w:right w:val="nil"/>
            </w:tcBorders>
            <w:vAlign w:val="center"/>
            <w:hideMark/>
          </w:tcPr>
          <w:p w14:paraId="5ECF60C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1.28</w:t>
            </w:r>
          </w:p>
        </w:tc>
      </w:tr>
      <w:tr w:rsidR="00F55539" w:rsidRPr="00E71565" w14:paraId="06107394" w14:textId="77777777" w:rsidTr="00F55539">
        <w:trPr>
          <w:trHeight w:val="315"/>
        </w:trPr>
        <w:tc>
          <w:tcPr>
            <w:tcW w:w="360" w:type="pct"/>
            <w:tcBorders>
              <w:top w:val="nil"/>
              <w:left w:val="nil"/>
              <w:bottom w:val="nil"/>
              <w:right w:val="nil"/>
            </w:tcBorders>
            <w:vAlign w:val="center"/>
            <w:hideMark/>
          </w:tcPr>
          <w:p w14:paraId="1AE9A8A5"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2017</w:t>
            </w:r>
          </w:p>
        </w:tc>
        <w:tc>
          <w:tcPr>
            <w:tcW w:w="535" w:type="pct"/>
            <w:tcBorders>
              <w:top w:val="nil"/>
              <w:left w:val="nil"/>
              <w:bottom w:val="nil"/>
              <w:right w:val="nil"/>
            </w:tcBorders>
            <w:vAlign w:val="center"/>
            <w:hideMark/>
          </w:tcPr>
          <w:p w14:paraId="10F77D2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3.61</w:t>
            </w:r>
          </w:p>
        </w:tc>
        <w:tc>
          <w:tcPr>
            <w:tcW w:w="521" w:type="pct"/>
            <w:tcBorders>
              <w:top w:val="nil"/>
              <w:left w:val="nil"/>
              <w:bottom w:val="nil"/>
              <w:right w:val="nil"/>
            </w:tcBorders>
            <w:vAlign w:val="center"/>
            <w:hideMark/>
          </w:tcPr>
          <w:p w14:paraId="01886E3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12.82</w:t>
            </w:r>
          </w:p>
        </w:tc>
        <w:tc>
          <w:tcPr>
            <w:tcW w:w="522" w:type="pct"/>
            <w:tcBorders>
              <w:top w:val="nil"/>
              <w:left w:val="nil"/>
              <w:bottom w:val="nil"/>
              <w:right w:val="nil"/>
            </w:tcBorders>
            <w:vAlign w:val="center"/>
            <w:hideMark/>
          </w:tcPr>
          <w:p w14:paraId="69F9579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4.35</w:t>
            </w:r>
          </w:p>
        </w:tc>
        <w:tc>
          <w:tcPr>
            <w:tcW w:w="437" w:type="pct"/>
            <w:tcBorders>
              <w:top w:val="nil"/>
              <w:left w:val="nil"/>
              <w:bottom w:val="nil"/>
              <w:right w:val="nil"/>
            </w:tcBorders>
            <w:vAlign w:val="center"/>
            <w:hideMark/>
          </w:tcPr>
          <w:p w14:paraId="1DA3639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4.69</w:t>
            </w:r>
          </w:p>
        </w:tc>
        <w:tc>
          <w:tcPr>
            <w:tcW w:w="466" w:type="pct"/>
            <w:tcBorders>
              <w:top w:val="nil"/>
              <w:left w:val="nil"/>
              <w:bottom w:val="nil"/>
              <w:right w:val="nil"/>
            </w:tcBorders>
            <w:vAlign w:val="center"/>
            <w:hideMark/>
          </w:tcPr>
          <w:p w14:paraId="202FEA8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24.32</w:t>
            </w:r>
          </w:p>
        </w:tc>
        <w:tc>
          <w:tcPr>
            <w:tcW w:w="669" w:type="pct"/>
            <w:tcBorders>
              <w:top w:val="nil"/>
              <w:left w:val="nil"/>
              <w:bottom w:val="nil"/>
              <w:right w:val="nil"/>
            </w:tcBorders>
            <w:vAlign w:val="center"/>
            <w:hideMark/>
          </w:tcPr>
          <w:p w14:paraId="6944F4A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25.93</w:t>
            </w:r>
          </w:p>
        </w:tc>
        <w:tc>
          <w:tcPr>
            <w:tcW w:w="493" w:type="pct"/>
            <w:tcBorders>
              <w:top w:val="nil"/>
              <w:left w:val="nil"/>
              <w:bottom w:val="nil"/>
              <w:right w:val="nil"/>
            </w:tcBorders>
            <w:vAlign w:val="center"/>
            <w:hideMark/>
          </w:tcPr>
          <w:p w14:paraId="156A08E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9.56</w:t>
            </w:r>
          </w:p>
        </w:tc>
        <w:tc>
          <w:tcPr>
            <w:tcW w:w="458" w:type="pct"/>
            <w:tcBorders>
              <w:top w:val="nil"/>
              <w:left w:val="nil"/>
              <w:bottom w:val="nil"/>
              <w:right w:val="nil"/>
            </w:tcBorders>
            <w:vAlign w:val="center"/>
            <w:hideMark/>
          </w:tcPr>
          <w:p w14:paraId="1FE3564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6.72</w:t>
            </w:r>
          </w:p>
        </w:tc>
        <w:tc>
          <w:tcPr>
            <w:tcW w:w="539" w:type="pct"/>
            <w:tcBorders>
              <w:top w:val="nil"/>
              <w:left w:val="nil"/>
              <w:bottom w:val="nil"/>
              <w:right w:val="nil"/>
            </w:tcBorders>
            <w:vAlign w:val="center"/>
            <w:hideMark/>
          </w:tcPr>
          <w:p w14:paraId="6F72115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13.08</w:t>
            </w:r>
          </w:p>
        </w:tc>
      </w:tr>
      <w:tr w:rsidR="00F55539" w:rsidRPr="00E71565" w14:paraId="26B73A96" w14:textId="77777777" w:rsidTr="00F55539">
        <w:trPr>
          <w:trHeight w:val="315"/>
        </w:trPr>
        <w:tc>
          <w:tcPr>
            <w:tcW w:w="360" w:type="pct"/>
            <w:tcBorders>
              <w:top w:val="nil"/>
              <w:left w:val="nil"/>
              <w:bottom w:val="nil"/>
              <w:right w:val="nil"/>
            </w:tcBorders>
            <w:vAlign w:val="center"/>
            <w:hideMark/>
          </w:tcPr>
          <w:p w14:paraId="402EAC23"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2018</w:t>
            </w:r>
          </w:p>
        </w:tc>
        <w:tc>
          <w:tcPr>
            <w:tcW w:w="535" w:type="pct"/>
            <w:tcBorders>
              <w:top w:val="nil"/>
              <w:left w:val="nil"/>
              <w:bottom w:val="nil"/>
              <w:right w:val="nil"/>
            </w:tcBorders>
            <w:vAlign w:val="center"/>
            <w:hideMark/>
          </w:tcPr>
          <w:p w14:paraId="598E9D7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10.46</w:t>
            </w:r>
          </w:p>
        </w:tc>
        <w:tc>
          <w:tcPr>
            <w:tcW w:w="521" w:type="pct"/>
            <w:tcBorders>
              <w:top w:val="nil"/>
              <w:left w:val="nil"/>
              <w:bottom w:val="nil"/>
              <w:right w:val="nil"/>
            </w:tcBorders>
            <w:vAlign w:val="center"/>
            <w:hideMark/>
          </w:tcPr>
          <w:p w14:paraId="4F3BEDD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1.14</w:t>
            </w:r>
          </w:p>
        </w:tc>
        <w:tc>
          <w:tcPr>
            <w:tcW w:w="522" w:type="pct"/>
            <w:tcBorders>
              <w:top w:val="nil"/>
              <w:left w:val="nil"/>
              <w:bottom w:val="nil"/>
              <w:right w:val="nil"/>
            </w:tcBorders>
            <w:vAlign w:val="center"/>
            <w:hideMark/>
          </w:tcPr>
          <w:p w14:paraId="49213F5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13.89</w:t>
            </w:r>
          </w:p>
        </w:tc>
        <w:tc>
          <w:tcPr>
            <w:tcW w:w="437" w:type="pct"/>
            <w:tcBorders>
              <w:top w:val="nil"/>
              <w:left w:val="nil"/>
              <w:bottom w:val="nil"/>
              <w:right w:val="nil"/>
            </w:tcBorders>
            <w:vAlign w:val="center"/>
            <w:hideMark/>
          </w:tcPr>
          <w:p w14:paraId="1B885A8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2.98</w:t>
            </w:r>
          </w:p>
        </w:tc>
        <w:tc>
          <w:tcPr>
            <w:tcW w:w="466" w:type="pct"/>
            <w:tcBorders>
              <w:top w:val="nil"/>
              <w:left w:val="nil"/>
              <w:bottom w:val="nil"/>
              <w:right w:val="nil"/>
            </w:tcBorders>
            <w:vAlign w:val="center"/>
            <w:hideMark/>
          </w:tcPr>
          <w:p w14:paraId="5904D589"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669" w:type="pct"/>
            <w:tcBorders>
              <w:top w:val="nil"/>
              <w:left w:val="nil"/>
              <w:bottom w:val="nil"/>
              <w:right w:val="nil"/>
            </w:tcBorders>
            <w:vAlign w:val="center"/>
            <w:hideMark/>
          </w:tcPr>
          <w:p w14:paraId="2980DE5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6.62</w:t>
            </w:r>
          </w:p>
        </w:tc>
        <w:tc>
          <w:tcPr>
            <w:tcW w:w="493" w:type="pct"/>
            <w:tcBorders>
              <w:top w:val="nil"/>
              <w:left w:val="nil"/>
              <w:bottom w:val="nil"/>
              <w:right w:val="nil"/>
            </w:tcBorders>
            <w:vAlign w:val="center"/>
            <w:hideMark/>
          </w:tcPr>
          <w:p w14:paraId="4FDE3C7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3.36</w:t>
            </w:r>
          </w:p>
        </w:tc>
        <w:tc>
          <w:tcPr>
            <w:tcW w:w="458" w:type="pct"/>
            <w:tcBorders>
              <w:top w:val="nil"/>
              <w:left w:val="nil"/>
              <w:bottom w:val="nil"/>
              <w:right w:val="nil"/>
            </w:tcBorders>
            <w:vAlign w:val="center"/>
            <w:hideMark/>
          </w:tcPr>
          <w:p w14:paraId="1BC390E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7.87</w:t>
            </w:r>
          </w:p>
        </w:tc>
        <w:tc>
          <w:tcPr>
            <w:tcW w:w="539" w:type="pct"/>
            <w:tcBorders>
              <w:top w:val="nil"/>
              <w:left w:val="nil"/>
              <w:bottom w:val="nil"/>
              <w:right w:val="nil"/>
            </w:tcBorders>
            <w:vAlign w:val="center"/>
            <w:hideMark/>
          </w:tcPr>
          <w:p w14:paraId="389AD3A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3.21</w:t>
            </w:r>
          </w:p>
        </w:tc>
      </w:tr>
      <w:tr w:rsidR="00F55539" w:rsidRPr="00E71565" w14:paraId="3C619B69" w14:textId="77777777" w:rsidTr="00F55539">
        <w:trPr>
          <w:trHeight w:val="315"/>
        </w:trPr>
        <w:tc>
          <w:tcPr>
            <w:tcW w:w="360" w:type="pct"/>
            <w:tcBorders>
              <w:top w:val="nil"/>
              <w:left w:val="nil"/>
              <w:bottom w:val="nil"/>
              <w:right w:val="nil"/>
            </w:tcBorders>
            <w:vAlign w:val="center"/>
            <w:hideMark/>
          </w:tcPr>
          <w:p w14:paraId="5E4F62C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2019</w:t>
            </w:r>
          </w:p>
        </w:tc>
        <w:tc>
          <w:tcPr>
            <w:tcW w:w="535" w:type="pct"/>
            <w:tcBorders>
              <w:top w:val="nil"/>
              <w:left w:val="nil"/>
              <w:bottom w:val="nil"/>
              <w:right w:val="nil"/>
            </w:tcBorders>
            <w:vAlign w:val="center"/>
            <w:hideMark/>
          </w:tcPr>
          <w:p w14:paraId="268E82A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-3.29</w:t>
            </w:r>
          </w:p>
        </w:tc>
        <w:tc>
          <w:tcPr>
            <w:tcW w:w="521" w:type="pct"/>
            <w:tcBorders>
              <w:top w:val="nil"/>
              <w:left w:val="nil"/>
              <w:bottom w:val="nil"/>
              <w:right w:val="nil"/>
            </w:tcBorders>
            <w:vAlign w:val="center"/>
            <w:hideMark/>
          </w:tcPr>
          <w:p w14:paraId="443635C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14.61</w:t>
            </w:r>
          </w:p>
        </w:tc>
        <w:tc>
          <w:tcPr>
            <w:tcW w:w="522" w:type="pct"/>
            <w:tcBorders>
              <w:top w:val="nil"/>
              <w:left w:val="nil"/>
              <w:bottom w:val="nil"/>
              <w:right w:val="nil"/>
            </w:tcBorders>
            <w:vAlign w:val="center"/>
            <w:hideMark/>
          </w:tcPr>
          <w:p w14:paraId="6EB8E9B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4.88</w:t>
            </w:r>
          </w:p>
        </w:tc>
        <w:tc>
          <w:tcPr>
            <w:tcW w:w="437" w:type="pct"/>
            <w:tcBorders>
              <w:top w:val="nil"/>
              <w:left w:val="nil"/>
              <w:bottom w:val="nil"/>
              <w:right w:val="nil"/>
            </w:tcBorders>
            <w:vAlign w:val="center"/>
            <w:hideMark/>
          </w:tcPr>
          <w:p w14:paraId="46EB82C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11.59</w:t>
            </w:r>
          </w:p>
        </w:tc>
        <w:tc>
          <w:tcPr>
            <w:tcW w:w="466" w:type="pct"/>
            <w:tcBorders>
              <w:top w:val="nil"/>
              <w:left w:val="nil"/>
              <w:bottom w:val="nil"/>
              <w:right w:val="nil"/>
            </w:tcBorders>
            <w:vAlign w:val="center"/>
            <w:hideMark/>
          </w:tcPr>
          <w:p w14:paraId="5403D51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11.59</w:t>
            </w:r>
          </w:p>
        </w:tc>
        <w:tc>
          <w:tcPr>
            <w:tcW w:w="669" w:type="pct"/>
            <w:tcBorders>
              <w:top w:val="nil"/>
              <w:left w:val="nil"/>
              <w:bottom w:val="nil"/>
              <w:right w:val="nil"/>
            </w:tcBorders>
            <w:vAlign w:val="center"/>
            <w:hideMark/>
          </w:tcPr>
          <w:p w14:paraId="3212CF4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5.52</w:t>
            </w:r>
          </w:p>
        </w:tc>
        <w:tc>
          <w:tcPr>
            <w:tcW w:w="493" w:type="pct"/>
            <w:tcBorders>
              <w:top w:val="nil"/>
              <w:left w:val="nil"/>
              <w:bottom w:val="nil"/>
              <w:right w:val="nil"/>
            </w:tcBorders>
            <w:vAlign w:val="center"/>
            <w:hideMark/>
          </w:tcPr>
          <w:p w14:paraId="16A70DF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1.95</w:t>
            </w:r>
          </w:p>
        </w:tc>
        <w:tc>
          <w:tcPr>
            <w:tcW w:w="458" w:type="pct"/>
            <w:tcBorders>
              <w:top w:val="nil"/>
              <w:left w:val="nil"/>
              <w:bottom w:val="nil"/>
              <w:right w:val="nil"/>
            </w:tcBorders>
            <w:vAlign w:val="center"/>
            <w:hideMark/>
          </w:tcPr>
          <w:p w14:paraId="21D0A76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4.38</w:t>
            </w:r>
          </w:p>
        </w:tc>
        <w:tc>
          <w:tcPr>
            <w:tcW w:w="539" w:type="pct"/>
            <w:tcBorders>
              <w:top w:val="nil"/>
              <w:left w:val="nil"/>
              <w:bottom w:val="nil"/>
              <w:right w:val="nil"/>
            </w:tcBorders>
            <w:vAlign w:val="center"/>
            <w:hideMark/>
          </w:tcPr>
          <w:p w14:paraId="5CB239D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4.66</w:t>
            </w:r>
          </w:p>
        </w:tc>
      </w:tr>
      <w:tr w:rsidR="00F55539" w:rsidRPr="00E71565" w14:paraId="5C5A9CFE" w14:textId="77777777" w:rsidTr="00F55539">
        <w:trPr>
          <w:trHeight w:val="315"/>
        </w:trPr>
        <w:tc>
          <w:tcPr>
            <w:tcW w:w="360" w:type="pct"/>
            <w:tcBorders>
              <w:top w:val="nil"/>
              <w:left w:val="nil"/>
              <w:bottom w:val="nil"/>
              <w:right w:val="nil"/>
            </w:tcBorders>
            <w:vAlign w:val="center"/>
            <w:hideMark/>
          </w:tcPr>
          <w:p w14:paraId="0793EEBA"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2020</w:t>
            </w:r>
          </w:p>
        </w:tc>
        <w:tc>
          <w:tcPr>
            <w:tcW w:w="535" w:type="pct"/>
            <w:tcBorders>
              <w:top w:val="nil"/>
              <w:left w:val="nil"/>
              <w:bottom w:val="nil"/>
              <w:right w:val="nil"/>
            </w:tcBorders>
            <w:vAlign w:val="center"/>
            <w:hideMark/>
          </w:tcPr>
          <w:p w14:paraId="513A1868"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16.19</w:t>
            </w:r>
          </w:p>
        </w:tc>
        <w:tc>
          <w:tcPr>
            <w:tcW w:w="521" w:type="pct"/>
            <w:tcBorders>
              <w:top w:val="nil"/>
              <w:left w:val="nil"/>
              <w:bottom w:val="nil"/>
              <w:right w:val="nil"/>
            </w:tcBorders>
            <w:vAlign w:val="center"/>
            <w:hideMark/>
          </w:tcPr>
          <w:p w14:paraId="3CC7288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0.98</w:t>
            </w:r>
          </w:p>
        </w:tc>
        <w:tc>
          <w:tcPr>
            <w:tcW w:w="522" w:type="pct"/>
            <w:tcBorders>
              <w:top w:val="nil"/>
              <w:left w:val="nil"/>
              <w:bottom w:val="nil"/>
              <w:right w:val="nil"/>
            </w:tcBorders>
            <w:vAlign w:val="center"/>
            <w:hideMark/>
          </w:tcPr>
          <w:p w14:paraId="3F6A4EE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0.00</w:t>
            </w:r>
          </w:p>
        </w:tc>
        <w:tc>
          <w:tcPr>
            <w:tcW w:w="437" w:type="pct"/>
            <w:tcBorders>
              <w:top w:val="nil"/>
              <w:left w:val="nil"/>
              <w:bottom w:val="nil"/>
              <w:right w:val="nil"/>
            </w:tcBorders>
            <w:vAlign w:val="center"/>
            <w:hideMark/>
          </w:tcPr>
          <w:p w14:paraId="6C61026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4.55</w:t>
            </w:r>
          </w:p>
        </w:tc>
        <w:tc>
          <w:tcPr>
            <w:tcW w:w="466" w:type="pct"/>
            <w:tcBorders>
              <w:top w:val="nil"/>
              <w:left w:val="nil"/>
              <w:bottom w:val="nil"/>
              <w:right w:val="nil"/>
            </w:tcBorders>
            <w:vAlign w:val="center"/>
            <w:hideMark/>
          </w:tcPr>
          <w:p w14:paraId="60A5FC2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3.90</w:t>
            </w:r>
          </w:p>
        </w:tc>
        <w:tc>
          <w:tcPr>
            <w:tcW w:w="669" w:type="pct"/>
            <w:tcBorders>
              <w:top w:val="nil"/>
              <w:left w:val="nil"/>
              <w:bottom w:val="nil"/>
              <w:right w:val="nil"/>
            </w:tcBorders>
            <w:vAlign w:val="center"/>
            <w:hideMark/>
          </w:tcPr>
          <w:p w14:paraId="5AC6B8E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4.58</w:t>
            </w:r>
          </w:p>
        </w:tc>
        <w:tc>
          <w:tcPr>
            <w:tcW w:w="493" w:type="pct"/>
            <w:tcBorders>
              <w:top w:val="nil"/>
              <w:left w:val="nil"/>
              <w:bottom w:val="nil"/>
              <w:right w:val="nil"/>
            </w:tcBorders>
            <w:vAlign w:val="center"/>
            <w:hideMark/>
          </w:tcPr>
          <w:p w14:paraId="14B18A1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4.46</w:t>
            </w:r>
          </w:p>
        </w:tc>
        <w:tc>
          <w:tcPr>
            <w:tcW w:w="458" w:type="pct"/>
            <w:tcBorders>
              <w:top w:val="nil"/>
              <w:left w:val="nil"/>
              <w:bottom w:val="nil"/>
              <w:right w:val="nil"/>
            </w:tcBorders>
            <w:vAlign w:val="center"/>
            <w:hideMark/>
          </w:tcPr>
          <w:p w14:paraId="7A0B18A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9.09</w:t>
            </w:r>
          </w:p>
        </w:tc>
        <w:tc>
          <w:tcPr>
            <w:tcW w:w="539" w:type="pct"/>
            <w:tcBorders>
              <w:top w:val="nil"/>
              <w:left w:val="nil"/>
              <w:bottom w:val="nil"/>
              <w:right w:val="nil"/>
            </w:tcBorders>
            <w:vAlign w:val="center"/>
            <w:hideMark/>
          </w:tcPr>
          <w:p w14:paraId="16BC998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3.96</w:t>
            </w:r>
          </w:p>
        </w:tc>
      </w:tr>
      <w:tr w:rsidR="00F55539" w:rsidRPr="00E71565" w14:paraId="6D4A60E0" w14:textId="77777777" w:rsidTr="00F55539">
        <w:trPr>
          <w:trHeight w:val="315"/>
        </w:trPr>
        <w:tc>
          <w:tcPr>
            <w:tcW w:w="360" w:type="pct"/>
            <w:tcBorders>
              <w:top w:val="nil"/>
              <w:left w:val="nil"/>
              <w:bottom w:val="nil"/>
              <w:right w:val="nil"/>
            </w:tcBorders>
            <w:vAlign w:val="center"/>
            <w:hideMark/>
          </w:tcPr>
          <w:p w14:paraId="1B45AB05"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2021</w:t>
            </w:r>
          </w:p>
        </w:tc>
        <w:tc>
          <w:tcPr>
            <w:tcW w:w="535" w:type="pct"/>
            <w:tcBorders>
              <w:top w:val="nil"/>
              <w:left w:val="nil"/>
              <w:bottom w:val="nil"/>
              <w:right w:val="nil"/>
            </w:tcBorders>
            <w:vAlign w:val="center"/>
            <w:hideMark/>
          </w:tcPr>
          <w:p w14:paraId="5ABEA42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7.38</w:t>
            </w:r>
          </w:p>
        </w:tc>
        <w:tc>
          <w:tcPr>
            <w:tcW w:w="521" w:type="pct"/>
            <w:tcBorders>
              <w:top w:val="nil"/>
              <w:left w:val="nil"/>
              <w:bottom w:val="nil"/>
              <w:right w:val="nil"/>
            </w:tcBorders>
            <w:vAlign w:val="center"/>
            <w:hideMark/>
          </w:tcPr>
          <w:p w14:paraId="5EAB3A2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17.48</w:t>
            </w:r>
          </w:p>
        </w:tc>
        <w:tc>
          <w:tcPr>
            <w:tcW w:w="522" w:type="pct"/>
            <w:tcBorders>
              <w:top w:val="nil"/>
              <w:left w:val="nil"/>
              <w:bottom w:val="nil"/>
              <w:right w:val="nil"/>
            </w:tcBorders>
            <w:vAlign w:val="center"/>
            <w:hideMark/>
          </w:tcPr>
          <w:p w14:paraId="69E23AB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24.42</w:t>
            </w:r>
          </w:p>
        </w:tc>
        <w:tc>
          <w:tcPr>
            <w:tcW w:w="437" w:type="pct"/>
            <w:tcBorders>
              <w:top w:val="nil"/>
              <w:left w:val="nil"/>
              <w:bottom w:val="nil"/>
              <w:right w:val="nil"/>
            </w:tcBorders>
            <w:vAlign w:val="center"/>
            <w:hideMark/>
          </w:tcPr>
          <w:p w14:paraId="26F43F5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8.70</w:t>
            </w:r>
          </w:p>
        </w:tc>
        <w:tc>
          <w:tcPr>
            <w:tcW w:w="466" w:type="pct"/>
            <w:tcBorders>
              <w:top w:val="nil"/>
              <w:left w:val="nil"/>
              <w:bottom w:val="nil"/>
              <w:right w:val="nil"/>
            </w:tcBorders>
            <w:vAlign w:val="center"/>
            <w:hideMark/>
          </w:tcPr>
          <w:p w14:paraId="032E24C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15.00</w:t>
            </w:r>
          </w:p>
        </w:tc>
        <w:tc>
          <w:tcPr>
            <w:tcW w:w="669" w:type="pct"/>
            <w:tcBorders>
              <w:top w:val="nil"/>
              <w:left w:val="nil"/>
              <w:bottom w:val="nil"/>
              <w:right w:val="nil"/>
            </w:tcBorders>
            <w:vAlign w:val="center"/>
            <w:hideMark/>
          </w:tcPr>
          <w:p w14:paraId="1C44AC2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5.63</w:t>
            </w:r>
          </w:p>
        </w:tc>
        <w:tc>
          <w:tcPr>
            <w:tcW w:w="493" w:type="pct"/>
            <w:tcBorders>
              <w:top w:val="nil"/>
              <w:left w:val="nil"/>
              <w:bottom w:val="nil"/>
              <w:right w:val="nil"/>
            </w:tcBorders>
            <w:vAlign w:val="center"/>
            <w:hideMark/>
          </w:tcPr>
          <w:p w14:paraId="118DE656"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9.76</w:t>
            </w:r>
          </w:p>
        </w:tc>
        <w:tc>
          <w:tcPr>
            <w:tcW w:w="458" w:type="pct"/>
            <w:tcBorders>
              <w:top w:val="nil"/>
              <w:left w:val="nil"/>
              <w:bottom w:val="nil"/>
              <w:right w:val="nil"/>
            </w:tcBorders>
            <w:vAlign w:val="center"/>
            <w:hideMark/>
          </w:tcPr>
          <w:p w14:paraId="0BCA2D4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12.18</w:t>
            </w:r>
          </w:p>
        </w:tc>
        <w:tc>
          <w:tcPr>
            <w:tcW w:w="539" w:type="pct"/>
            <w:tcBorders>
              <w:top w:val="nil"/>
              <w:left w:val="nil"/>
              <w:bottom w:val="nil"/>
              <w:right w:val="nil"/>
            </w:tcBorders>
            <w:vAlign w:val="center"/>
            <w:hideMark/>
          </w:tcPr>
          <w:p w14:paraId="663729C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15.71</w:t>
            </w:r>
          </w:p>
        </w:tc>
      </w:tr>
      <w:tr w:rsidR="00F55539" w:rsidRPr="00E71565" w14:paraId="51901343" w14:textId="77777777" w:rsidTr="00F55539">
        <w:trPr>
          <w:trHeight w:val="315"/>
        </w:trPr>
        <w:tc>
          <w:tcPr>
            <w:tcW w:w="360" w:type="pct"/>
            <w:tcBorders>
              <w:top w:val="nil"/>
              <w:left w:val="nil"/>
              <w:bottom w:val="nil"/>
              <w:right w:val="nil"/>
            </w:tcBorders>
            <w:vAlign w:val="center"/>
            <w:hideMark/>
          </w:tcPr>
          <w:p w14:paraId="59736A4F"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2022</w:t>
            </w:r>
          </w:p>
        </w:tc>
        <w:tc>
          <w:tcPr>
            <w:tcW w:w="535" w:type="pct"/>
            <w:tcBorders>
              <w:top w:val="nil"/>
              <w:left w:val="nil"/>
              <w:bottom w:val="nil"/>
              <w:right w:val="nil"/>
            </w:tcBorders>
            <w:vAlign w:val="center"/>
            <w:hideMark/>
          </w:tcPr>
          <w:p w14:paraId="3BC23922"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2.29</w:t>
            </w:r>
          </w:p>
        </w:tc>
        <w:tc>
          <w:tcPr>
            <w:tcW w:w="521" w:type="pct"/>
            <w:tcBorders>
              <w:top w:val="nil"/>
              <w:left w:val="nil"/>
              <w:bottom w:val="nil"/>
              <w:right w:val="nil"/>
            </w:tcBorders>
            <w:vAlign w:val="center"/>
            <w:hideMark/>
          </w:tcPr>
          <w:p w14:paraId="25169E6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2.48</w:t>
            </w:r>
          </w:p>
        </w:tc>
        <w:tc>
          <w:tcPr>
            <w:tcW w:w="522" w:type="pct"/>
            <w:tcBorders>
              <w:top w:val="nil"/>
              <w:left w:val="nil"/>
              <w:bottom w:val="nil"/>
              <w:right w:val="nil"/>
            </w:tcBorders>
            <w:vAlign w:val="center"/>
            <w:hideMark/>
          </w:tcPr>
          <w:p w14:paraId="6FC8839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2.80</w:t>
            </w:r>
          </w:p>
        </w:tc>
        <w:tc>
          <w:tcPr>
            <w:tcW w:w="437" w:type="pct"/>
            <w:tcBorders>
              <w:top w:val="nil"/>
              <w:left w:val="nil"/>
              <w:bottom w:val="nil"/>
              <w:right w:val="nil"/>
            </w:tcBorders>
            <w:vAlign w:val="center"/>
            <w:hideMark/>
          </w:tcPr>
          <w:p w14:paraId="7A6D9A2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8.00</w:t>
            </w:r>
          </w:p>
        </w:tc>
        <w:tc>
          <w:tcPr>
            <w:tcW w:w="466" w:type="pct"/>
            <w:tcBorders>
              <w:top w:val="nil"/>
              <w:left w:val="nil"/>
              <w:bottom w:val="nil"/>
              <w:right w:val="nil"/>
            </w:tcBorders>
            <w:vAlign w:val="center"/>
            <w:hideMark/>
          </w:tcPr>
          <w:p w14:paraId="59BF1FD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2.17</w:t>
            </w:r>
          </w:p>
        </w:tc>
        <w:tc>
          <w:tcPr>
            <w:tcW w:w="669" w:type="pct"/>
            <w:tcBorders>
              <w:top w:val="nil"/>
              <w:left w:val="nil"/>
              <w:bottom w:val="nil"/>
              <w:right w:val="nil"/>
            </w:tcBorders>
            <w:vAlign w:val="center"/>
            <w:hideMark/>
          </w:tcPr>
          <w:p w14:paraId="1435169B"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11.83</w:t>
            </w:r>
          </w:p>
        </w:tc>
        <w:tc>
          <w:tcPr>
            <w:tcW w:w="493" w:type="pct"/>
            <w:tcBorders>
              <w:top w:val="nil"/>
              <w:left w:val="nil"/>
              <w:bottom w:val="nil"/>
              <w:right w:val="nil"/>
            </w:tcBorders>
            <w:vAlign w:val="center"/>
            <w:hideMark/>
          </w:tcPr>
          <w:p w14:paraId="53B1052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6.11</w:t>
            </w:r>
          </w:p>
        </w:tc>
        <w:tc>
          <w:tcPr>
            <w:tcW w:w="458" w:type="pct"/>
            <w:tcBorders>
              <w:top w:val="nil"/>
              <w:left w:val="nil"/>
              <w:bottom w:val="nil"/>
              <w:right w:val="nil"/>
            </w:tcBorders>
            <w:vAlign w:val="center"/>
            <w:hideMark/>
          </w:tcPr>
          <w:p w14:paraId="4920C3D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1.71</w:t>
            </w:r>
          </w:p>
        </w:tc>
        <w:tc>
          <w:tcPr>
            <w:tcW w:w="539" w:type="pct"/>
            <w:tcBorders>
              <w:top w:val="nil"/>
              <w:left w:val="nil"/>
              <w:bottom w:val="nil"/>
              <w:right w:val="nil"/>
            </w:tcBorders>
            <w:vAlign w:val="center"/>
            <w:hideMark/>
          </w:tcPr>
          <w:p w14:paraId="09064BA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3.29</w:t>
            </w:r>
          </w:p>
        </w:tc>
      </w:tr>
      <w:tr w:rsidR="00F55539" w:rsidRPr="00E71565" w14:paraId="06BABB53" w14:textId="77777777" w:rsidTr="00F55539">
        <w:trPr>
          <w:trHeight w:val="315"/>
        </w:trPr>
        <w:tc>
          <w:tcPr>
            <w:tcW w:w="360" w:type="pct"/>
            <w:tcBorders>
              <w:top w:val="nil"/>
              <w:left w:val="nil"/>
              <w:bottom w:val="nil"/>
              <w:right w:val="nil"/>
            </w:tcBorders>
            <w:vAlign w:val="center"/>
            <w:hideMark/>
          </w:tcPr>
          <w:p w14:paraId="1F3FDEE3"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2023</w:t>
            </w:r>
          </w:p>
        </w:tc>
        <w:tc>
          <w:tcPr>
            <w:tcW w:w="535" w:type="pct"/>
            <w:tcBorders>
              <w:top w:val="nil"/>
              <w:left w:val="nil"/>
              <w:bottom w:val="nil"/>
              <w:right w:val="nil"/>
            </w:tcBorders>
            <w:vAlign w:val="center"/>
            <w:hideMark/>
          </w:tcPr>
          <w:p w14:paraId="7056735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2.56</w:t>
            </w:r>
          </w:p>
        </w:tc>
        <w:tc>
          <w:tcPr>
            <w:tcW w:w="521" w:type="pct"/>
            <w:tcBorders>
              <w:top w:val="nil"/>
              <w:left w:val="nil"/>
              <w:bottom w:val="nil"/>
              <w:right w:val="nil"/>
            </w:tcBorders>
            <w:vAlign w:val="center"/>
            <w:hideMark/>
          </w:tcPr>
          <w:p w14:paraId="3F94D33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7.75</w:t>
            </w:r>
          </w:p>
        </w:tc>
        <w:tc>
          <w:tcPr>
            <w:tcW w:w="522" w:type="pct"/>
            <w:tcBorders>
              <w:top w:val="nil"/>
              <w:left w:val="nil"/>
              <w:bottom w:val="nil"/>
              <w:right w:val="nil"/>
            </w:tcBorders>
            <w:vAlign w:val="center"/>
            <w:hideMark/>
          </w:tcPr>
          <w:p w14:paraId="4B7888D3"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0.69</w:t>
            </w:r>
          </w:p>
        </w:tc>
        <w:tc>
          <w:tcPr>
            <w:tcW w:w="437" w:type="pct"/>
            <w:tcBorders>
              <w:top w:val="nil"/>
              <w:left w:val="nil"/>
              <w:bottom w:val="nil"/>
              <w:right w:val="nil"/>
            </w:tcBorders>
            <w:vAlign w:val="center"/>
            <w:hideMark/>
          </w:tcPr>
          <w:p w14:paraId="6A25F34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4.77</w:t>
            </w:r>
          </w:p>
        </w:tc>
        <w:tc>
          <w:tcPr>
            <w:tcW w:w="466" w:type="pct"/>
            <w:tcBorders>
              <w:top w:val="nil"/>
              <w:left w:val="nil"/>
              <w:bottom w:val="nil"/>
              <w:right w:val="nil"/>
            </w:tcBorders>
            <w:vAlign w:val="center"/>
            <w:hideMark/>
          </w:tcPr>
          <w:p w14:paraId="4CF392F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5.34</w:t>
            </w:r>
          </w:p>
        </w:tc>
        <w:tc>
          <w:tcPr>
            <w:tcW w:w="669" w:type="pct"/>
            <w:tcBorders>
              <w:top w:val="nil"/>
              <w:left w:val="nil"/>
              <w:bottom w:val="nil"/>
              <w:right w:val="nil"/>
            </w:tcBorders>
            <w:vAlign w:val="center"/>
            <w:hideMark/>
          </w:tcPr>
          <w:p w14:paraId="375AA85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4.74</w:t>
            </w:r>
          </w:p>
        </w:tc>
        <w:tc>
          <w:tcPr>
            <w:tcW w:w="493" w:type="pct"/>
            <w:tcBorders>
              <w:top w:val="nil"/>
              <w:left w:val="nil"/>
              <w:bottom w:val="nil"/>
              <w:right w:val="nil"/>
            </w:tcBorders>
            <w:vAlign w:val="center"/>
            <w:hideMark/>
          </w:tcPr>
          <w:p w14:paraId="2BF9B0F5"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1.50</w:t>
            </w:r>
          </w:p>
        </w:tc>
        <w:tc>
          <w:tcPr>
            <w:tcW w:w="458" w:type="pct"/>
            <w:tcBorders>
              <w:top w:val="nil"/>
              <w:left w:val="nil"/>
              <w:bottom w:val="nil"/>
              <w:right w:val="nil"/>
            </w:tcBorders>
            <w:vAlign w:val="center"/>
            <w:hideMark/>
          </w:tcPr>
          <w:p w14:paraId="2506712F"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5.37</w:t>
            </w:r>
          </w:p>
        </w:tc>
        <w:tc>
          <w:tcPr>
            <w:tcW w:w="539" w:type="pct"/>
            <w:tcBorders>
              <w:top w:val="nil"/>
              <w:left w:val="nil"/>
              <w:bottom w:val="nil"/>
              <w:right w:val="nil"/>
            </w:tcBorders>
            <w:vAlign w:val="center"/>
            <w:hideMark/>
          </w:tcPr>
          <w:p w14:paraId="0330EB2C"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5.62</w:t>
            </w:r>
          </w:p>
        </w:tc>
      </w:tr>
      <w:tr w:rsidR="00F55539" w:rsidRPr="00E71565" w14:paraId="743B36BF" w14:textId="77777777" w:rsidTr="00F55539">
        <w:trPr>
          <w:trHeight w:val="315"/>
        </w:trPr>
        <w:tc>
          <w:tcPr>
            <w:tcW w:w="360" w:type="pct"/>
            <w:tcBorders>
              <w:top w:val="nil"/>
              <w:left w:val="nil"/>
              <w:bottom w:val="nil"/>
              <w:right w:val="nil"/>
            </w:tcBorders>
            <w:vAlign w:val="center"/>
            <w:hideMark/>
          </w:tcPr>
          <w:p w14:paraId="44B10571"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2024</w:t>
            </w:r>
          </w:p>
        </w:tc>
        <w:tc>
          <w:tcPr>
            <w:tcW w:w="535" w:type="pct"/>
            <w:tcBorders>
              <w:top w:val="nil"/>
              <w:left w:val="nil"/>
              <w:bottom w:val="nil"/>
              <w:right w:val="nil"/>
            </w:tcBorders>
            <w:vAlign w:val="center"/>
            <w:hideMark/>
          </w:tcPr>
          <w:p w14:paraId="562AA9E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0.67</w:t>
            </w:r>
          </w:p>
        </w:tc>
        <w:tc>
          <w:tcPr>
            <w:tcW w:w="521" w:type="pct"/>
            <w:tcBorders>
              <w:top w:val="nil"/>
              <w:left w:val="nil"/>
              <w:bottom w:val="nil"/>
              <w:right w:val="nil"/>
            </w:tcBorders>
            <w:vAlign w:val="center"/>
            <w:hideMark/>
          </w:tcPr>
          <w:p w14:paraId="3DC559D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1.62</w:t>
            </w:r>
          </w:p>
        </w:tc>
        <w:tc>
          <w:tcPr>
            <w:tcW w:w="522" w:type="pct"/>
            <w:tcBorders>
              <w:top w:val="nil"/>
              <w:left w:val="nil"/>
              <w:bottom w:val="nil"/>
              <w:right w:val="nil"/>
            </w:tcBorders>
            <w:vAlign w:val="center"/>
            <w:hideMark/>
          </w:tcPr>
          <w:p w14:paraId="5713584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0.96</w:t>
            </w:r>
          </w:p>
        </w:tc>
        <w:tc>
          <w:tcPr>
            <w:tcW w:w="437" w:type="pct"/>
            <w:tcBorders>
              <w:top w:val="nil"/>
              <w:left w:val="nil"/>
              <w:bottom w:val="nil"/>
              <w:right w:val="nil"/>
            </w:tcBorders>
            <w:vAlign w:val="center"/>
            <w:hideMark/>
          </w:tcPr>
          <w:p w14:paraId="1C2F76B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7.71</w:t>
            </w:r>
          </w:p>
        </w:tc>
        <w:tc>
          <w:tcPr>
            <w:tcW w:w="466" w:type="pct"/>
            <w:tcBorders>
              <w:top w:val="nil"/>
              <w:left w:val="nil"/>
              <w:bottom w:val="nil"/>
              <w:right w:val="nil"/>
            </w:tcBorders>
            <w:vAlign w:val="center"/>
            <w:hideMark/>
          </w:tcPr>
          <w:p w14:paraId="63E9FDC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8.56</w:t>
            </w:r>
          </w:p>
        </w:tc>
        <w:tc>
          <w:tcPr>
            <w:tcW w:w="669" w:type="pct"/>
            <w:tcBorders>
              <w:top w:val="nil"/>
              <w:left w:val="nil"/>
              <w:bottom w:val="nil"/>
              <w:right w:val="nil"/>
            </w:tcBorders>
            <w:vAlign w:val="center"/>
            <w:hideMark/>
          </w:tcPr>
          <w:p w14:paraId="22BAB1F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2.47</w:t>
            </w:r>
          </w:p>
        </w:tc>
        <w:tc>
          <w:tcPr>
            <w:tcW w:w="493" w:type="pct"/>
            <w:tcBorders>
              <w:top w:val="nil"/>
              <w:left w:val="nil"/>
              <w:bottom w:val="nil"/>
              <w:right w:val="nil"/>
            </w:tcBorders>
            <w:vAlign w:val="center"/>
            <w:hideMark/>
          </w:tcPr>
          <w:p w14:paraId="6F48FF7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4.77</w:t>
            </w:r>
          </w:p>
        </w:tc>
        <w:tc>
          <w:tcPr>
            <w:tcW w:w="458" w:type="pct"/>
            <w:tcBorders>
              <w:top w:val="nil"/>
              <w:left w:val="nil"/>
              <w:bottom w:val="nil"/>
              <w:right w:val="nil"/>
            </w:tcBorders>
            <w:vAlign w:val="center"/>
            <w:hideMark/>
          </w:tcPr>
          <w:p w14:paraId="5E7CF8FA"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4.31</w:t>
            </w:r>
          </w:p>
        </w:tc>
        <w:tc>
          <w:tcPr>
            <w:tcW w:w="539" w:type="pct"/>
            <w:tcBorders>
              <w:top w:val="nil"/>
              <w:left w:val="nil"/>
              <w:bottom w:val="nil"/>
              <w:right w:val="nil"/>
            </w:tcBorders>
            <w:vAlign w:val="center"/>
            <w:hideMark/>
          </w:tcPr>
          <w:p w14:paraId="7B68882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5.95</w:t>
            </w:r>
          </w:p>
        </w:tc>
      </w:tr>
      <w:tr w:rsidR="00F55539" w:rsidRPr="00E71565" w14:paraId="17106EDB" w14:textId="77777777" w:rsidTr="00F55539">
        <w:trPr>
          <w:trHeight w:val="315"/>
        </w:trPr>
        <w:tc>
          <w:tcPr>
            <w:tcW w:w="360" w:type="pct"/>
            <w:tcBorders>
              <w:top w:val="nil"/>
              <w:left w:val="nil"/>
              <w:bottom w:val="single" w:sz="4" w:space="0" w:color="auto"/>
              <w:right w:val="nil"/>
            </w:tcBorders>
            <w:vAlign w:val="center"/>
            <w:hideMark/>
          </w:tcPr>
          <w:p w14:paraId="1EB038CC" w14:textId="77777777" w:rsidR="00F55539" w:rsidRPr="00E71565" w:rsidRDefault="00F55539" w:rsidP="005F2532">
            <w:pPr>
              <w:spacing w:after="0" w:line="240" w:lineRule="auto"/>
              <w:jc w:val="both"/>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2025</w:t>
            </w:r>
          </w:p>
        </w:tc>
        <w:tc>
          <w:tcPr>
            <w:tcW w:w="535" w:type="pct"/>
            <w:tcBorders>
              <w:top w:val="nil"/>
              <w:left w:val="nil"/>
              <w:bottom w:val="single" w:sz="4" w:space="0" w:color="auto"/>
              <w:right w:val="nil"/>
            </w:tcBorders>
            <w:vAlign w:val="center"/>
            <w:hideMark/>
          </w:tcPr>
          <w:p w14:paraId="697FA3E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2.17</w:t>
            </w:r>
          </w:p>
        </w:tc>
        <w:tc>
          <w:tcPr>
            <w:tcW w:w="521" w:type="pct"/>
            <w:tcBorders>
              <w:top w:val="nil"/>
              <w:left w:val="nil"/>
              <w:bottom w:val="single" w:sz="4" w:space="0" w:color="auto"/>
              <w:right w:val="nil"/>
            </w:tcBorders>
            <w:vAlign w:val="center"/>
            <w:hideMark/>
          </w:tcPr>
          <w:p w14:paraId="60BECA4D"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0.49</w:t>
            </w:r>
          </w:p>
        </w:tc>
        <w:tc>
          <w:tcPr>
            <w:tcW w:w="522" w:type="pct"/>
            <w:tcBorders>
              <w:top w:val="nil"/>
              <w:left w:val="nil"/>
              <w:bottom w:val="single" w:sz="4" w:space="0" w:color="auto"/>
              <w:right w:val="nil"/>
            </w:tcBorders>
            <w:vAlign w:val="center"/>
            <w:hideMark/>
          </w:tcPr>
          <w:p w14:paraId="1263C47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1.11</w:t>
            </w:r>
          </w:p>
        </w:tc>
        <w:tc>
          <w:tcPr>
            <w:tcW w:w="437" w:type="pct"/>
            <w:tcBorders>
              <w:top w:val="nil"/>
              <w:left w:val="nil"/>
              <w:bottom w:val="single" w:sz="4" w:space="0" w:color="auto"/>
              <w:right w:val="nil"/>
            </w:tcBorders>
            <w:vAlign w:val="center"/>
            <w:hideMark/>
          </w:tcPr>
          <w:p w14:paraId="1874D091"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10.06</w:t>
            </w:r>
          </w:p>
        </w:tc>
        <w:tc>
          <w:tcPr>
            <w:tcW w:w="466" w:type="pct"/>
            <w:tcBorders>
              <w:top w:val="nil"/>
              <w:left w:val="nil"/>
              <w:bottom w:val="single" w:sz="4" w:space="0" w:color="auto"/>
              <w:right w:val="nil"/>
            </w:tcBorders>
            <w:vAlign w:val="center"/>
            <w:hideMark/>
          </w:tcPr>
          <w:p w14:paraId="5471FB2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8.61</w:t>
            </w:r>
          </w:p>
        </w:tc>
        <w:tc>
          <w:tcPr>
            <w:tcW w:w="669" w:type="pct"/>
            <w:tcBorders>
              <w:top w:val="nil"/>
              <w:left w:val="nil"/>
              <w:bottom w:val="single" w:sz="4" w:space="0" w:color="auto"/>
              <w:right w:val="nil"/>
            </w:tcBorders>
            <w:vAlign w:val="center"/>
            <w:hideMark/>
          </w:tcPr>
          <w:p w14:paraId="33BCF504"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6.05</w:t>
            </w:r>
          </w:p>
        </w:tc>
        <w:tc>
          <w:tcPr>
            <w:tcW w:w="493" w:type="pct"/>
            <w:tcBorders>
              <w:top w:val="nil"/>
              <w:left w:val="nil"/>
              <w:bottom w:val="single" w:sz="4" w:space="0" w:color="auto"/>
              <w:right w:val="nil"/>
            </w:tcBorders>
            <w:vAlign w:val="center"/>
            <w:hideMark/>
          </w:tcPr>
          <w:p w14:paraId="731058DE"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4.60</w:t>
            </w:r>
          </w:p>
        </w:tc>
        <w:tc>
          <w:tcPr>
            <w:tcW w:w="458" w:type="pct"/>
            <w:tcBorders>
              <w:top w:val="nil"/>
              <w:left w:val="nil"/>
              <w:bottom w:val="single" w:sz="4" w:space="0" w:color="auto"/>
              <w:right w:val="nil"/>
            </w:tcBorders>
            <w:vAlign w:val="center"/>
            <w:hideMark/>
          </w:tcPr>
          <w:p w14:paraId="552E2240"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9.53</w:t>
            </w:r>
          </w:p>
        </w:tc>
        <w:tc>
          <w:tcPr>
            <w:tcW w:w="539" w:type="pct"/>
            <w:tcBorders>
              <w:top w:val="nil"/>
              <w:left w:val="nil"/>
              <w:bottom w:val="single" w:sz="4" w:space="0" w:color="auto"/>
              <w:right w:val="nil"/>
            </w:tcBorders>
            <w:vAlign w:val="center"/>
            <w:hideMark/>
          </w:tcPr>
          <w:p w14:paraId="65E4D6C7" w14:textId="77777777" w:rsidR="00F55539" w:rsidRPr="00E71565" w:rsidRDefault="00F55539" w:rsidP="005F2532">
            <w:pPr>
              <w:spacing w:after="0" w:line="240" w:lineRule="auto"/>
              <w:jc w:val="center"/>
              <w:rPr>
                <w:rFonts w:ascii="Times New Roman" w:eastAsia="Times New Roman" w:hAnsi="Times New Roman" w:cs="Times New Roman"/>
                <w:color w:val="000000"/>
                <w:sz w:val="20"/>
                <w:szCs w:val="20"/>
              </w:rPr>
            </w:pPr>
            <w:r w:rsidRPr="00E71565">
              <w:rPr>
                <w:rFonts w:ascii="Times New Roman" w:eastAsia="Times New Roman" w:hAnsi="Times New Roman" w:cs="Times New Roman"/>
                <w:color w:val="000000"/>
                <w:sz w:val="20"/>
                <w:szCs w:val="20"/>
              </w:rPr>
              <w:t>5.85</w:t>
            </w:r>
          </w:p>
        </w:tc>
      </w:tr>
    </w:tbl>
    <w:p w14:paraId="2771C222" w14:textId="77777777" w:rsidR="00F55539" w:rsidRPr="00E71565" w:rsidRDefault="00F55539" w:rsidP="00F55539">
      <w:pPr>
        <w:spacing w:line="240" w:lineRule="auto"/>
        <w:ind w:left="66"/>
        <w:jc w:val="both"/>
        <w:rPr>
          <w:rFonts w:ascii="Times New Roman" w:hAnsi="Times New Roman" w:cs="Times New Roman"/>
          <w:bCs/>
          <w:sz w:val="24"/>
          <w:szCs w:val="24"/>
        </w:rPr>
      </w:pPr>
      <w:r w:rsidRPr="00E71565">
        <w:rPr>
          <w:rFonts w:ascii="Times New Roman" w:hAnsi="Times New Roman" w:cs="Times New Roman"/>
          <w:bCs/>
          <w:sz w:val="24"/>
          <w:szCs w:val="24"/>
        </w:rPr>
        <w:t xml:space="preserve">Source: Researcher’s Analysis </w:t>
      </w:r>
    </w:p>
    <w:p w14:paraId="5231617A" w14:textId="26EC7E2E" w:rsidR="00F55539" w:rsidRPr="00E71565" w:rsidRDefault="00F55539" w:rsidP="00F55539">
      <w:pPr>
        <w:spacing w:line="240" w:lineRule="auto"/>
        <w:ind w:left="66"/>
        <w:jc w:val="both"/>
        <w:rPr>
          <w:rFonts w:ascii="Times New Roman" w:hAnsi="Times New Roman" w:cs="Times New Roman"/>
          <w:bCs/>
          <w:sz w:val="24"/>
          <w:szCs w:val="24"/>
        </w:rPr>
      </w:pPr>
      <w:r w:rsidRPr="00E71565">
        <w:rPr>
          <w:rFonts w:ascii="Times New Roman" w:hAnsi="Times New Roman" w:cs="Times New Roman"/>
          <w:bCs/>
          <w:sz w:val="24"/>
          <w:szCs w:val="24"/>
        </w:rPr>
        <w:t xml:space="preserve">The empirical study shows that the growth rates in rental are quite heterogeneous between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as well as between types of property, and not a steady upward trend. </w:t>
      </w:r>
      <w:r w:rsidR="00B15F6B" w:rsidRPr="00E71565">
        <w:rPr>
          <w:rFonts w:ascii="Times New Roman" w:hAnsi="Times New Roman" w:cs="Times New Roman"/>
          <w:bCs/>
          <w:sz w:val="24"/>
          <w:szCs w:val="24"/>
        </w:rPr>
        <w:t>As showed in Table 8 i</w:t>
      </w:r>
      <w:r w:rsidRPr="00E71565">
        <w:rPr>
          <w:rFonts w:ascii="Times New Roman" w:hAnsi="Times New Roman" w:cs="Times New Roman"/>
          <w:bCs/>
          <w:sz w:val="24"/>
          <w:szCs w:val="24"/>
        </w:rPr>
        <w:t xml:space="preserve">n self-contained units,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had the highest percentage increase in 2016 (39.29%) with </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bCs/>
          <w:sz w:val="24"/>
          <w:szCs w:val="24"/>
        </w:rPr>
        <w:t xml:space="preserve"> registering a commendable change in 2015 (27.91%). However, there were instances of the negative gro</w:t>
      </w:r>
      <w:r w:rsidR="00B15F6B" w:rsidRPr="00E71565">
        <w:rPr>
          <w:rFonts w:ascii="Times New Roman" w:hAnsi="Times New Roman" w:cs="Times New Roman"/>
          <w:bCs/>
          <w:sz w:val="24"/>
          <w:szCs w:val="24"/>
        </w:rPr>
        <w:t xml:space="preserve">wth, i.e., in </w:t>
      </w:r>
      <w:proofErr w:type="spellStart"/>
      <w:r w:rsidR="00B15F6B" w:rsidRPr="00E71565">
        <w:rPr>
          <w:rFonts w:ascii="Times New Roman" w:hAnsi="Times New Roman" w:cs="Times New Roman"/>
          <w:bCs/>
          <w:sz w:val="24"/>
          <w:szCs w:val="24"/>
        </w:rPr>
        <w:t>Fadikpe</w:t>
      </w:r>
      <w:proofErr w:type="spellEnd"/>
      <w:r w:rsidR="00B15F6B" w:rsidRPr="00E71565">
        <w:rPr>
          <w:rFonts w:ascii="Times New Roman" w:hAnsi="Times New Roman" w:cs="Times New Roman"/>
          <w:bCs/>
          <w:sz w:val="24"/>
          <w:szCs w:val="24"/>
        </w:rPr>
        <w:t xml:space="preserve"> in 2019 (</w:t>
      </w:r>
      <w:r w:rsidRPr="00E71565">
        <w:rPr>
          <w:rFonts w:ascii="Times New Roman" w:hAnsi="Times New Roman" w:cs="Times New Roman"/>
          <w:bCs/>
          <w:sz w:val="24"/>
          <w:szCs w:val="24"/>
        </w:rPr>
        <w:t>-3.29</w:t>
      </w:r>
      <w:r w:rsidR="00B15F6B" w:rsidRPr="00E71565">
        <w:rPr>
          <w:rFonts w:ascii="Times New Roman" w:hAnsi="Times New Roman" w:cs="Times New Roman"/>
          <w:bCs/>
          <w:sz w:val="24"/>
          <w:szCs w:val="24"/>
        </w:rPr>
        <w:t>%</w:t>
      </w:r>
      <w:r w:rsidRPr="00E71565">
        <w:rPr>
          <w:rFonts w:ascii="Times New Roman" w:hAnsi="Times New Roman" w:cs="Times New Roman"/>
          <w:bCs/>
          <w:sz w:val="24"/>
          <w:szCs w:val="24"/>
        </w:rPr>
        <w:t>), and tw</w:t>
      </w:r>
      <w:r w:rsidR="00B15F6B" w:rsidRPr="00E71565">
        <w:rPr>
          <w:rFonts w:ascii="Times New Roman" w:hAnsi="Times New Roman" w:cs="Times New Roman"/>
          <w:bCs/>
          <w:sz w:val="24"/>
          <w:szCs w:val="24"/>
        </w:rPr>
        <w:t>o-bedroom units there in 2015 (</w:t>
      </w:r>
      <w:r w:rsidRPr="00E71565">
        <w:rPr>
          <w:rFonts w:ascii="Times New Roman" w:hAnsi="Times New Roman" w:cs="Times New Roman"/>
          <w:bCs/>
          <w:sz w:val="24"/>
          <w:szCs w:val="24"/>
        </w:rPr>
        <w:t>-6.17</w:t>
      </w:r>
      <w:r w:rsidR="00B15F6B" w:rsidRPr="00E71565">
        <w:rPr>
          <w:rFonts w:ascii="Times New Roman" w:hAnsi="Times New Roman" w:cs="Times New Roman"/>
          <w:bCs/>
          <w:sz w:val="24"/>
          <w:szCs w:val="24"/>
        </w:rPr>
        <w:t>%</w:t>
      </w:r>
      <w:r w:rsidRPr="00E71565">
        <w:rPr>
          <w:rFonts w:ascii="Times New Roman" w:hAnsi="Times New Roman" w:cs="Times New Roman"/>
          <w:bCs/>
          <w:sz w:val="24"/>
          <w:szCs w:val="24"/>
        </w:rPr>
        <w:t xml:space="preserve">). The apartments with one bedroom also demonstrated a significant increase in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in 2017 (25.93%), as well as in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(15.00% in 2017; 24.32% in 2021). Two-bedroom apartments were the only ones that experienced moderately, yet steadily positive growth after 2016, with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experiencing regular growth increments between 2021 and 2025. Generally, the 2020-2025 year-range indicates a more stable and a more sustainable growth of the majority of the </w:t>
      </w:r>
      <w:proofErr w:type="spellStart"/>
      <w:r w:rsidRPr="00E71565">
        <w:rPr>
          <w:rFonts w:ascii="Times New Roman" w:hAnsi="Times New Roman" w:cs="Times New Roman"/>
          <w:bCs/>
          <w:sz w:val="24"/>
          <w:szCs w:val="24"/>
        </w:rPr>
        <w:t>neighbourhoods</w:t>
      </w:r>
      <w:proofErr w:type="spellEnd"/>
      <w:r w:rsidRPr="00E71565">
        <w:rPr>
          <w:rFonts w:ascii="Times New Roman" w:hAnsi="Times New Roman" w:cs="Times New Roman"/>
          <w:bCs/>
          <w:sz w:val="24"/>
          <w:szCs w:val="24"/>
        </w:rPr>
        <w:t xml:space="preserve"> and property type in the year-range.</w:t>
      </w:r>
    </w:p>
    <w:p w14:paraId="4B7557F7" w14:textId="066E327B" w:rsidR="00F55539" w:rsidRPr="00E71565" w:rsidRDefault="00F55539" w:rsidP="00F55539">
      <w:pPr>
        <w:spacing w:line="240" w:lineRule="auto"/>
        <w:ind w:left="66"/>
        <w:jc w:val="both"/>
        <w:rPr>
          <w:rFonts w:ascii="Times New Roman" w:hAnsi="Times New Roman" w:cs="Times New Roman"/>
          <w:bCs/>
          <w:sz w:val="24"/>
          <w:szCs w:val="24"/>
        </w:rPr>
      </w:pPr>
      <w:r w:rsidRPr="00E71565">
        <w:rPr>
          <w:rFonts w:ascii="Times New Roman" w:hAnsi="Times New Roman" w:cs="Times New Roman"/>
          <w:bCs/>
          <w:sz w:val="24"/>
          <w:szCs w:val="24"/>
        </w:rPr>
        <w:t xml:space="preserve">In the case of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xml:space="preserve">, the rental market has been shown to be very dynamic and acutely sensitive to </w:t>
      </w:r>
      <w:proofErr w:type="spellStart"/>
      <w:r w:rsidRPr="00E71565">
        <w:rPr>
          <w:rFonts w:ascii="Times New Roman" w:hAnsi="Times New Roman" w:cs="Times New Roman"/>
          <w:bCs/>
          <w:sz w:val="24"/>
          <w:szCs w:val="24"/>
        </w:rPr>
        <w:t>neighbourhood</w:t>
      </w:r>
      <w:proofErr w:type="spellEnd"/>
      <w:r w:rsidRPr="00E71565">
        <w:rPr>
          <w:rFonts w:ascii="Times New Roman" w:hAnsi="Times New Roman" w:cs="Times New Roman"/>
          <w:bCs/>
          <w:sz w:val="24"/>
          <w:szCs w:val="24"/>
        </w:rPr>
        <w:t>-specific conditions. The unpredictability that has been experienced in the previous years is an indicator of sensitivity to local economic dynamics, housing supply facts, infrastructural development, and possibly security-relate</w:t>
      </w:r>
      <w:r w:rsidR="00B15F6B" w:rsidRPr="00E71565">
        <w:rPr>
          <w:rFonts w:ascii="Times New Roman" w:hAnsi="Times New Roman" w:cs="Times New Roman"/>
          <w:bCs/>
          <w:sz w:val="24"/>
          <w:szCs w:val="24"/>
        </w:rPr>
        <w:t xml:space="preserve">d factors. The fact that </w:t>
      </w:r>
      <w:proofErr w:type="spellStart"/>
      <w:r w:rsidR="00B15F6B" w:rsidRPr="00E71565">
        <w:rPr>
          <w:rFonts w:ascii="Times New Roman" w:hAnsi="Times New Roman" w:cs="Times New Roman"/>
          <w:bCs/>
          <w:sz w:val="24"/>
          <w:szCs w:val="24"/>
        </w:rPr>
        <w:t>Bosso</w:t>
      </w:r>
      <w:proofErr w:type="spellEnd"/>
      <w:r w:rsidR="00B15F6B" w:rsidRPr="00E71565">
        <w:rPr>
          <w:rFonts w:ascii="Times New Roman" w:hAnsi="Times New Roman" w:cs="Times New Roman"/>
          <w:bCs/>
          <w:sz w:val="24"/>
          <w:szCs w:val="24"/>
        </w:rPr>
        <w:t xml:space="preserve"> </w:t>
      </w:r>
      <w:r w:rsidRPr="00E71565">
        <w:rPr>
          <w:rFonts w:ascii="Times New Roman" w:hAnsi="Times New Roman" w:cs="Times New Roman"/>
          <w:bCs/>
          <w:sz w:val="24"/>
          <w:szCs w:val="24"/>
        </w:rPr>
        <w:t xml:space="preserve">Estate has higher and more stable growth rates confirms its position as a rather stable and high-demand residential enclave. At the same time, the improvement in the growth performance of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and </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bCs/>
          <w:sz w:val="24"/>
          <w:szCs w:val="24"/>
        </w:rPr>
        <w:t xml:space="preserve"> in the following years could be a measure of progressive urbanization and increasing housing needs in different density areas.</w:t>
      </w:r>
    </w:p>
    <w:p w14:paraId="6FBC85FB" w14:textId="2B7D9576" w:rsidR="00F55539" w:rsidRPr="00E71565" w:rsidRDefault="00F55539" w:rsidP="00F55539">
      <w:pPr>
        <w:spacing w:line="240" w:lineRule="auto"/>
        <w:ind w:left="66"/>
        <w:jc w:val="both"/>
        <w:rPr>
          <w:rFonts w:ascii="Times New Roman" w:hAnsi="Times New Roman" w:cs="Times New Roman"/>
          <w:bCs/>
          <w:sz w:val="24"/>
          <w:szCs w:val="24"/>
        </w:rPr>
      </w:pPr>
      <w:r w:rsidRPr="00E71565">
        <w:rPr>
          <w:rFonts w:ascii="Times New Roman" w:hAnsi="Times New Roman" w:cs="Times New Roman"/>
          <w:bCs/>
          <w:sz w:val="24"/>
          <w:szCs w:val="24"/>
        </w:rPr>
        <w:lastRenderedPageBreak/>
        <w:t xml:space="preserve">Using the rental growth rate formula presented in the previous section, the rental growth of residential properties types across the selected </w:t>
      </w:r>
      <w:proofErr w:type="spellStart"/>
      <w:r w:rsidRPr="00E71565">
        <w:rPr>
          <w:rFonts w:ascii="Times New Roman" w:hAnsi="Times New Roman" w:cs="Times New Roman"/>
          <w:bCs/>
          <w:sz w:val="24"/>
          <w:szCs w:val="24"/>
        </w:rPr>
        <w:t>neighbourhood</w:t>
      </w:r>
      <w:proofErr w:type="spellEnd"/>
      <w:r w:rsidRPr="00E71565">
        <w:rPr>
          <w:rFonts w:ascii="Times New Roman" w:hAnsi="Times New Roman" w:cs="Times New Roman"/>
          <w:bCs/>
          <w:sz w:val="24"/>
          <w:szCs w:val="24"/>
        </w:rPr>
        <w:t xml:space="preserve"> was calculated from Table 7</w:t>
      </w:r>
      <w:r w:rsidR="00B15F6B" w:rsidRPr="00E71565">
        <w:rPr>
          <w:rFonts w:ascii="Times New Roman" w:hAnsi="Times New Roman" w:cs="Times New Roman"/>
          <w:bCs/>
          <w:sz w:val="24"/>
          <w:szCs w:val="24"/>
        </w:rPr>
        <w:t xml:space="preserve"> in order to produce T</w:t>
      </w:r>
      <w:r w:rsidRPr="00E71565">
        <w:rPr>
          <w:rFonts w:ascii="Times New Roman" w:hAnsi="Times New Roman" w:cs="Times New Roman"/>
          <w:bCs/>
          <w:sz w:val="24"/>
          <w:szCs w:val="24"/>
        </w:rPr>
        <w:t>able 8</w:t>
      </w:r>
      <w:r w:rsidR="0039122A" w:rsidRPr="00E71565">
        <w:rPr>
          <w:rFonts w:ascii="Times New Roman" w:hAnsi="Times New Roman" w:cs="Times New Roman"/>
          <w:bCs/>
          <w:sz w:val="24"/>
          <w:szCs w:val="24"/>
        </w:rPr>
        <w:t>, and these</w:t>
      </w:r>
      <w:r w:rsidRPr="00E71565">
        <w:rPr>
          <w:rFonts w:ascii="Times New Roman" w:hAnsi="Times New Roman" w:cs="Times New Roman"/>
          <w:bCs/>
          <w:sz w:val="24"/>
          <w:szCs w:val="24"/>
        </w:rPr>
        <w:t xml:space="preserve"> are graphically represented in </w:t>
      </w:r>
      <w:r w:rsidR="0039122A" w:rsidRPr="00E71565">
        <w:rPr>
          <w:rFonts w:ascii="Times New Roman" w:hAnsi="Times New Roman" w:cs="Times New Roman"/>
          <w:bCs/>
          <w:sz w:val="24"/>
          <w:szCs w:val="24"/>
        </w:rPr>
        <w:t>Fig</w:t>
      </w:r>
      <w:r w:rsidR="00B15F6B" w:rsidRPr="00E71565">
        <w:rPr>
          <w:rFonts w:ascii="Times New Roman" w:hAnsi="Times New Roman" w:cs="Times New Roman"/>
          <w:bCs/>
          <w:sz w:val="24"/>
          <w:szCs w:val="24"/>
        </w:rPr>
        <w:t xml:space="preserve"> 1 to 3</w:t>
      </w:r>
      <w:r w:rsidRPr="00E71565">
        <w:rPr>
          <w:rFonts w:ascii="Times New Roman" w:hAnsi="Times New Roman" w:cs="Times New Roman"/>
          <w:bCs/>
          <w:sz w:val="24"/>
          <w:szCs w:val="24"/>
        </w:rPr>
        <w:t xml:space="preserve"> below.</w:t>
      </w:r>
    </w:p>
    <w:p w14:paraId="496C0C2B" w14:textId="77777777" w:rsidR="00EF011F" w:rsidRDefault="00EF011F" w:rsidP="00F55539">
      <w:pPr>
        <w:spacing w:line="240" w:lineRule="auto"/>
        <w:ind w:left="66"/>
        <w:jc w:val="both"/>
        <w:rPr>
          <w:rFonts w:ascii="Times New Roman" w:hAnsi="Times New Roman" w:cs="Times New Roman"/>
          <w:bCs/>
          <w:sz w:val="24"/>
          <w:szCs w:val="24"/>
        </w:rPr>
      </w:pPr>
    </w:p>
    <w:p w14:paraId="2D2F66AA" w14:textId="77777777" w:rsidR="00E71565" w:rsidRDefault="00E71565" w:rsidP="00F55539">
      <w:pPr>
        <w:spacing w:line="240" w:lineRule="auto"/>
        <w:ind w:left="66"/>
        <w:jc w:val="both"/>
        <w:rPr>
          <w:rFonts w:ascii="Times New Roman" w:hAnsi="Times New Roman" w:cs="Times New Roman"/>
          <w:bCs/>
          <w:sz w:val="24"/>
          <w:szCs w:val="24"/>
        </w:rPr>
      </w:pPr>
    </w:p>
    <w:p w14:paraId="0E8245A7" w14:textId="77777777" w:rsidR="00E71565" w:rsidRDefault="00E71565" w:rsidP="00F55539">
      <w:pPr>
        <w:spacing w:line="240" w:lineRule="auto"/>
        <w:ind w:left="66"/>
        <w:jc w:val="both"/>
        <w:rPr>
          <w:rFonts w:ascii="Times New Roman" w:hAnsi="Times New Roman" w:cs="Times New Roman"/>
          <w:bCs/>
          <w:sz w:val="24"/>
          <w:szCs w:val="24"/>
        </w:rPr>
      </w:pPr>
    </w:p>
    <w:p w14:paraId="36B6CC7E" w14:textId="77777777" w:rsidR="00E71565" w:rsidRDefault="00E71565" w:rsidP="00F55539">
      <w:pPr>
        <w:spacing w:line="240" w:lineRule="auto"/>
        <w:ind w:left="66"/>
        <w:jc w:val="both"/>
        <w:rPr>
          <w:rFonts w:ascii="Times New Roman" w:hAnsi="Times New Roman" w:cs="Times New Roman"/>
          <w:bCs/>
          <w:sz w:val="24"/>
          <w:szCs w:val="24"/>
        </w:rPr>
      </w:pPr>
    </w:p>
    <w:p w14:paraId="1DCFD9CA" w14:textId="77777777" w:rsidR="00E71565" w:rsidRPr="00E71565" w:rsidRDefault="00E71565" w:rsidP="00F55539">
      <w:pPr>
        <w:spacing w:line="240" w:lineRule="auto"/>
        <w:ind w:left="66"/>
        <w:jc w:val="both"/>
        <w:rPr>
          <w:rFonts w:ascii="Times New Roman" w:hAnsi="Times New Roman" w:cs="Times New Roman"/>
          <w:bCs/>
          <w:sz w:val="24"/>
          <w:szCs w:val="24"/>
        </w:rPr>
      </w:pPr>
    </w:p>
    <w:p w14:paraId="511BB206" w14:textId="77777777" w:rsidR="00EF011F" w:rsidRPr="00E71565" w:rsidRDefault="00EF011F" w:rsidP="00F55539">
      <w:pPr>
        <w:spacing w:line="240" w:lineRule="auto"/>
        <w:ind w:left="66"/>
        <w:jc w:val="both"/>
        <w:rPr>
          <w:rFonts w:ascii="Times New Roman" w:hAnsi="Times New Roman" w:cs="Times New Roman"/>
          <w:bCs/>
          <w:sz w:val="24"/>
          <w:szCs w:val="24"/>
        </w:rPr>
      </w:pPr>
    </w:p>
    <w:p w14:paraId="2A6E8851" w14:textId="15CBC744" w:rsidR="00F55539" w:rsidRPr="00E71565" w:rsidRDefault="00B15F6B" w:rsidP="00025F2E">
      <w:pPr>
        <w:spacing w:before="120" w:after="120" w:line="240" w:lineRule="auto"/>
        <w:jc w:val="both"/>
        <w:rPr>
          <w:rFonts w:ascii="Times New Roman" w:hAnsi="Times New Roman" w:cs="Times New Roman"/>
          <w:bCs/>
          <w:sz w:val="24"/>
          <w:szCs w:val="24"/>
        </w:rPr>
      </w:pPr>
      <w:r w:rsidRPr="00E71565">
        <w:rPr>
          <w:rFonts w:ascii="Times New Roman" w:hAnsi="Times New Roman" w:cs="Times New Roman"/>
          <w:noProof/>
          <w14:ligatures w14:val="standardContextual"/>
        </w:rPr>
        <w:drawing>
          <wp:anchor distT="0" distB="0" distL="114300" distR="114300" simplePos="0" relativeHeight="251663360" behindDoc="0" locked="0" layoutInCell="1" allowOverlap="1" wp14:anchorId="45A8449C" wp14:editId="635CE465">
            <wp:simplePos x="0" y="0"/>
            <wp:positionH relativeFrom="column">
              <wp:posOffset>0</wp:posOffset>
            </wp:positionH>
            <wp:positionV relativeFrom="paragraph">
              <wp:posOffset>-635</wp:posOffset>
            </wp:positionV>
            <wp:extent cx="5921375" cy="2934269"/>
            <wp:effectExtent l="0" t="0" r="3175" b="0"/>
            <wp:wrapNone/>
            <wp:docPr id="103427323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E1D05B-5ED5-82C3-9E1D-690B6DB6EB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p>
    <w:p w14:paraId="6D7042CC"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06BF6EDE"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790CFDB5"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026DF867"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4FDF2D68"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3FDDCC25"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3AED7E5C"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44155DDF"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02BF14AC"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7788CA18"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55BE0317" w14:textId="77777777" w:rsidR="00F55539" w:rsidRPr="00E71565" w:rsidRDefault="00F55539" w:rsidP="00025F2E">
      <w:pPr>
        <w:spacing w:before="120" w:after="120" w:line="240" w:lineRule="auto"/>
        <w:jc w:val="both"/>
        <w:rPr>
          <w:rFonts w:ascii="Times New Roman" w:hAnsi="Times New Roman" w:cs="Times New Roman"/>
          <w:bCs/>
          <w:sz w:val="24"/>
          <w:szCs w:val="24"/>
        </w:rPr>
      </w:pPr>
    </w:p>
    <w:p w14:paraId="72BA6F48" w14:textId="7148AE7B" w:rsidR="00B15F6B" w:rsidRPr="00E71565" w:rsidRDefault="0039122A" w:rsidP="00B15F6B">
      <w:pPr>
        <w:spacing w:line="240" w:lineRule="auto"/>
        <w:jc w:val="both"/>
        <w:rPr>
          <w:rFonts w:ascii="Times New Roman" w:hAnsi="Times New Roman" w:cs="Times New Roman"/>
          <w:b/>
          <w:sz w:val="24"/>
          <w:szCs w:val="24"/>
        </w:rPr>
      </w:pPr>
      <w:r w:rsidRPr="00E71565">
        <w:rPr>
          <w:rFonts w:ascii="Times New Roman" w:hAnsi="Times New Roman" w:cs="Times New Roman"/>
          <w:b/>
          <w:sz w:val="24"/>
          <w:szCs w:val="24"/>
        </w:rPr>
        <w:t>Fig 1</w:t>
      </w:r>
      <w:r w:rsidR="00B15F6B" w:rsidRPr="00E71565">
        <w:rPr>
          <w:rFonts w:ascii="Times New Roman" w:hAnsi="Times New Roman" w:cs="Times New Roman"/>
          <w:b/>
          <w:sz w:val="24"/>
          <w:szCs w:val="24"/>
        </w:rPr>
        <w:t xml:space="preserve">: Annual Rental Growth Rate of Self-Contain in the selected </w:t>
      </w:r>
      <w:proofErr w:type="spellStart"/>
      <w:r w:rsidR="00B15F6B" w:rsidRPr="00E71565">
        <w:rPr>
          <w:rFonts w:ascii="Times New Roman" w:hAnsi="Times New Roman" w:cs="Times New Roman"/>
          <w:b/>
          <w:sz w:val="24"/>
          <w:szCs w:val="24"/>
        </w:rPr>
        <w:t>Neighbourhood</w:t>
      </w:r>
      <w:proofErr w:type="spellEnd"/>
      <w:r w:rsidR="00B15F6B" w:rsidRPr="00E71565">
        <w:rPr>
          <w:rFonts w:ascii="Times New Roman" w:hAnsi="Times New Roman" w:cs="Times New Roman"/>
          <w:b/>
          <w:sz w:val="24"/>
          <w:szCs w:val="24"/>
        </w:rPr>
        <w:t xml:space="preserve"> </w:t>
      </w:r>
    </w:p>
    <w:p w14:paraId="754C1C4E" w14:textId="77777777" w:rsidR="00B15F6B" w:rsidRPr="00E71565" w:rsidRDefault="00B15F6B" w:rsidP="00B15F6B">
      <w:pPr>
        <w:spacing w:line="240" w:lineRule="auto"/>
        <w:jc w:val="both"/>
        <w:rPr>
          <w:rFonts w:ascii="Times New Roman" w:hAnsi="Times New Roman" w:cs="Times New Roman"/>
          <w:b/>
          <w:color w:val="EE0000"/>
          <w:sz w:val="24"/>
          <w:szCs w:val="24"/>
        </w:rPr>
      </w:pPr>
      <w:r w:rsidRPr="00E71565">
        <w:rPr>
          <w:rFonts w:ascii="Times New Roman" w:hAnsi="Times New Roman" w:cs="Times New Roman"/>
          <w:sz w:val="24"/>
          <w:szCs w:val="24"/>
        </w:rPr>
        <w:t>Source: Computed by the researcher on the basis of Table 8</w:t>
      </w:r>
    </w:p>
    <w:p w14:paraId="03E6E5FC" w14:textId="31D8484A" w:rsidR="00B15F6B" w:rsidRPr="00E71565" w:rsidRDefault="0039122A" w:rsidP="00B15F6B">
      <w:pPr>
        <w:spacing w:line="278" w:lineRule="auto"/>
        <w:jc w:val="both"/>
        <w:rPr>
          <w:rFonts w:ascii="Times New Roman" w:hAnsi="Times New Roman" w:cs="Times New Roman"/>
          <w:sz w:val="24"/>
          <w:szCs w:val="24"/>
        </w:rPr>
      </w:pPr>
      <w:r w:rsidRPr="00E71565">
        <w:rPr>
          <w:rFonts w:ascii="Times New Roman" w:hAnsi="Times New Roman" w:cs="Times New Roman"/>
          <w:sz w:val="24"/>
          <w:szCs w:val="24"/>
        </w:rPr>
        <w:t>Fig 1</w:t>
      </w:r>
      <w:r w:rsidR="00B15F6B" w:rsidRPr="00E71565">
        <w:rPr>
          <w:rFonts w:ascii="Times New Roman" w:hAnsi="Times New Roman" w:cs="Times New Roman"/>
          <w:sz w:val="24"/>
          <w:szCs w:val="24"/>
        </w:rPr>
        <w:t xml:space="preserve"> is a line chart of the annual rental advancement schedule of self-contained units in the residential precincts identified. This trend confirms the strong volatility in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and </w:t>
      </w:r>
      <w:proofErr w:type="spellStart"/>
      <w:r w:rsidR="00B15F6B" w:rsidRPr="00E71565">
        <w:rPr>
          <w:rFonts w:ascii="Times New Roman" w:hAnsi="Times New Roman" w:cs="Times New Roman"/>
          <w:sz w:val="24"/>
          <w:szCs w:val="24"/>
        </w:rPr>
        <w:t>Bosso</w:t>
      </w:r>
      <w:proofErr w:type="spellEnd"/>
      <w:r w:rsidR="00B15F6B" w:rsidRPr="00E71565">
        <w:rPr>
          <w:rFonts w:ascii="Times New Roman" w:hAnsi="Times New Roman" w:cs="Times New Roman"/>
          <w:sz w:val="24"/>
          <w:szCs w:val="24"/>
        </w:rPr>
        <w:t xml:space="preserve"> Estate in the years 2013-2025, hence the dynamic nature of the rental market. The highest point of growth of 39.29% </w:t>
      </w:r>
      <w:r w:rsidRPr="00E71565">
        <w:rPr>
          <w:rFonts w:ascii="Times New Roman" w:hAnsi="Times New Roman" w:cs="Times New Roman"/>
          <w:sz w:val="24"/>
          <w:szCs w:val="24"/>
        </w:rPr>
        <w:t xml:space="preserve">was reached in 2016 in </w:t>
      </w:r>
      <w:proofErr w:type="spellStart"/>
      <w:r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the highest value recorded when compared to other </w:t>
      </w:r>
      <w:proofErr w:type="spellStart"/>
      <w:r w:rsidR="00B15F6B" w:rsidRPr="00E71565">
        <w:rPr>
          <w:rFonts w:ascii="Times New Roman" w:hAnsi="Times New Roman" w:cs="Times New Roman"/>
          <w:sz w:val="24"/>
          <w:szCs w:val="24"/>
        </w:rPr>
        <w:t>neighbourhoods</w:t>
      </w:r>
      <w:proofErr w:type="spellEnd"/>
      <w:r w:rsidR="00B15F6B" w:rsidRPr="00E71565">
        <w:rPr>
          <w:rFonts w:ascii="Times New Roman" w:hAnsi="Times New Roman" w:cs="Times New Roman"/>
          <w:sz w:val="24"/>
          <w:szCs w:val="24"/>
        </w:rPr>
        <w:t xml:space="preserve"> surveyed. On the other hand,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experienced a signif</w:t>
      </w:r>
      <w:r w:rsidRPr="00E71565">
        <w:rPr>
          <w:rFonts w:ascii="Times New Roman" w:hAnsi="Times New Roman" w:cs="Times New Roman"/>
          <w:sz w:val="24"/>
          <w:szCs w:val="24"/>
        </w:rPr>
        <w:t>icant increase of 27.91%</w:t>
      </w:r>
      <w:r w:rsidR="00B15F6B" w:rsidRPr="00E71565">
        <w:rPr>
          <w:rFonts w:ascii="Times New Roman" w:hAnsi="Times New Roman" w:cs="Times New Roman"/>
          <w:sz w:val="24"/>
          <w:szCs w:val="24"/>
        </w:rPr>
        <w:t xml:space="preserve"> in the year 2015 compared to </w:t>
      </w:r>
      <w:proofErr w:type="spellStart"/>
      <w:r w:rsidR="00B15F6B" w:rsidRPr="00E71565">
        <w:rPr>
          <w:rFonts w:ascii="Times New Roman" w:hAnsi="Times New Roman" w:cs="Times New Roman"/>
          <w:sz w:val="24"/>
          <w:szCs w:val="24"/>
        </w:rPr>
        <w:t>Bos</w:t>
      </w:r>
      <w:r w:rsidRPr="00E71565">
        <w:rPr>
          <w:rFonts w:ascii="Times New Roman" w:hAnsi="Times New Roman" w:cs="Times New Roman"/>
          <w:sz w:val="24"/>
          <w:szCs w:val="24"/>
        </w:rPr>
        <w:t>so</w:t>
      </w:r>
      <w:proofErr w:type="spellEnd"/>
      <w:r w:rsidRPr="00E71565">
        <w:rPr>
          <w:rFonts w:ascii="Times New Roman" w:hAnsi="Times New Roman" w:cs="Times New Roman"/>
          <w:sz w:val="24"/>
          <w:szCs w:val="24"/>
        </w:rPr>
        <w:t xml:space="preserve"> </w:t>
      </w:r>
      <w:proofErr w:type="spellStart"/>
      <w:r w:rsidRPr="00E71565">
        <w:rPr>
          <w:rFonts w:ascii="Times New Roman" w:hAnsi="Times New Roman" w:cs="Times New Roman"/>
          <w:sz w:val="24"/>
          <w:szCs w:val="24"/>
        </w:rPr>
        <w:t>Etate</w:t>
      </w:r>
      <w:proofErr w:type="spellEnd"/>
      <w:r w:rsidRPr="00E71565">
        <w:rPr>
          <w:rFonts w:ascii="Times New Roman" w:hAnsi="Times New Roman" w:cs="Times New Roman"/>
          <w:sz w:val="24"/>
          <w:szCs w:val="24"/>
        </w:rPr>
        <w:t xml:space="preserve"> which is 24.42%</w:t>
      </w:r>
      <w:r w:rsidR="00B15F6B" w:rsidRPr="00E71565">
        <w:rPr>
          <w:rFonts w:ascii="Times New Roman" w:hAnsi="Times New Roman" w:cs="Times New Roman"/>
          <w:sz w:val="24"/>
          <w:szCs w:val="24"/>
        </w:rPr>
        <w:t xml:space="preserve"> in 2021. The data is also characterized by occasional negative va</w:t>
      </w:r>
      <w:r w:rsidRPr="00E71565">
        <w:rPr>
          <w:rFonts w:ascii="Times New Roman" w:hAnsi="Times New Roman" w:cs="Times New Roman"/>
          <w:sz w:val="24"/>
          <w:szCs w:val="24"/>
        </w:rPr>
        <w:t xml:space="preserve">lues including a -3.29% </w:t>
      </w:r>
      <w:r w:rsidR="00B15F6B" w:rsidRPr="00E71565">
        <w:rPr>
          <w:rFonts w:ascii="Times New Roman" w:hAnsi="Times New Roman" w:cs="Times New Roman"/>
          <w:sz w:val="24"/>
          <w:szCs w:val="24"/>
        </w:rPr>
        <w:t xml:space="preserve">decrease in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in 2019 which is a short-term market contraction. Overall, the trend does not conform to an upward-sloping, persistent upward trend, which is indicative of the vulnerability of rental valuations to periodic re-evaluation and non-homogenous </w:t>
      </w:r>
      <w:proofErr w:type="spellStart"/>
      <w:r w:rsidR="00B15F6B" w:rsidRPr="00E71565">
        <w:rPr>
          <w:rFonts w:ascii="Times New Roman" w:hAnsi="Times New Roman" w:cs="Times New Roman"/>
          <w:sz w:val="24"/>
          <w:szCs w:val="24"/>
        </w:rPr>
        <w:t>neighbourhood</w:t>
      </w:r>
      <w:proofErr w:type="spellEnd"/>
      <w:r w:rsidR="00B15F6B" w:rsidRPr="00E71565">
        <w:rPr>
          <w:rFonts w:ascii="Times New Roman" w:hAnsi="Times New Roman" w:cs="Times New Roman"/>
          <w:sz w:val="24"/>
          <w:szCs w:val="24"/>
        </w:rPr>
        <w:t xml:space="preserve"> process.</w:t>
      </w:r>
    </w:p>
    <w:p w14:paraId="4C119B96" w14:textId="024D428B" w:rsidR="00B15F6B" w:rsidRPr="00E71565" w:rsidRDefault="0039122A" w:rsidP="00B15F6B">
      <w:pPr>
        <w:spacing w:line="278" w:lineRule="auto"/>
        <w:jc w:val="both"/>
        <w:rPr>
          <w:rFonts w:ascii="Times New Roman" w:hAnsi="Times New Roman" w:cs="Times New Roman"/>
          <w:sz w:val="24"/>
          <w:szCs w:val="24"/>
        </w:rPr>
      </w:pPr>
      <w:r w:rsidRPr="00E71565">
        <w:rPr>
          <w:rFonts w:ascii="Times New Roman" w:hAnsi="Times New Roman" w:cs="Times New Roman"/>
          <w:sz w:val="24"/>
          <w:szCs w:val="24"/>
        </w:rPr>
        <w:lastRenderedPageBreak/>
        <w:t>Furthermore, Fig 1</w:t>
      </w:r>
      <w:r w:rsidR="00B15F6B" w:rsidRPr="00E71565">
        <w:rPr>
          <w:rFonts w:ascii="Times New Roman" w:hAnsi="Times New Roman" w:cs="Times New Roman"/>
          <w:sz w:val="24"/>
          <w:szCs w:val="24"/>
        </w:rPr>
        <w:t xml:space="preserve"> shows a sharp decline in rent-growth rates in 2022-2025, and each of the precincts is recording small but consistent incr</w:t>
      </w:r>
      <w:r w:rsidRPr="00E71565">
        <w:rPr>
          <w:rFonts w:ascii="Times New Roman" w:hAnsi="Times New Roman" w:cs="Times New Roman"/>
          <w:sz w:val="24"/>
          <w:szCs w:val="24"/>
        </w:rPr>
        <w:t>eases, usually below 10.00%</w:t>
      </w:r>
      <w:r w:rsidR="00B15F6B" w:rsidRPr="00E71565">
        <w:rPr>
          <w:rFonts w:ascii="Times New Roman" w:hAnsi="Times New Roman" w:cs="Times New Roman"/>
          <w:sz w:val="24"/>
          <w:szCs w:val="24"/>
        </w:rPr>
        <w:t xml:space="preserve">, which is a sign of convergence reflecting stabilization of the market relative to previous turbulence. A sharp rise that was experienced around 2015-2016 and once more in 2021 may be explained by an increase in housing demand, urban sprawl, or inflationary processes that were dominant at those periods. </w:t>
      </w:r>
    </w:p>
    <w:p w14:paraId="5A8A9551" w14:textId="77777777" w:rsidR="00B15F6B" w:rsidRPr="00E71565" w:rsidRDefault="00B15F6B" w:rsidP="00B15F6B">
      <w:pPr>
        <w:spacing w:line="278" w:lineRule="auto"/>
        <w:jc w:val="both"/>
        <w:rPr>
          <w:rFonts w:ascii="Times New Roman" w:hAnsi="Times New Roman" w:cs="Times New Roman"/>
          <w:sz w:val="24"/>
          <w:szCs w:val="24"/>
        </w:rPr>
      </w:pPr>
    </w:p>
    <w:p w14:paraId="118F3DBD" w14:textId="77777777" w:rsidR="00B15F6B" w:rsidRPr="00E71565" w:rsidRDefault="00B15F6B" w:rsidP="00B15F6B">
      <w:pPr>
        <w:spacing w:line="360" w:lineRule="auto"/>
        <w:jc w:val="both"/>
        <w:rPr>
          <w:rFonts w:ascii="Times New Roman" w:hAnsi="Times New Roman" w:cs="Times New Roman"/>
          <w:b/>
          <w:sz w:val="24"/>
          <w:szCs w:val="24"/>
        </w:rPr>
      </w:pPr>
      <w:r w:rsidRPr="00E71565">
        <w:rPr>
          <w:rFonts w:ascii="Times New Roman" w:hAnsi="Times New Roman" w:cs="Times New Roman"/>
          <w:noProof/>
          <w14:ligatures w14:val="standardContextual"/>
        </w:rPr>
        <w:drawing>
          <wp:anchor distT="0" distB="0" distL="114300" distR="114300" simplePos="0" relativeHeight="251665408" behindDoc="0" locked="0" layoutInCell="1" allowOverlap="1" wp14:anchorId="59742CB5" wp14:editId="58E41224">
            <wp:simplePos x="0" y="0"/>
            <wp:positionH relativeFrom="column">
              <wp:posOffset>0</wp:posOffset>
            </wp:positionH>
            <wp:positionV relativeFrom="paragraph">
              <wp:posOffset>0</wp:posOffset>
            </wp:positionV>
            <wp:extent cx="5739130" cy="2825087"/>
            <wp:effectExtent l="0" t="0" r="13970" b="13970"/>
            <wp:wrapNone/>
            <wp:docPr id="195745998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CBEACA-1C87-00B1-5096-27AB44039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F40320F" w14:textId="77777777" w:rsidR="00B15F6B" w:rsidRPr="00E71565" w:rsidRDefault="00B15F6B" w:rsidP="00B15F6B">
      <w:pPr>
        <w:spacing w:line="360" w:lineRule="auto"/>
        <w:jc w:val="both"/>
        <w:rPr>
          <w:rFonts w:ascii="Times New Roman" w:hAnsi="Times New Roman" w:cs="Times New Roman"/>
          <w:b/>
          <w:sz w:val="24"/>
          <w:szCs w:val="24"/>
        </w:rPr>
      </w:pPr>
    </w:p>
    <w:p w14:paraId="1CCD3E58" w14:textId="77777777" w:rsidR="00B15F6B" w:rsidRPr="00E71565" w:rsidRDefault="00B15F6B" w:rsidP="00B15F6B">
      <w:pPr>
        <w:spacing w:line="360" w:lineRule="auto"/>
        <w:jc w:val="both"/>
        <w:rPr>
          <w:rFonts w:ascii="Times New Roman" w:hAnsi="Times New Roman" w:cs="Times New Roman"/>
          <w:b/>
          <w:sz w:val="24"/>
          <w:szCs w:val="24"/>
        </w:rPr>
      </w:pPr>
    </w:p>
    <w:p w14:paraId="08DD8818" w14:textId="77777777" w:rsidR="00B15F6B" w:rsidRPr="00E71565" w:rsidRDefault="00B15F6B" w:rsidP="00B15F6B">
      <w:pPr>
        <w:spacing w:line="360" w:lineRule="auto"/>
        <w:jc w:val="both"/>
        <w:rPr>
          <w:rFonts w:ascii="Times New Roman" w:hAnsi="Times New Roman" w:cs="Times New Roman"/>
          <w:b/>
          <w:sz w:val="24"/>
          <w:szCs w:val="24"/>
        </w:rPr>
      </w:pPr>
    </w:p>
    <w:p w14:paraId="35BAB731" w14:textId="77777777" w:rsidR="00B15F6B" w:rsidRPr="00E71565" w:rsidRDefault="00B15F6B" w:rsidP="00B15F6B">
      <w:pPr>
        <w:spacing w:line="360" w:lineRule="auto"/>
        <w:jc w:val="both"/>
        <w:rPr>
          <w:rFonts w:ascii="Times New Roman" w:hAnsi="Times New Roman" w:cs="Times New Roman"/>
          <w:b/>
          <w:sz w:val="24"/>
          <w:szCs w:val="24"/>
        </w:rPr>
      </w:pPr>
    </w:p>
    <w:p w14:paraId="5712AEA9" w14:textId="77777777" w:rsidR="00B15F6B" w:rsidRPr="00E71565" w:rsidRDefault="00B15F6B" w:rsidP="00B15F6B">
      <w:pPr>
        <w:spacing w:line="360" w:lineRule="auto"/>
        <w:jc w:val="both"/>
        <w:rPr>
          <w:rFonts w:ascii="Times New Roman" w:hAnsi="Times New Roman" w:cs="Times New Roman"/>
          <w:b/>
          <w:sz w:val="24"/>
          <w:szCs w:val="24"/>
        </w:rPr>
      </w:pPr>
    </w:p>
    <w:p w14:paraId="02C37DC3" w14:textId="77777777" w:rsidR="00B15F6B" w:rsidRPr="00E71565" w:rsidRDefault="00B15F6B" w:rsidP="00B15F6B">
      <w:pPr>
        <w:spacing w:line="360" w:lineRule="auto"/>
        <w:jc w:val="both"/>
        <w:rPr>
          <w:rFonts w:ascii="Times New Roman" w:hAnsi="Times New Roman" w:cs="Times New Roman"/>
          <w:b/>
          <w:sz w:val="24"/>
          <w:szCs w:val="24"/>
        </w:rPr>
      </w:pPr>
    </w:p>
    <w:p w14:paraId="20BC58B1" w14:textId="77777777" w:rsidR="00B15F6B" w:rsidRPr="00E71565" w:rsidRDefault="00B15F6B" w:rsidP="00B15F6B">
      <w:pPr>
        <w:spacing w:line="360" w:lineRule="auto"/>
        <w:jc w:val="both"/>
        <w:rPr>
          <w:rFonts w:ascii="Times New Roman" w:hAnsi="Times New Roman" w:cs="Times New Roman"/>
          <w:b/>
          <w:sz w:val="24"/>
          <w:szCs w:val="24"/>
        </w:rPr>
      </w:pPr>
    </w:p>
    <w:p w14:paraId="4BBFB24B" w14:textId="77777777" w:rsidR="0039122A" w:rsidRPr="00E71565" w:rsidRDefault="0039122A" w:rsidP="0039122A">
      <w:pPr>
        <w:spacing w:line="360" w:lineRule="auto"/>
        <w:jc w:val="both"/>
        <w:rPr>
          <w:rFonts w:ascii="Times New Roman" w:hAnsi="Times New Roman" w:cs="Times New Roman"/>
          <w:b/>
          <w:sz w:val="24"/>
          <w:szCs w:val="24"/>
        </w:rPr>
      </w:pPr>
      <w:r w:rsidRPr="00E71565">
        <w:rPr>
          <w:rFonts w:ascii="Times New Roman" w:hAnsi="Times New Roman" w:cs="Times New Roman"/>
          <w:b/>
          <w:sz w:val="24"/>
          <w:szCs w:val="24"/>
        </w:rPr>
        <w:t>Fig 2</w:t>
      </w:r>
      <w:r w:rsidR="00B15F6B" w:rsidRPr="00E71565">
        <w:rPr>
          <w:rFonts w:ascii="Times New Roman" w:hAnsi="Times New Roman" w:cs="Times New Roman"/>
          <w:b/>
          <w:sz w:val="24"/>
          <w:szCs w:val="24"/>
        </w:rPr>
        <w:t xml:space="preserve">: Annual Rental Growth Rate of 1Bedroom in the selected </w:t>
      </w:r>
      <w:proofErr w:type="spellStart"/>
      <w:r w:rsidR="00B15F6B" w:rsidRPr="00E71565">
        <w:rPr>
          <w:rFonts w:ascii="Times New Roman" w:hAnsi="Times New Roman" w:cs="Times New Roman"/>
          <w:b/>
          <w:sz w:val="24"/>
          <w:szCs w:val="24"/>
        </w:rPr>
        <w:t>Neigbourhood</w:t>
      </w:r>
      <w:proofErr w:type="spellEnd"/>
    </w:p>
    <w:p w14:paraId="33800A8E" w14:textId="1427D2FF" w:rsidR="00B15F6B" w:rsidRPr="00E71565" w:rsidRDefault="00B15F6B" w:rsidP="0039122A">
      <w:pPr>
        <w:spacing w:line="360" w:lineRule="auto"/>
        <w:jc w:val="both"/>
        <w:rPr>
          <w:rFonts w:ascii="Times New Roman" w:hAnsi="Times New Roman" w:cs="Times New Roman"/>
          <w:b/>
          <w:sz w:val="24"/>
          <w:szCs w:val="24"/>
        </w:rPr>
      </w:pPr>
      <w:r w:rsidRPr="00E71565">
        <w:rPr>
          <w:rFonts w:ascii="Times New Roman" w:hAnsi="Times New Roman" w:cs="Times New Roman"/>
          <w:sz w:val="24"/>
          <w:szCs w:val="24"/>
        </w:rPr>
        <w:t>Source: Computed by the researcher on the basis of Table 8</w:t>
      </w:r>
    </w:p>
    <w:p w14:paraId="5221BFAE" w14:textId="36A98A73" w:rsidR="00B15F6B" w:rsidRPr="00E71565" w:rsidRDefault="0039122A" w:rsidP="00B15F6B">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Fig 2</w:t>
      </w:r>
      <w:r w:rsidR="00B15F6B" w:rsidRPr="00E71565">
        <w:rPr>
          <w:rFonts w:ascii="Times New Roman" w:hAnsi="Times New Roman" w:cs="Times New Roman"/>
          <w:sz w:val="24"/>
          <w:szCs w:val="24"/>
        </w:rPr>
        <w:t xml:space="preserve"> presents the annual rent-growth dynamics of one-bedroom dwellings in the residential </w:t>
      </w:r>
      <w:proofErr w:type="spellStart"/>
      <w:r w:rsidR="00B15F6B" w:rsidRPr="00E71565">
        <w:rPr>
          <w:rFonts w:ascii="Times New Roman" w:hAnsi="Times New Roman" w:cs="Times New Roman"/>
          <w:sz w:val="24"/>
          <w:szCs w:val="24"/>
        </w:rPr>
        <w:t>neighbourhoods</w:t>
      </w:r>
      <w:proofErr w:type="spellEnd"/>
      <w:r w:rsidR="00B15F6B" w:rsidRPr="00E71565">
        <w:rPr>
          <w:rFonts w:ascii="Times New Roman" w:hAnsi="Times New Roman" w:cs="Times New Roman"/>
          <w:sz w:val="24"/>
          <w:szCs w:val="24"/>
        </w:rPr>
        <w:t xml:space="preserve"> of the selected residential areas in a line chart. The graph shows the salient changes in the growth path of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and </w:t>
      </w:r>
      <w:proofErr w:type="spellStart"/>
      <w:r w:rsidR="00B15F6B" w:rsidRPr="00E71565">
        <w:rPr>
          <w:rFonts w:ascii="Times New Roman" w:hAnsi="Times New Roman" w:cs="Times New Roman"/>
          <w:sz w:val="24"/>
          <w:szCs w:val="24"/>
        </w:rPr>
        <w:t>Bosso</w:t>
      </w:r>
      <w:proofErr w:type="spellEnd"/>
      <w:r w:rsidR="00B15F6B" w:rsidRPr="00E71565">
        <w:rPr>
          <w:rFonts w:ascii="Times New Roman" w:hAnsi="Times New Roman" w:cs="Times New Roman"/>
          <w:sz w:val="24"/>
          <w:szCs w:val="24"/>
        </w:rPr>
        <w:t xml:space="preserve">  Estate over the study period 2</w:t>
      </w:r>
      <w:r w:rsidRPr="00E71565">
        <w:rPr>
          <w:rFonts w:ascii="Times New Roman" w:hAnsi="Times New Roman" w:cs="Times New Roman"/>
          <w:sz w:val="24"/>
          <w:szCs w:val="24"/>
        </w:rPr>
        <w:t xml:space="preserve">013 -2025. In 2017, </w:t>
      </w:r>
      <w:proofErr w:type="spellStart"/>
      <w:r w:rsidRPr="00E71565">
        <w:rPr>
          <w:rFonts w:ascii="Times New Roman" w:hAnsi="Times New Roman" w:cs="Times New Roman"/>
          <w:sz w:val="24"/>
          <w:szCs w:val="24"/>
        </w:rPr>
        <w:t>Bosso</w:t>
      </w:r>
      <w:proofErr w:type="spellEnd"/>
      <w:r w:rsidRPr="00E71565">
        <w:rPr>
          <w:rFonts w:ascii="Times New Roman" w:hAnsi="Times New Roman" w:cs="Times New Roman"/>
          <w:sz w:val="24"/>
          <w:szCs w:val="24"/>
        </w:rPr>
        <w:t xml:space="preserve"> Estate</w:t>
      </w:r>
      <w:r w:rsidR="00B15F6B" w:rsidRPr="00E71565">
        <w:rPr>
          <w:rFonts w:ascii="Times New Roman" w:hAnsi="Times New Roman" w:cs="Times New Roman"/>
          <w:sz w:val="24"/>
          <w:szCs w:val="24"/>
        </w:rPr>
        <w:t xml:space="preserve"> grew by about 26</w:t>
      </w:r>
      <w:r w:rsidR="00AF0471" w:rsidRPr="00E71565">
        <w:rPr>
          <w:rFonts w:ascii="Times New Roman" w:hAnsi="Times New Roman" w:cs="Times New Roman"/>
          <w:sz w:val="24"/>
          <w:szCs w:val="24"/>
        </w:rPr>
        <w:t>.00</w:t>
      </w:r>
      <w:r w:rsidR="00B15F6B" w:rsidRPr="00E71565">
        <w:rPr>
          <w:rFonts w:ascii="Times New Roman" w:hAnsi="Times New Roman" w:cs="Times New Roman"/>
          <w:sz w:val="24"/>
          <w:szCs w:val="24"/>
        </w:rPr>
        <w:t xml:space="preserve">% with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w:t>
      </w:r>
      <w:r w:rsidR="00AF0471" w:rsidRPr="00E71565">
        <w:rPr>
          <w:rFonts w:ascii="Times New Roman" w:hAnsi="Times New Roman" w:cs="Times New Roman"/>
          <w:sz w:val="24"/>
          <w:szCs w:val="24"/>
        </w:rPr>
        <w:t>coming next at around 24.00%</w:t>
      </w:r>
      <w:r w:rsidR="00B15F6B" w:rsidRPr="00E71565">
        <w:rPr>
          <w:rFonts w:ascii="Times New Roman" w:hAnsi="Times New Roman" w:cs="Times New Roman"/>
          <w:sz w:val="24"/>
          <w:szCs w:val="24"/>
        </w:rPr>
        <w:t xml:space="preserve"> and it is a clear sign that there was a serious rush in rentals within that period. The highest growth of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was attained at an earlier time of 2015 at approximately 19</w:t>
      </w:r>
      <w:r w:rsidR="00AF0471" w:rsidRPr="00E71565">
        <w:rPr>
          <w:rFonts w:ascii="Times New Roman" w:hAnsi="Times New Roman" w:cs="Times New Roman"/>
          <w:sz w:val="24"/>
          <w:szCs w:val="24"/>
        </w:rPr>
        <w:t>.00%</w:t>
      </w:r>
      <w:r w:rsidR="00B15F6B" w:rsidRPr="00E71565">
        <w:rPr>
          <w:rFonts w:ascii="Times New Roman" w:hAnsi="Times New Roman" w:cs="Times New Roman"/>
          <w:sz w:val="24"/>
          <w:szCs w:val="24"/>
        </w:rPr>
        <w:t xml:space="preserve">, after which the growth rate leveled off.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in 2018 shows a sharp turn, with growth stagnating at 0, which is the sign that the market is experiencing a temporary contraction and the other </w:t>
      </w:r>
      <w:proofErr w:type="spellStart"/>
      <w:r w:rsidR="00B15F6B" w:rsidRPr="00E71565">
        <w:rPr>
          <w:rFonts w:ascii="Times New Roman" w:hAnsi="Times New Roman" w:cs="Times New Roman"/>
          <w:sz w:val="24"/>
          <w:szCs w:val="24"/>
        </w:rPr>
        <w:t>neighbourhoods</w:t>
      </w:r>
      <w:proofErr w:type="spellEnd"/>
      <w:r w:rsidR="00B15F6B" w:rsidRPr="00E71565">
        <w:rPr>
          <w:rFonts w:ascii="Times New Roman" w:hAnsi="Times New Roman" w:cs="Times New Roman"/>
          <w:sz w:val="24"/>
          <w:szCs w:val="24"/>
        </w:rPr>
        <w:t xml:space="preserve"> had relatively smooth positive growth. Since 2020, there is some variation in the growth rates, mostly between 4</w:t>
      </w:r>
      <w:r w:rsidR="005F2532" w:rsidRPr="00E71565">
        <w:rPr>
          <w:rFonts w:ascii="Times New Roman" w:hAnsi="Times New Roman" w:cs="Times New Roman"/>
          <w:sz w:val="24"/>
          <w:szCs w:val="24"/>
        </w:rPr>
        <w:t>.00</w:t>
      </w:r>
      <w:r w:rsidR="00B15F6B" w:rsidRPr="00E71565">
        <w:rPr>
          <w:rFonts w:ascii="Times New Roman" w:hAnsi="Times New Roman" w:cs="Times New Roman"/>
          <w:sz w:val="24"/>
          <w:szCs w:val="24"/>
        </w:rPr>
        <w:t>% and 12</w:t>
      </w:r>
      <w:r w:rsidR="005F2532" w:rsidRPr="00E71565">
        <w:rPr>
          <w:rFonts w:ascii="Times New Roman" w:hAnsi="Times New Roman" w:cs="Times New Roman"/>
          <w:sz w:val="24"/>
          <w:szCs w:val="24"/>
        </w:rPr>
        <w:t>.00</w:t>
      </w:r>
      <w:r w:rsidR="00B15F6B" w:rsidRPr="00E71565">
        <w:rPr>
          <w:rFonts w:ascii="Times New Roman" w:hAnsi="Times New Roman" w:cs="Times New Roman"/>
          <w:sz w:val="24"/>
          <w:szCs w:val="24"/>
        </w:rPr>
        <w:t>% but the fluctuations vary slightly across the precincts.</w:t>
      </w:r>
    </w:p>
    <w:p w14:paraId="73C344BC" w14:textId="779FC089" w:rsidR="00B15F6B" w:rsidRPr="00E71565" w:rsidRDefault="005F2532" w:rsidP="00B15F6B">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Moreover, Fig 2</w:t>
      </w:r>
      <w:r w:rsidR="00B15F6B" w:rsidRPr="00E71565">
        <w:rPr>
          <w:rFonts w:ascii="Times New Roman" w:hAnsi="Times New Roman" w:cs="Times New Roman"/>
          <w:sz w:val="24"/>
          <w:szCs w:val="24"/>
        </w:rPr>
        <w:t xml:space="preserve"> suggests that overall strongest growth in rental was experienced in 2017, which implies that the market may have been more under demand or in need of economic stimulus in 2017. The trend of stabilization in 2022 to 2025 where all </w:t>
      </w:r>
      <w:proofErr w:type="spellStart"/>
      <w:r w:rsidR="00B15F6B" w:rsidRPr="00E71565">
        <w:rPr>
          <w:rFonts w:ascii="Times New Roman" w:hAnsi="Times New Roman" w:cs="Times New Roman"/>
          <w:sz w:val="24"/>
          <w:szCs w:val="24"/>
        </w:rPr>
        <w:t>neighbourhoods</w:t>
      </w:r>
      <w:proofErr w:type="spellEnd"/>
      <w:r w:rsidR="00B15F6B" w:rsidRPr="00E71565">
        <w:rPr>
          <w:rFonts w:ascii="Times New Roman" w:hAnsi="Times New Roman" w:cs="Times New Roman"/>
          <w:sz w:val="24"/>
          <w:szCs w:val="24"/>
        </w:rPr>
        <w:t xml:space="preserve"> showed moderate and positive growth, signifies a more balanced rental market as compared to the years before it was very volatile. Convergence of the rates of growth towards 2020 also suggests that there will also be similar reactions of the market in the precincts surveyed. </w:t>
      </w:r>
    </w:p>
    <w:p w14:paraId="2530C7ED" w14:textId="77777777" w:rsidR="00B15F6B" w:rsidRPr="00E71565" w:rsidRDefault="00B15F6B" w:rsidP="00B15F6B">
      <w:pPr>
        <w:spacing w:line="240" w:lineRule="auto"/>
        <w:jc w:val="both"/>
        <w:rPr>
          <w:rFonts w:ascii="Times New Roman" w:hAnsi="Times New Roman" w:cs="Times New Roman"/>
          <w:b/>
          <w:sz w:val="24"/>
          <w:szCs w:val="24"/>
        </w:rPr>
      </w:pPr>
    </w:p>
    <w:p w14:paraId="5B728AAA" w14:textId="77777777" w:rsidR="00B15F6B" w:rsidRPr="00E71565" w:rsidRDefault="00B15F6B" w:rsidP="00B15F6B">
      <w:pPr>
        <w:spacing w:line="240" w:lineRule="auto"/>
        <w:jc w:val="both"/>
        <w:rPr>
          <w:rFonts w:ascii="Times New Roman" w:hAnsi="Times New Roman" w:cs="Times New Roman"/>
          <w:b/>
          <w:sz w:val="24"/>
          <w:szCs w:val="24"/>
        </w:rPr>
      </w:pPr>
      <w:r w:rsidRPr="00E71565">
        <w:rPr>
          <w:rFonts w:ascii="Times New Roman" w:hAnsi="Times New Roman" w:cs="Times New Roman"/>
          <w:noProof/>
          <w14:ligatures w14:val="standardContextual"/>
        </w:rPr>
        <w:drawing>
          <wp:anchor distT="0" distB="0" distL="114300" distR="114300" simplePos="0" relativeHeight="251666432" behindDoc="0" locked="0" layoutInCell="1" allowOverlap="1" wp14:anchorId="4098C89E" wp14:editId="4055318F">
            <wp:simplePos x="0" y="0"/>
            <wp:positionH relativeFrom="column">
              <wp:posOffset>0</wp:posOffset>
            </wp:positionH>
            <wp:positionV relativeFrom="paragraph">
              <wp:posOffset>0</wp:posOffset>
            </wp:positionV>
            <wp:extent cx="5882185" cy="3084195"/>
            <wp:effectExtent l="0" t="0" r="4445" b="1905"/>
            <wp:wrapNone/>
            <wp:docPr id="195480874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517BC5-270D-0968-7502-2AE97EDAA8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43E851B" w14:textId="77777777" w:rsidR="00B15F6B" w:rsidRPr="00E71565" w:rsidRDefault="00B15F6B" w:rsidP="00B15F6B">
      <w:pPr>
        <w:spacing w:line="240" w:lineRule="auto"/>
        <w:jc w:val="both"/>
        <w:rPr>
          <w:rFonts w:ascii="Times New Roman" w:hAnsi="Times New Roman" w:cs="Times New Roman"/>
          <w:b/>
          <w:sz w:val="24"/>
          <w:szCs w:val="24"/>
        </w:rPr>
      </w:pPr>
    </w:p>
    <w:p w14:paraId="7D85457B" w14:textId="77777777" w:rsidR="00B15F6B" w:rsidRPr="00E71565" w:rsidRDefault="00B15F6B" w:rsidP="00B15F6B">
      <w:pPr>
        <w:spacing w:line="240" w:lineRule="auto"/>
        <w:jc w:val="both"/>
        <w:rPr>
          <w:rFonts w:ascii="Times New Roman" w:hAnsi="Times New Roman" w:cs="Times New Roman"/>
          <w:b/>
          <w:sz w:val="24"/>
          <w:szCs w:val="24"/>
        </w:rPr>
      </w:pPr>
    </w:p>
    <w:p w14:paraId="7CC7765E" w14:textId="77777777" w:rsidR="00B15F6B" w:rsidRPr="00E71565" w:rsidRDefault="00B15F6B" w:rsidP="00B15F6B">
      <w:pPr>
        <w:spacing w:line="240" w:lineRule="auto"/>
        <w:jc w:val="both"/>
        <w:rPr>
          <w:rFonts w:ascii="Times New Roman" w:hAnsi="Times New Roman" w:cs="Times New Roman"/>
          <w:b/>
          <w:sz w:val="24"/>
          <w:szCs w:val="24"/>
        </w:rPr>
      </w:pPr>
    </w:p>
    <w:p w14:paraId="0B14E991" w14:textId="77777777" w:rsidR="00B15F6B" w:rsidRPr="00E71565" w:rsidRDefault="00B15F6B" w:rsidP="00B15F6B">
      <w:pPr>
        <w:spacing w:line="240" w:lineRule="auto"/>
        <w:jc w:val="both"/>
        <w:rPr>
          <w:rFonts w:ascii="Times New Roman" w:hAnsi="Times New Roman" w:cs="Times New Roman"/>
          <w:b/>
          <w:sz w:val="24"/>
          <w:szCs w:val="24"/>
        </w:rPr>
      </w:pPr>
    </w:p>
    <w:p w14:paraId="3C510511" w14:textId="77777777" w:rsidR="00B15F6B" w:rsidRPr="00E71565" w:rsidRDefault="00B15F6B" w:rsidP="00B15F6B">
      <w:pPr>
        <w:spacing w:line="240" w:lineRule="auto"/>
        <w:jc w:val="both"/>
        <w:rPr>
          <w:rFonts w:ascii="Times New Roman" w:hAnsi="Times New Roman" w:cs="Times New Roman"/>
          <w:b/>
          <w:sz w:val="24"/>
          <w:szCs w:val="24"/>
        </w:rPr>
      </w:pPr>
    </w:p>
    <w:p w14:paraId="0B3C2928" w14:textId="77777777" w:rsidR="00B15F6B" w:rsidRPr="00E71565" w:rsidRDefault="00B15F6B" w:rsidP="00B15F6B">
      <w:pPr>
        <w:spacing w:line="240" w:lineRule="auto"/>
        <w:jc w:val="both"/>
        <w:rPr>
          <w:rFonts w:ascii="Times New Roman" w:hAnsi="Times New Roman" w:cs="Times New Roman"/>
          <w:b/>
          <w:sz w:val="24"/>
          <w:szCs w:val="24"/>
        </w:rPr>
      </w:pPr>
    </w:p>
    <w:p w14:paraId="1E039E0D" w14:textId="77777777" w:rsidR="00B15F6B" w:rsidRPr="00E71565" w:rsidRDefault="00B15F6B" w:rsidP="00B15F6B">
      <w:pPr>
        <w:spacing w:line="240" w:lineRule="auto"/>
        <w:jc w:val="both"/>
        <w:rPr>
          <w:rFonts w:ascii="Times New Roman" w:hAnsi="Times New Roman" w:cs="Times New Roman"/>
          <w:b/>
          <w:sz w:val="24"/>
          <w:szCs w:val="24"/>
        </w:rPr>
      </w:pPr>
    </w:p>
    <w:p w14:paraId="0BD32D3F" w14:textId="77777777" w:rsidR="00B15F6B" w:rsidRPr="00E71565" w:rsidRDefault="00B15F6B" w:rsidP="00B15F6B">
      <w:pPr>
        <w:spacing w:line="240" w:lineRule="auto"/>
        <w:jc w:val="both"/>
        <w:rPr>
          <w:rFonts w:ascii="Times New Roman" w:hAnsi="Times New Roman" w:cs="Times New Roman"/>
          <w:b/>
          <w:sz w:val="24"/>
          <w:szCs w:val="24"/>
        </w:rPr>
      </w:pPr>
    </w:p>
    <w:p w14:paraId="3F7B792B" w14:textId="77777777" w:rsidR="00B15F6B" w:rsidRPr="00E71565" w:rsidRDefault="00B15F6B" w:rsidP="00B15F6B">
      <w:pPr>
        <w:spacing w:line="240" w:lineRule="auto"/>
        <w:jc w:val="both"/>
        <w:rPr>
          <w:rFonts w:ascii="Times New Roman" w:hAnsi="Times New Roman" w:cs="Times New Roman"/>
          <w:b/>
        </w:rPr>
      </w:pPr>
    </w:p>
    <w:p w14:paraId="7EE431B2" w14:textId="77777777" w:rsidR="00B15F6B" w:rsidRPr="00E71565" w:rsidRDefault="00B15F6B" w:rsidP="00B15F6B">
      <w:pPr>
        <w:spacing w:line="240" w:lineRule="auto"/>
        <w:jc w:val="both"/>
        <w:rPr>
          <w:rFonts w:ascii="Times New Roman" w:hAnsi="Times New Roman" w:cs="Times New Roman"/>
          <w:b/>
        </w:rPr>
      </w:pPr>
    </w:p>
    <w:p w14:paraId="13537A05" w14:textId="77777777" w:rsidR="00B15F6B" w:rsidRPr="00E71565" w:rsidRDefault="00B15F6B" w:rsidP="00B15F6B">
      <w:pPr>
        <w:spacing w:line="240" w:lineRule="auto"/>
        <w:jc w:val="both"/>
        <w:rPr>
          <w:rFonts w:ascii="Times New Roman" w:hAnsi="Times New Roman" w:cs="Times New Roman"/>
          <w:b/>
        </w:rPr>
      </w:pPr>
    </w:p>
    <w:p w14:paraId="047CCB24" w14:textId="09E917A0" w:rsidR="00B15F6B" w:rsidRPr="00E71565" w:rsidRDefault="005F2532" w:rsidP="00B15F6B">
      <w:pPr>
        <w:spacing w:line="240" w:lineRule="auto"/>
        <w:jc w:val="both"/>
        <w:rPr>
          <w:rFonts w:ascii="Times New Roman" w:hAnsi="Times New Roman" w:cs="Times New Roman"/>
          <w:b/>
        </w:rPr>
      </w:pPr>
      <w:r w:rsidRPr="00E71565">
        <w:rPr>
          <w:rFonts w:ascii="Times New Roman" w:hAnsi="Times New Roman" w:cs="Times New Roman"/>
          <w:b/>
        </w:rPr>
        <w:t>Fig 3</w:t>
      </w:r>
      <w:r w:rsidR="00B15F6B" w:rsidRPr="00E71565">
        <w:rPr>
          <w:rFonts w:ascii="Times New Roman" w:hAnsi="Times New Roman" w:cs="Times New Roman"/>
          <w:b/>
        </w:rPr>
        <w:t>: Annual Rental Growth Rate of 2Bedroom in the selected Neighborhood</w:t>
      </w:r>
    </w:p>
    <w:p w14:paraId="4289D5D5" w14:textId="77777777" w:rsidR="00B15F6B" w:rsidRPr="00E71565" w:rsidRDefault="00B15F6B" w:rsidP="00B15F6B">
      <w:pPr>
        <w:spacing w:line="240" w:lineRule="auto"/>
        <w:jc w:val="both"/>
        <w:rPr>
          <w:rFonts w:ascii="Times New Roman" w:hAnsi="Times New Roman" w:cs="Times New Roman"/>
          <w:b/>
          <w:sz w:val="24"/>
          <w:szCs w:val="24"/>
        </w:rPr>
      </w:pPr>
      <w:r w:rsidRPr="00E71565">
        <w:rPr>
          <w:rFonts w:ascii="Times New Roman" w:hAnsi="Times New Roman" w:cs="Times New Roman"/>
          <w:sz w:val="24"/>
          <w:szCs w:val="24"/>
        </w:rPr>
        <w:t>Source: Computed by the researcher on the basis of Table 8</w:t>
      </w:r>
    </w:p>
    <w:p w14:paraId="3CDD173C" w14:textId="74313B1E" w:rsidR="00B15F6B" w:rsidRPr="00E71565" w:rsidRDefault="005F2532" w:rsidP="00B15F6B">
      <w:pPr>
        <w:spacing w:line="240" w:lineRule="auto"/>
        <w:jc w:val="both"/>
        <w:rPr>
          <w:rFonts w:ascii="Times New Roman" w:hAnsi="Times New Roman" w:cs="Times New Roman"/>
          <w:sz w:val="24"/>
          <w:szCs w:val="24"/>
        </w:rPr>
      </w:pPr>
      <w:r w:rsidRPr="00E71565">
        <w:rPr>
          <w:rFonts w:ascii="Times New Roman" w:hAnsi="Times New Roman" w:cs="Times New Roman"/>
          <w:sz w:val="24"/>
          <w:szCs w:val="24"/>
        </w:rPr>
        <w:t>Fig 3</w:t>
      </w:r>
      <w:r w:rsidR="00B15F6B" w:rsidRPr="00E71565">
        <w:rPr>
          <w:rFonts w:ascii="Times New Roman" w:hAnsi="Times New Roman" w:cs="Times New Roman"/>
          <w:sz w:val="24"/>
          <w:szCs w:val="24"/>
        </w:rPr>
        <w:t xml:space="preserve"> presents the line chart of the annual increase of rent of two-bedroom properties in the residential precincts chosen. The graph presents changing growth trend between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and </w:t>
      </w:r>
      <w:proofErr w:type="spellStart"/>
      <w:r w:rsidR="00B15F6B" w:rsidRPr="00E71565">
        <w:rPr>
          <w:rFonts w:ascii="Times New Roman" w:hAnsi="Times New Roman" w:cs="Times New Roman"/>
          <w:sz w:val="24"/>
          <w:szCs w:val="24"/>
        </w:rPr>
        <w:t>Bosso</w:t>
      </w:r>
      <w:proofErr w:type="spellEnd"/>
      <w:r w:rsidR="00B15F6B" w:rsidRPr="00E71565">
        <w:rPr>
          <w:rFonts w:ascii="Times New Roman" w:hAnsi="Times New Roman" w:cs="Times New Roman"/>
          <w:sz w:val="24"/>
          <w:szCs w:val="24"/>
        </w:rPr>
        <w:t xml:space="preserve"> Estate between the year 2013 and 2025. In 2021, </w:t>
      </w:r>
      <w:proofErr w:type="spellStart"/>
      <w:r w:rsidR="00B15F6B" w:rsidRPr="00E71565">
        <w:rPr>
          <w:rFonts w:ascii="Times New Roman" w:hAnsi="Times New Roman" w:cs="Times New Roman"/>
          <w:sz w:val="24"/>
          <w:szCs w:val="24"/>
        </w:rPr>
        <w:t>Bosso</w:t>
      </w:r>
      <w:proofErr w:type="spellEnd"/>
      <w:r w:rsidR="00B15F6B" w:rsidRPr="00E71565">
        <w:rPr>
          <w:rFonts w:ascii="Times New Roman" w:hAnsi="Times New Roman" w:cs="Times New Roman"/>
          <w:sz w:val="24"/>
          <w:szCs w:val="24"/>
        </w:rPr>
        <w:t xml:space="preserve"> Estate had the greatest growth rate which was about 16</w:t>
      </w:r>
      <w:r w:rsidRPr="00E71565">
        <w:rPr>
          <w:rFonts w:ascii="Times New Roman" w:hAnsi="Times New Roman" w:cs="Times New Roman"/>
          <w:sz w:val="24"/>
          <w:szCs w:val="24"/>
        </w:rPr>
        <w:t>.00</w:t>
      </w:r>
      <w:r w:rsidR="00B15F6B" w:rsidRPr="00E71565">
        <w:rPr>
          <w:rFonts w:ascii="Times New Roman" w:hAnsi="Times New Roman" w:cs="Times New Roman"/>
          <w:sz w:val="24"/>
          <w:szCs w:val="24"/>
        </w:rPr>
        <w:t xml:space="preserve">%, meaning that there was a high growth in rental in that year. Its highest growth is recorded at 2016 when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experienced a growth of approximately 15.00%, after recording a negative growth of approximately -6.00% in 2015, which is a sharp correction in the market before rebounding.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Fulani showed significant growth in 2015 (11</w:t>
      </w:r>
      <w:r w:rsidR="0039122A" w:rsidRPr="00E71565">
        <w:rPr>
          <w:rFonts w:ascii="Times New Roman" w:hAnsi="Times New Roman" w:cs="Times New Roman"/>
          <w:sz w:val="24"/>
          <w:szCs w:val="24"/>
        </w:rPr>
        <w:t>.00%</w:t>
      </w:r>
      <w:r w:rsidR="00B15F6B" w:rsidRPr="00E71565">
        <w:rPr>
          <w:rFonts w:ascii="Times New Roman" w:hAnsi="Times New Roman" w:cs="Times New Roman"/>
          <w:sz w:val="24"/>
          <w:szCs w:val="24"/>
        </w:rPr>
        <w:t>)</w:t>
      </w:r>
      <w:r w:rsidR="0039122A" w:rsidRPr="00E71565">
        <w:rPr>
          <w:rFonts w:ascii="Times New Roman" w:hAnsi="Times New Roman" w:cs="Times New Roman"/>
          <w:sz w:val="24"/>
          <w:szCs w:val="24"/>
        </w:rPr>
        <w:t>, and once more in 2025 (</w:t>
      </w:r>
      <w:r w:rsidR="00B15F6B" w:rsidRPr="00E71565">
        <w:rPr>
          <w:rFonts w:ascii="Times New Roman" w:hAnsi="Times New Roman" w:cs="Times New Roman"/>
          <w:sz w:val="24"/>
          <w:szCs w:val="24"/>
        </w:rPr>
        <w:t>10</w:t>
      </w:r>
      <w:r w:rsidR="0039122A" w:rsidRPr="00E71565">
        <w:rPr>
          <w:rFonts w:ascii="Times New Roman" w:hAnsi="Times New Roman" w:cs="Times New Roman"/>
          <w:sz w:val="24"/>
          <w:szCs w:val="24"/>
        </w:rPr>
        <w:t>.00%</w:t>
      </w:r>
      <w:r w:rsidR="00B15F6B" w:rsidRPr="00E71565">
        <w:rPr>
          <w:rFonts w:ascii="Times New Roman" w:hAnsi="Times New Roman" w:cs="Times New Roman"/>
          <w:sz w:val="24"/>
          <w:szCs w:val="24"/>
        </w:rPr>
        <w:t xml:space="preserve">), indicating that there were </w:t>
      </w:r>
      <w:r w:rsidRPr="00E71565">
        <w:rPr>
          <w:rFonts w:ascii="Times New Roman" w:hAnsi="Times New Roman" w:cs="Times New Roman"/>
          <w:sz w:val="24"/>
          <w:szCs w:val="24"/>
        </w:rPr>
        <w:t>significant growth rates. Fig 3</w:t>
      </w:r>
      <w:r w:rsidR="00B15F6B" w:rsidRPr="00E71565">
        <w:rPr>
          <w:rFonts w:ascii="Times New Roman" w:hAnsi="Times New Roman" w:cs="Times New Roman"/>
          <w:sz w:val="24"/>
          <w:szCs w:val="24"/>
        </w:rPr>
        <w:t xml:space="preserve"> also shows the moderate falls, especially in </w:t>
      </w:r>
      <w:proofErr w:type="spellStart"/>
      <w:r w:rsidR="00B15F6B" w:rsidRPr="00E71565">
        <w:rPr>
          <w:rFonts w:ascii="Times New Roman" w:hAnsi="Times New Roman" w:cs="Times New Roman"/>
          <w:sz w:val="24"/>
          <w:szCs w:val="24"/>
        </w:rPr>
        <w:t>Fadikpe</w:t>
      </w:r>
      <w:proofErr w:type="spellEnd"/>
      <w:r w:rsidR="00B15F6B" w:rsidRPr="00E71565">
        <w:rPr>
          <w:rFonts w:ascii="Times New Roman" w:hAnsi="Times New Roman" w:cs="Times New Roman"/>
          <w:sz w:val="24"/>
          <w:szCs w:val="24"/>
        </w:rPr>
        <w:t xml:space="preserve"> in 2015 and </w:t>
      </w:r>
      <w:proofErr w:type="spellStart"/>
      <w:r w:rsidR="00B15F6B" w:rsidRPr="00E71565">
        <w:rPr>
          <w:rFonts w:ascii="Times New Roman" w:hAnsi="Times New Roman" w:cs="Times New Roman"/>
          <w:sz w:val="24"/>
          <w:szCs w:val="24"/>
        </w:rPr>
        <w:t>Tundun</w:t>
      </w:r>
      <w:proofErr w:type="spellEnd"/>
      <w:r w:rsidR="00B15F6B" w:rsidRPr="00E71565">
        <w:rPr>
          <w:rFonts w:ascii="Times New Roman" w:hAnsi="Times New Roman" w:cs="Times New Roman"/>
          <w:sz w:val="24"/>
          <w:szCs w:val="24"/>
        </w:rPr>
        <w:t xml:space="preserve"> in 2022, which illustrates the transient market deceleration.</w:t>
      </w:r>
    </w:p>
    <w:p w14:paraId="08D11DE2" w14:textId="1FB5ED6E" w:rsidR="00B15F6B" w:rsidRPr="00E71565" w:rsidRDefault="00B15F6B" w:rsidP="00B15F6B">
      <w:pPr>
        <w:spacing w:line="240" w:lineRule="auto"/>
        <w:jc w:val="both"/>
        <w:rPr>
          <w:rFonts w:ascii="Times New Roman" w:hAnsi="Times New Roman" w:cs="Times New Roman"/>
        </w:rPr>
      </w:pPr>
      <w:r w:rsidRPr="00E71565">
        <w:rPr>
          <w:rFonts w:ascii="Times New Roman" w:hAnsi="Times New Roman" w:cs="Times New Roman"/>
          <w:sz w:val="24"/>
          <w:szCs w:val="24"/>
        </w:rPr>
        <w:t>The overall trend implies that the rate of growth of two-bedroom rentals is relatively middle-level in comparison with smaller units, as the majority of annual growth falls between 3</w:t>
      </w:r>
      <w:r w:rsidR="0039122A" w:rsidRPr="00E71565">
        <w:rPr>
          <w:rFonts w:ascii="Times New Roman" w:hAnsi="Times New Roman" w:cs="Times New Roman"/>
          <w:sz w:val="24"/>
          <w:szCs w:val="24"/>
        </w:rPr>
        <w:t>.</w:t>
      </w:r>
      <w:r w:rsidRPr="00E71565">
        <w:rPr>
          <w:rFonts w:ascii="Times New Roman" w:hAnsi="Times New Roman" w:cs="Times New Roman"/>
          <w:sz w:val="24"/>
          <w:szCs w:val="24"/>
        </w:rPr>
        <w:t>5</w:t>
      </w:r>
      <w:r w:rsidR="0039122A" w:rsidRPr="00E71565">
        <w:rPr>
          <w:rFonts w:ascii="Times New Roman" w:hAnsi="Times New Roman" w:cs="Times New Roman"/>
          <w:sz w:val="24"/>
          <w:szCs w:val="24"/>
        </w:rPr>
        <w:t>0%</w:t>
      </w:r>
      <w:r w:rsidRPr="00E71565">
        <w:rPr>
          <w:rFonts w:ascii="Times New Roman" w:hAnsi="Times New Roman" w:cs="Times New Roman"/>
          <w:sz w:val="24"/>
          <w:szCs w:val="24"/>
        </w:rPr>
        <w:t xml:space="preserve"> and 12</w:t>
      </w:r>
      <w:r w:rsidR="0039122A" w:rsidRPr="00E71565">
        <w:rPr>
          <w:rFonts w:ascii="Times New Roman" w:hAnsi="Times New Roman" w:cs="Times New Roman"/>
          <w:sz w:val="24"/>
          <w:szCs w:val="24"/>
        </w:rPr>
        <w:t>.</w:t>
      </w:r>
      <w:r w:rsidRPr="00E71565">
        <w:rPr>
          <w:rFonts w:ascii="Times New Roman" w:hAnsi="Times New Roman" w:cs="Times New Roman"/>
          <w:sz w:val="24"/>
          <w:szCs w:val="24"/>
        </w:rPr>
        <w:t>5</w:t>
      </w:r>
      <w:r w:rsidR="005F2532" w:rsidRPr="00E71565">
        <w:rPr>
          <w:rFonts w:ascii="Times New Roman" w:hAnsi="Times New Roman" w:cs="Times New Roman"/>
          <w:sz w:val="24"/>
          <w:szCs w:val="24"/>
        </w:rPr>
        <w:t>0</w:t>
      </w:r>
      <w:r w:rsidR="0039122A" w:rsidRPr="00E71565">
        <w:rPr>
          <w:rFonts w:ascii="Times New Roman" w:hAnsi="Times New Roman" w:cs="Times New Roman"/>
          <w:sz w:val="24"/>
          <w:szCs w:val="24"/>
        </w:rPr>
        <w:t>%</w:t>
      </w:r>
      <w:r w:rsidRPr="00E71565">
        <w:rPr>
          <w:rFonts w:ascii="Times New Roman" w:hAnsi="Times New Roman" w:cs="Times New Roman"/>
          <w:sz w:val="24"/>
          <w:szCs w:val="24"/>
        </w:rPr>
        <w:t xml:space="preserve"> since the year 2018. The 2021 year has been a key growth year in all </w:t>
      </w:r>
      <w:proofErr w:type="spellStart"/>
      <w:r w:rsidRPr="00E71565">
        <w:rPr>
          <w:rFonts w:ascii="Times New Roman" w:hAnsi="Times New Roman" w:cs="Times New Roman"/>
          <w:sz w:val="24"/>
          <w:szCs w:val="24"/>
        </w:rPr>
        <w:t>neighbourhoods</w:t>
      </w:r>
      <w:proofErr w:type="spellEnd"/>
      <w:r w:rsidRPr="00E71565">
        <w:rPr>
          <w:rFonts w:ascii="Times New Roman" w:hAnsi="Times New Roman" w:cs="Times New Roman"/>
          <w:sz w:val="24"/>
          <w:szCs w:val="24"/>
        </w:rPr>
        <w:t xml:space="preserve">, which implies that the demand was high or there have been macroeconomic factors that have influenced the pricing of rentals in the same year. The growth rates are more stable and in line between the three precincts between the years 2022 to 2025, which indicates stabilization in the market. </w:t>
      </w:r>
    </w:p>
    <w:p w14:paraId="3E49F7EE" w14:textId="6AFF791A" w:rsidR="004969AF" w:rsidRPr="00E71565" w:rsidRDefault="00EF011F" w:rsidP="007A19BE">
      <w:pPr>
        <w:spacing w:line="240" w:lineRule="auto"/>
        <w:rPr>
          <w:rFonts w:ascii="Times New Roman" w:hAnsi="Times New Roman" w:cs="Times New Roman"/>
          <w:b/>
          <w:sz w:val="24"/>
          <w:szCs w:val="24"/>
        </w:rPr>
      </w:pPr>
      <w:r w:rsidRPr="00E71565">
        <w:rPr>
          <w:rFonts w:ascii="Times New Roman" w:hAnsi="Times New Roman" w:cs="Times New Roman"/>
          <w:b/>
          <w:sz w:val="24"/>
          <w:szCs w:val="24"/>
        </w:rPr>
        <w:t>5.4</w:t>
      </w:r>
      <w:r w:rsidR="004F3BE0" w:rsidRPr="00E71565">
        <w:rPr>
          <w:rFonts w:ascii="Times New Roman" w:hAnsi="Times New Roman" w:cs="Times New Roman"/>
          <w:b/>
          <w:sz w:val="24"/>
          <w:szCs w:val="24"/>
        </w:rPr>
        <w:tab/>
      </w:r>
      <w:r w:rsidR="004969AF" w:rsidRPr="00E71565">
        <w:rPr>
          <w:rFonts w:ascii="Times New Roman" w:hAnsi="Times New Roman" w:cs="Times New Roman"/>
          <w:b/>
          <w:sz w:val="24"/>
          <w:szCs w:val="24"/>
        </w:rPr>
        <w:t>Variation in Annual Rental Value of Residential Properties</w:t>
      </w:r>
    </w:p>
    <w:p w14:paraId="36B93B54" w14:textId="025C4402" w:rsidR="004969AF" w:rsidRPr="00E71565" w:rsidRDefault="00B74A10" w:rsidP="007A19BE">
      <w:pPr>
        <w:spacing w:line="240" w:lineRule="auto"/>
        <w:jc w:val="both"/>
        <w:rPr>
          <w:rFonts w:ascii="Times New Roman" w:hAnsi="Times New Roman" w:cs="Times New Roman"/>
          <w:b/>
          <w:sz w:val="24"/>
          <w:szCs w:val="24"/>
        </w:rPr>
      </w:pPr>
      <w:r w:rsidRPr="00E71565">
        <w:rPr>
          <w:rFonts w:ascii="Times New Roman" w:hAnsi="Times New Roman" w:cs="Times New Roman"/>
          <w:sz w:val="24"/>
          <w:szCs w:val="24"/>
        </w:rPr>
        <w:t>Table 9</w:t>
      </w:r>
      <w:r w:rsidR="004969AF" w:rsidRPr="00E71565">
        <w:rPr>
          <w:rFonts w:ascii="Times New Roman" w:hAnsi="Times New Roman" w:cs="Times New Roman"/>
          <w:sz w:val="24"/>
          <w:szCs w:val="24"/>
        </w:rPr>
        <w:t xml:space="preserve"> showed the ANOVA analysis for Self-Contain (SC), 1Bedroom Flat (1BDF), 2Bedroom Flat (2BDF) in </w:t>
      </w:r>
      <w:proofErr w:type="spellStart"/>
      <w:r w:rsidR="004969AF" w:rsidRPr="00E71565">
        <w:rPr>
          <w:rFonts w:ascii="Times New Roman" w:hAnsi="Times New Roman" w:cs="Times New Roman"/>
          <w:sz w:val="24"/>
          <w:szCs w:val="24"/>
        </w:rPr>
        <w:t>Fadikpe</w:t>
      </w:r>
      <w:proofErr w:type="spellEnd"/>
      <w:r w:rsidR="004969AF" w:rsidRPr="00E71565">
        <w:rPr>
          <w:rFonts w:ascii="Times New Roman" w:hAnsi="Times New Roman" w:cs="Times New Roman"/>
          <w:sz w:val="24"/>
          <w:szCs w:val="24"/>
        </w:rPr>
        <w:t xml:space="preserve">, </w:t>
      </w:r>
      <w:proofErr w:type="spellStart"/>
      <w:r w:rsidR="004969AF" w:rsidRPr="00E71565">
        <w:rPr>
          <w:rFonts w:ascii="Times New Roman" w:hAnsi="Times New Roman" w:cs="Times New Roman"/>
          <w:sz w:val="24"/>
          <w:szCs w:val="24"/>
        </w:rPr>
        <w:t>Tudun</w:t>
      </w:r>
      <w:proofErr w:type="spellEnd"/>
      <w:r w:rsidR="004969AF" w:rsidRPr="00E71565">
        <w:rPr>
          <w:rFonts w:ascii="Times New Roman" w:hAnsi="Times New Roman" w:cs="Times New Roman"/>
          <w:sz w:val="24"/>
          <w:szCs w:val="24"/>
        </w:rPr>
        <w:t xml:space="preserve"> Fulani and </w:t>
      </w:r>
      <w:proofErr w:type="spellStart"/>
      <w:r w:rsidR="004969AF" w:rsidRPr="00E71565">
        <w:rPr>
          <w:rFonts w:ascii="Times New Roman" w:hAnsi="Times New Roman" w:cs="Times New Roman"/>
          <w:sz w:val="24"/>
          <w:szCs w:val="24"/>
        </w:rPr>
        <w:t>Bosso</w:t>
      </w:r>
      <w:proofErr w:type="spellEnd"/>
      <w:r w:rsidR="004969AF" w:rsidRPr="00E71565">
        <w:rPr>
          <w:rFonts w:ascii="Times New Roman" w:hAnsi="Times New Roman" w:cs="Times New Roman"/>
          <w:sz w:val="24"/>
          <w:szCs w:val="24"/>
        </w:rPr>
        <w:t xml:space="preserve"> Estate </w:t>
      </w:r>
    </w:p>
    <w:tbl>
      <w:tblPr>
        <w:tblW w:w="9939" w:type="dxa"/>
        <w:jc w:val="center"/>
        <w:tblLook w:val="04A0" w:firstRow="1" w:lastRow="0" w:firstColumn="1" w:lastColumn="0" w:noHBand="0" w:noVBand="1"/>
      </w:tblPr>
      <w:tblGrid>
        <w:gridCol w:w="1043"/>
        <w:gridCol w:w="1694"/>
        <w:gridCol w:w="1536"/>
        <w:gridCol w:w="509"/>
        <w:gridCol w:w="1536"/>
        <w:gridCol w:w="1356"/>
        <w:gridCol w:w="1236"/>
        <w:gridCol w:w="1116"/>
      </w:tblGrid>
      <w:tr w:rsidR="004969AF" w:rsidRPr="00E71565" w14:paraId="77E22D1F" w14:textId="77777777" w:rsidTr="007D4147">
        <w:trPr>
          <w:trHeight w:val="315"/>
          <w:jc w:val="center"/>
        </w:trPr>
        <w:tc>
          <w:tcPr>
            <w:tcW w:w="9939" w:type="dxa"/>
            <w:gridSpan w:val="8"/>
            <w:tcBorders>
              <w:top w:val="nil"/>
              <w:left w:val="nil"/>
              <w:bottom w:val="nil"/>
              <w:right w:val="nil"/>
            </w:tcBorders>
          </w:tcPr>
          <w:p w14:paraId="7B25E57F" w14:textId="6F26443B" w:rsidR="004969AF" w:rsidRPr="00E71565" w:rsidRDefault="00506B70"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b/>
                <w:bCs/>
                <w:sz w:val="24"/>
                <w:szCs w:val="24"/>
              </w:rPr>
              <w:lastRenderedPageBreak/>
              <w:t>Table 9</w:t>
            </w:r>
            <w:r w:rsidR="004969AF" w:rsidRPr="00E71565">
              <w:rPr>
                <w:rFonts w:ascii="Times New Roman" w:eastAsia="Times New Roman" w:hAnsi="Times New Roman" w:cs="Times New Roman"/>
                <w:b/>
                <w:bCs/>
                <w:sz w:val="24"/>
                <w:szCs w:val="24"/>
              </w:rPr>
              <w:t xml:space="preserve"> : ANOVA for self-contain, 1 bedroom and 2 bedroom at </w:t>
            </w:r>
            <w:proofErr w:type="spellStart"/>
            <w:r w:rsidR="004969AF" w:rsidRPr="00E71565">
              <w:rPr>
                <w:rFonts w:ascii="Times New Roman" w:eastAsia="Times New Roman" w:hAnsi="Times New Roman" w:cs="Times New Roman"/>
                <w:b/>
                <w:bCs/>
                <w:sz w:val="24"/>
                <w:szCs w:val="24"/>
              </w:rPr>
              <w:t>Fadikpe</w:t>
            </w:r>
            <w:proofErr w:type="spellEnd"/>
            <w:r w:rsidR="004969AF" w:rsidRPr="00E71565">
              <w:rPr>
                <w:rFonts w:ascii="Times New Roman" w:eastAsia="Times New Roman" w:hAnsi="Times New Roman" w:cs="Times New Roman"/>
                <w:b/>
                <w:bCs/>
                <w:sz w:val="24"/>
                <w:szCs w:val="24"/>
              </w:rPr>
              <w:t xml:space="preserve">, </w:t>
            </w:r>
            <w:proofErr w:type="spellStart"/>
            <w:r w:rsidR="004969AF" w:rsidRPr="00E71565">
              <w:rPr>
                <w:rFonts w:ascii="Times New Roman" w:eastAsia="Times New Roman" w:hAnsi="Times New Roman" w:cs="Times New Roman"/>
                <w:b/>
                <w:bCs/>
                <w:sz w:val="24"/>
                <w:szCs w:val="24"/>
              </w:rPr>
              <w:t>Tundun</w:t>
            </w:r>
            <w:proofErr w:type="spellEnd"/>
            <w:r w:rsidR="004969AF" w:rsidRPr="00E71565">
              <w:rPr>
                <w:rFonts w:ascii="Times New Roman" w:eastAsia="Times New Roman" w:hAnsi="Times New Roman" w:cs="Times New Roman"/>
                <w:b/>
                <w:bCs/>
                <w:sz w:val="24"/>
                <w:szCs w:val="24"/>
              </w:rPr>
              <w:t xml:space="preserve"> Fulani and </w:t>
            </w:r>
            <w:proofErr w:type="spellStart"/>
            <w:r w:rsidR="004969AF" w:rsidRPr="00E71565">
              <w:rPr>
                <w:rFonts w:ascii="Times New Roman" w:eastAsia="Times New Roman" w:hAnsi="Times New Roman" w:cs="Times New Roman"/>
                <w:b/>
                <w:bCs/>
                <w:sz w:val="24"/>
                <w:szCs w:val="24"/>
              </w:rPr>
              <w:t>Bosso</w:t>
            </w:r>
            <w:proofErr w:type="spellEnd"/>
            <w:r w:rsidR="004969AF" w:rsidRPr="00E71565">
              <w:rPr>
                <w:rFonts w:ascii="Times New Roman" w:eastAsia="Times New Roman" w:hAnsi="Times New Roman" w:cs="Times New Roman"/>
                <w:b/>
                <w:bCs/>
                <w:sz w:val="24"/>
                <w:szCs w:val="24"/>
              </w:rPr>
              <w:t xml:space="preserve"> Estate </w:t>
            </w:r>
            <w:proofErr w:type="spellStart"/>
            <w:r w:rsidR="004969AF" w:rsidRPr="00E71565">
              <w:rPr>
                <w:rFonts w:ascii="Times New Roman" w:eastAsia="Times New Roman" w:hAnsi="Times New Roman" w:cs="Times New Roman"/>
                <w:b/>
                <w:bCs/>
                <w:sz w:val="24"/>
                <w:szCs w:val="24"/>
              </w:rPr>
              <w:t>Minna</w:t>
            </w:r>
            <w:proofErr w:type="spellEnd"/>
          </w:p>
        </w:tc>
      </w:tr>
      <w:tr w:rsidR="004969AF" w:rsidRPr="00E71565" w14:paraId="4502C159" w14:textId="77777777" w:rsidTr="007D4147">
        <w:trPr>
          <w:trHeight w:val="300"/>
          <w:jc w:val="center"/>
        </w:trPr>
        <w:tc>
          <w:tcPr>
            <w:tcW w:w="956" w:type="dxa"/>
            <w:tcBorders>
              <w:top w:val="single" w:sz="8" w:space="0" w:color="auto"/>
              <w:left w:val="nil"/>
              <w:bottom w:val="single" w:sz="4" w:space="0" w:color="auto"/>
              <w:right w:val="nil"/>
            </w:tcBorders>
          </w:tcPr>
          <w:p w14:paraId="3AEA055C" w14:textId="71ADEFEB"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proofErr w:type="spellStart"/>
            <w:r w:rsidRPr="00E71565">
              <w:rPr>
                <w:rFonts w:ascii="Times New Roman" w:eastAsia="Times New Roman" w:hAnsi="Times New Roman" w:cs="Times New Roman"/>
                <w:b/>
                <w:bCs/>
                <w:i/>
                <w:iCs/>
                <w:sz w:val="24"/>
                <w:szCs w:val="24"/>
              </w:rPr>
              <w:t>Accom</w:t>
            </w:r>
            <w:proofErr w:type="spellEnd"/>
            <w:r w:rsidRPr="00E71565">
              <w:rPr>
                <w:rFonts w:ascii="Times New Roman" w:eastAsia="Times New Roman" w:hAnsi="Times New Roman" w:cs="Times New Roman"/>
                <w:b/>
                <w:bCs/>
                <w:i/>
                <w:iCs/>
                <w:sz w:val="24"/>
                <w:szCs w:val="24"/>
              </w:rPr>
              <w:t xml:space="preserve">. </w:t>
            </w:r>
            <w:r w:rsidR="00506B70" w:rsidRPr="00E71565">
              <w:rPr>
                <w:rFonts w:ascii="Times New Roman" w:eastAsia="Times New Roman" w:hAnsi="Times New Roman" w:cs="Times New Roman"/>
                <w:b/>
                <w:bCs/>
                <w:i/>
                <w:iCs/>
                <w:sz w:val="24"/>
                <w:szCs w:val="24"/>
              </w:rPr>
              <w:t>T</w:t>
            </w:r>
            <w:r w:rsidRPr="00E71565">
              <w:rPr>
                <w:rFonts w:ascii="Times New Roman" w:eastAsia="Times New Roman" w:hAnsi="Times New Roman" w:cs="Times New Roman"/>
                <w:b/>
                <w:bCs/>
                <w:i/>
                <w:iCs/>
                <w:sz w:val="24"/>
                <w:szCs w:val="24"/>
              </w:rPr>
              <w:t>ypes</w:t>
            </w:r>
          </w:p>
        </w:tc>
        <w:tc>
          <w:tcPr>
            <w:tcW w:w="1694" w:type="dxa"/>
            <w:tcBorders>
              <w:top w:val="single" w:sz="8" w:space="0" w:color="auto"/>
              <w:left w:val="nil"/>
              <w:bottom w:val="single" w:sz="4" w:space="0" w:color="auto"/>
              <w:right w:val="nil"/>
            </w:tcBorders>
            <w:shd w:val="clear" w:color="auto" w:fill="auto"/>
            <w:noWrap/>
            <w:vAlign w:val="bottom"/>
            <w:hideMark/>
          </w:tcPr>
          <w:p w14:paraId="3EDC6114"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Source of Variation</w:t>
            </w:r>
          </w:p>
        </w:tc>
        <w:tc>
          <w:tcPr>
            <w:tcW w:w="1536" w:type="dxa"/>
            <w:tcBorders>
              <w:top w:val="single" w:sz="8" w:space="0" w:color="auto"/>
              <w:left w:val="nil"/>
              <w:bottom w:val="single" w:sz="4" w:space="0" w:color="auto"/>
              <w:right w:val="nil"/>
            </w:tcBorders>
            <w:shd w:val="clear" w:color="auto" w:fill="auto"/>
            <w:noWrap/>
            <w:vAlign w:val="bottom"/>
            <w:hideMark/>
          </w:tcPr>
          <w:p w14:paraId="2785211F"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SS</w:t>
            </w:r>
          </w:p>
        </w:tc>
        <w:tc>
          <w:tcPr>
            <w:tcW w:w="509" w:type="dxa"/>
            <w:tcBorders>
              <w:top w:val="single" w:sz="8" w:space="0" w:color="auto"/>
              <w:left w:val="nil"/>
              <w:bottom w:val="single" w:sz="4" w:space="0" w:color="auto"/>
              <w:right w:val="nil"/>
            </w:tcBorders>
            <w:shd w:val="clear" w:color="auto" w:fill="auto"/>
            <w:noWrap/>
            <w:vAlign w:val="bottom"/>
            <w:hideMark/>
          </w:tcPr>
          <w:p w14:paraId="39546878"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proofErr w:type="spellStart"/>
            <w:r w:rsidRPr="00E71565">
              <w:rPr>
                <w:rFonts w:ascii="Times New Roman" w:eastAsia="Times New Roman" w:hAnsi="Times New Roman" w:cs="Times New Roman"/>
                <w:b/>
                <w:bCs/>
                <w:i/>
                <w:iCs/>
                <w:sz w:val="24"/>
                <w:szCs w:val="24"/>
              </w:rPr>
              <w:t>Df</w:t>
            </w:r>
            <w:proofErr w:type="spellEnd"/>
          </w:p>
        </w:tc>
        <w:tc>
          <w:tcPr>
            <w:tcW w:w="1536" w:type="dxa"/>
            <w:tcBorders>
              <w:top w:val="single" w:sz="8" w:space="0" w:color="auto"/>
              <w:left w:val="nil"/>
              <w:bottom w:val="single" w:sz="4" w:space="0" w:color="auto"/>
              <w:right w:val="nil"/>
            </w:tcBorders>
            <w:shd w:val="clear" w:color="auto" w:fill="auto"/>
            <w:noWrap/>
            <w:vAlign w:val="bottom"/>
            <w:hideMark/>
          </w:tcPr>
          <w:p w14:paraId="7638A4FF"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MS</w:t>
            </w:r>
          </w:p>
        </w:tc>
        <w:tc>
          <w:tcPr>
            <w:tcW w:w="1356" w:type="dxa"/>
            <w:tcBorders>
              <w:top w:val="single" w:sz="8" w:space="0" w:color="auto"/>
              <w:left w:val="nil"/>
              <w:bottom w:val="single" w:sz="4" w:space="0" w:color="auto"/>
              <w:right w:val="nil"/>
            </w:tcBorders>
            <w:shd w:val="clear" w:color="auto" w:fill="auto"/>
            <w:noWrap/>
            <w:vAlign w:val="bottom"/>
            <w:hideMark/>
          </w:tcPr>
          <w:p w14:paraId="761ECFEE"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F</w:t>
            </w:r>
          </w:p>
        </w:tc>
        <w:tc>
          <w:tcPr>
            <w:tcW w:w="1236" w:type="dxa"/>
            <w:tcBorders>
              <w:top w:val="single" w:sz="8" w:space="0" w:color="auto"/>
              <w:left w:val="nil"/>
              <w:bottom w:val="single" w:sz="4" w:space="0" w:color="auto"/>
              <w:right w:val="nil"/>
            </w:tcBorders>
            <w:shd w:val="clear" w:color="auto" w:fill="auto"/>
            <w:noWrap/>
            <w:vAlign w:val="bottom"/>
            <w:hideMark/>
          </w:tcPr>
          <w:p w14:paraId="171BE310"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P-value</w:t>
            </w:r>
          </w:p>
        </w:tc>
        <w:tc>
          <w:tcPr>
            <w:tcW w:w="1116" w:type="dxa"/>
            <w:tcBorders>
              <w:top w:val="single" w:sz="8" w:space="0" w:color="auto"/>
              <w:left w:val="nil"/>
              <w:bottom w:val="single" w:sz="4" w:space="0" w:color="auto"/>
              <w:right w:val="nil"/>
            </w:tcBorders>
            <w:shd w:val="clear" w:color="auto" w:fill="auto"/>
            <w:noWrap/>
            <w:vAlign w:val="bottom"/>
            <w:hideMark/>
          </w:tcPr>
          <w:p w14:paraId="23E28B32" w14:textId="77777777" w:rsidR="004969AF" w:rsidRPr="00E71565" w:rsidRDefault="004969AF" w:rsidP="007A19BE">
            <w:pPr>
              <w:spacing w:after="0" w:line="240" w:lineRule="auto"/>
              <w:jc w:val="both"/>
              <w:rPr>
                <w:rFonts w:ascii="Times New Roman" w:eastAsia="Times New Roman" w:hAnsi="Times New Roman" w:cs="Times New Roman"/>
                <w:b/>
                <w:bCs/>
                <w:i/>
                <w:iCs/>
                <w:sz w:val="24"/>
                <w:szCs w:val="24"/>
              </w:rPr>
            </w:pPr>
            <w:r w:rsidRPr="00E71565">
              <w:rPr>
                <w:rFonts w:ascii="Times New Roman" w:eastAsia="Times New Roman" w:hAnsi="Times New Roman" w:cs="Times New Roman"/>
                <w:b/>
                <w:bCs/>
                <w:i/>
                <w:iCs/>
                <w:sz w:val="24"/>
                <w:szCs w:val="24"/>
              </w:rPr>
              <w:t>F crit.</w:t>
            </w:r>
          </w:p>
        </w:tc>
      </w:tr>
      <w:tr w:rsidR="004969AF" w:rsidRPr="00E71565" w14:paraId="35A1954A" w14:textId="77777777" w:rsidTr="007D4147">
        <w:trPr>
          <w:trHeight w:val="300"/>
          <w:jc w:val="center"/>
        </w:trPr>
        <w:tc>
          <w:tcPr>
            <w:tcW w:w="956" w:type="dxa"/>
            <w:tcBorders>
              <w:top w:val="nil"/>
              <w:left w:val="nil"/>
              <w:bottom w:val="nil"/>
              <w:right w:val="nil"/>
            </w:tcBorders>
          </w:tcPr>
          <w:p w14:paraId="15C0586A" w14:textId="5C8B166B" w:rsidR="004969AF" w:rsidRPr="00E71565" w:rsidRDefault="00B74A10" w:rsidP="007A19BE">
            <w:pPr>
              <w:spacing w:after="0" w:line="240" w:lineRule="auto"/>
              <w:jc w:val="both"/>
              <w:rPr>
                <w:rFonts w:ascii="Times New Roman" w:eastAsia="Times New Roman" w:hAnsi="Times New Roman" w:cs="Times New Roman"/>
                <w:b/>
                <w:sz w:val="24"/>
                <w:szCs w:val="24"/>
              </w:rPr>
            </w:pPr>
            <w:r w:rsidRPr="00E71565">
              <w:rPr>
                <w:rFonts w:ascii="Times New Roman" w:eastAsia="Times New Roman" w:hAnsi="Times New Roman" w:cs="Times New Roman"/>
                <w:b/>
                <w:sz w:val="24"/>
                <w:szCs w:val="24"/>
              </w:rPr>
              <w:t>Self-Contain</w:t>
            </w:r>
          </w:p>
        </w:tc>
        <w:tc>
          <w:tcPr>
            <w:tcW w:w="1694" w:type="dxa"/>
            <w:tcBorders>
              <w:top w:val="nil"/>
              <w:left w:val="nil"/>
              <w:bottom w:val="nil"/>
              <w:right w:val="nil"/>
            </w:tcBorders>
            <w:shd w:val="clear" w:color="auto" w:fill="auto"/>
            <w:noWrap/>
            <w:vAlign w:val="bottom"/>
            <w:hideMark/>
          </w:tcPr>
          <w:p w14:paraId="0F0C8F4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Between Groups</w:t>
            </w:r>
          </w:p>
        </w:tc>
        <w:tc>
          <w:tcPr>
            <w:tcW w:w="1536" w:type="dxa"/>
            <w:tcBorders>
              <w:top w:val="nil"/>
              <w:left w:val="nil"/>
              <w:bottom w:val="nil"/>
              <w:right w:val="nil"/>
            </w:tcBorders>
            <w:shd w:val="clear" w:color="auto" w:fill="auto"/>
            <w:noWrap/>
            <w:vAlign w:val="bottom"/>
            <w:hideMark/>
          </w:tcPr>
          <w:p w14:paraId="6FE0AC04"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8429799936</w:t>
            </w:r>
          </w:p>
        </w:tc>
        <w:tc>
          <w:tcPr>
            <w:tcW w:w="509" w:type="dxa"/>
            <w:tcBorders>
              <w:top w:val="nil"/>
              <w:left w:val="nil"/>
              <w:bottom w:val="nil"/>
              <w:right w:val="nil"/>
            </w:tcBorders>
            <w:shd w:val="clear" w:color="auto" w:fill="auto"/>
            <w:noWrap/>
            <w:vAlign w:val="bottom"/>
            <w:hideMark/>
          </w:tcPr>
          <w:p w14:paraId="19341BE1"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w:t>
            </w:r>
          </w:p>
        </w:tc>
        <w:tc>
          <w:tcPr>
            <w:tcW w:w="1536" w:type="dxa"/>
            <w:tcBorders>
              <w:top w:val="nil"/>
              <w:left w:val="nil"/>
              <w:bottom w:val="nil"/>
              <w:right w:val="nil"/>
            </w:tcBorders>
            <w:shd w:val="clear" w:color="auto" w:fill="auto"/>
            <w:noWrap/>
            <w:vAlign w:val="bottom"/>
            <w:hideMark/>
          </w:tcPr>
          <w:p w14:paraId="7F1E351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4214899968</w:t>
            </w:r>
          </w:p>
        </w:tc>
        <w:tc>
          <w:tcPr>
            <w:tcW w:w="1356" w:type="dxa"/>
            <w:tcBorders>
              <w:top w:val="nil"/>
              <w:left w:val="nil"/>
              <w:bottom w:val="nil"/>
              <w:right w:val="nil"/>
            </w:tcBorders>
            <w:shd w:val="clear" w:color="auto" w:fill="auto"/>
            <w:noWrap/>
            <w:vAlign w:val="bottom"/>
            <w:hideMark/>
          </w:tcPr>
          <w:p w14:paraId="44E8AA7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11.206266</w:t>
            </w:r>
          </w:p>
        </w:tc>
        <w:tc>
          <w:tcPr>
            <w:tcW w:w="1236" w:type="dxa"/>
            <w:tcBorders>
              <w:top w:val="nil"/>
              <w:left w:val="nil"/>
              <w:bottom w:val="nil"/>
              <w:right w:val="nil"/>
            </w:tcBorders>
            <w:shd w:val="clear" w:color="auto" w:fill="auto"/>
            <w:noWrap/>
            <w:vAlign w:val="bottom"/>
            <w:hideMark/>
          </w:tcPr>
          <w:p w14:paraId="2CDFBCA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0.000286</w:t>
            </w:r>
          </w:p>
        </w:tc>
        <w:tc>
          <w:tcPr>
            <w:tcW w:w="1116" w:type="dxa"/>
            <w:tcBorders>
              <w:top w:val="nil"/>
              <w:left w:val="nil"/>
              <w:bottom w:val="nil"/>
              <w:right w:val="nil"/>
            </w:tcBorders>
            <w:shd w:val="clear" w:color="auto" w:fill="auto"/>
            <w:noWrap/>
            <w:vAlign w:val="bottom"/>
            <w:hideMark/>
          </w:tcPr>
          <w:p w14:paraId="1E54C8A1"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3.354131</w:t>
            </w:r>
          </w:p>
        </w:tc>
      </w:tr>
      <w:tr w:rsidR="004969AF" w:rsidRPr="00E71565" w14:paraId="63A37CF8" w14:textId="77777777" w:rsidTr="007D4147">
        <w:trPr>
          <w:trHeight w:val="300"/>
          <w:jc w:val="center"/>
        </w:trPr>
        <w:tc>
          <w:tcPr>
            <w:tcW w:w="956" w:type="dxa"/>
            <w:tcBorders>
              <w:top w:val="nil"/>
              <w:left w:val="nil"/>
              <w:bottom w:val="nil"/>
              <w:right w:val="nil"/>
            </w:tcBorders>
          </w:tcPr>
          <w:p w14:paraId="12E918B1" w14:textId="77777777" w:rsidR="004969AF" w:rsidRPr="00E71565" w:rsidRDefault="004969AF" w:rsidP="007A19BE">
            <w:pPr>
              <w:spacing w:after="0" w:line="240" w:lineRule="auto"/>
              <w:jc w:val="both"/>
              <w:rPr>
                <w:rFonts w:ascii="Times New Roman" w:eastAsia="Times New Roman" w:hAnsi="Times New Roman" w:cs="Times New Roman"/>
                <w:b/>
                <w:sz w:val="24"/>
                <w:szCs w:val="24"/>
              </w:rPr>
            </w:pPr>
          </w:p>
        </w:tc>
        <w:tc>
          <w:tcPr>
            <w:tcW w:w="1694" w:type="dxa"/>
            <w:tcBorders>
              <w:top w:val="nil"/>
              <w:left w:val="nil"/>
              <w:bottom w:val="nil"/>
              <w:right w:val="nil"/>
            </w:tcBorders>
            <w:shd w:val="clear" w:color="auto" w:fill="auto"/>
            <w:noWrap/>
            <w:vAlign w:val="bottom"/>
            <w:hideMark/>
          </w:tcPr>
          <w:p w14:paraId="13650BD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Within Groups</w:t>
            </w:r>
          </w:p>
        </w:tc>
        <w:tc>
          <w:tcPr>
            <w:tcW w:w="1536" w:type="dxa"/>
            <w:tcBorders>
              <w:top w:val="nil"/>
              <w:left w:val="nil"/>
              <w:bottom w:val="nil"/>
              <w:right w:val="nil"/>
            </w:tcBorders>
            <w:shd w:val="clear" w:color="auto" w:fill="auto"/>
            <w:noWrap/>
            <w:vAlign w:val="bottom"/>
            <w:hideMark/>
          </w:tcPr>
          <w:p w14:paraId="268483F6"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10155237835</w:t>
            </w:r>
          </w:p>
        </w:tc>
        <w:tc>
          <w:tcPr>
            <w:tcW w:w="509" w:type="dxa"/>
            <w:tcBorders>
              <w:top w:val="nil"/>
              <w:left w:val="nil"/>
              <w:bottom w:val="nil"/>
              <w:right w:val="nil"/>
            </w:tcBorders>
            <w:shd w:val="clear" w:color="auto" w:fill="auto"/>
            <w:noWrap/>
            <w:vAlign w:val="bottom"/>
            <w:hideMark/>
          </w:tcPr>
          <w:p w14:paraId="44C73F1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27</w:t>
            </w:r>
          </w:p>
        </w:tc>
        <w:tc>
          <w:tcPr>
            <w:tcW w:w="1536" w:type="dxa"/>
            <w:tcBorders>
              <w:top w:val="nil"/>
              <w:left w:val="nil"/>
              <w:bottom w:val="nil"/>
              <w:right w:val="nil"/>
            </w:tcBorders>
            <w:shd w:val="clear" w:color="auto" w:fill="auto"/>
            <w:noWrap/>
            <w:vAlign w:val="bottom"/>
            <w:hideMark/>
          </w:tcPr>
          <w:p w14:paraId="2ACB730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376119920</w:t>
            </w:r>
          </w:p>
        </w:tc>
        <w:tc>
          <w:tcPr>
            <w:tcW w:w="1356" w:type="dxa"/>
            <w:tcBorders>
              <w:top w:val="nil"/>
              <w:left w:val="nil"/>
              <w:bottom w:val="nil"/>
              <w:right w:val="nil"/>
            </w:tcBorders>
            <w:shd w:val="clear" w:color="auto" w:fill="auto"/>
            <w:noWrap/>
            <w:vAlign w:val="bottom"/>
            <w:hideMark/>
          </w:tcPr>
          <w:p w14:paraId="5A09879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236" w:type="dxa"/>
            <w:tcBorders>
              <w:top w:val="nil"/>
              <w:left w:val="nil"/>
              <w:bottom w:val="nil"/>
              <w:right w:val="nil"/>
            </w:tcBorders>
            <w:shd w:val="clear" w:color="auto" w:fill="auto"/>
            <w:noWrap/>
            <w:vAlign w:val="bottom"/>
            <w:hideMark/>
          </w:tcPr>
          <w:p w14:paraId="3AA2E1A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hideMark/>
          </w:tcPr>
          <w:p w14:paraId="15B88A6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r>
      <w:tr w:rsidR="004969AF" w:rsidRPr="00E71565" w14:paraId="32E18886" w14:textId="77777777" w:rsidTr="007D4147">
        <w:trPr>
          <w:trHeight w:val="315"/>
          <w:jc w:val="center"/>
        </w:trPr>
        <w:tc>
          <w:tcPr>
            <w:tcW w:w="956" w:type="dxa"/>
            <w:tcBorders>
              <w:top w:val="nil"/>
              <w:left w:val="nil"/>
              <w:bottom w:val="nil"/>
              <w:right w:val="nil"/>
            </w:tcBorders>
          </w:tcPr>
          <w:p w14:paraId="11FE1C39"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694" w:type="dxa"/>
            <w:tcBorders>
              <w:top w:val="nil"/>
              <w:left w:val="nil"/>
              <w:bottom w:val="nil"/>
              <w:right w:val="nil"/>
            </w:tcBorders>
            <w:shd w:val="clear" w:color="auto" w:fill="auto"/>
            <w:noWrap/>
            <w:vAlign w:val="bottom"/>
            <w:hideMark/>
          </w:tcPr>
          <w:p w14:paraId="5C8D8049"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536" w:type="dxa"/>
            <w:tcBorders>
              <w:top w:val="nil"/>
              <w:left w:val="nil"/>
              <w:bottom w:val="nil"/>
              <w:right w:val="nil"/>
            </w:tcBorders>
            <w:shd w:val="clear" w:color="auto" w:fill="auto"/>
            <w:noWrap/>
            <w:vAlign w:val="bottom"/>
            <w:hideMark/>
          </w:tcPr>
          <w:p w14:paraId="3B7F589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18585037772</w:t>
            </w:r>
          </w:p>
        </w:tc>
        <w:tc>
          <w:tcPr>
            <w:tcW w:w="509" w:type="dxa"/>
            <w:tcBorders>
              <w:top w:val="nil"/>
              <w:left w:val="nil"/>
              <w:bottom w:val="nil"/>
              <w:right w:val="nil"/>
            </w:tcBorders>
            <w:shd w:val="clear" w:color="auto" w:fill="auto"/>
            <w:noWrap/>
            <w:vAlign w:val="bottom"/>
            <w:hideMark/>
          </w:tcPr>
          <w:p w14:paraId="1F76A48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29</w:t>
            </w:r>
          </w:p>
        </w:tc>
        <w:tc>
          <w:tcPr>
            <w:tcW w:w="1536" w:type="dxa"/>
            <w:tcBorders>
              <w:top w:val="nil"/>
              <w:left w:val="nil"/>
              <w:bottom w:val="nil"/>
              <w:right w:val="nil"/>
            </w:tcBorders>
            <w:shd w:val="clear" w:color="auto" w:fill="auto"/>
            <w:noWrap/>
            <w:vAlign w:val="bottom"/>
            <w:hideMark/>
          </w:tcPr>
          <w:p w14:paraId="25927256"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356" w:type="dxa"/>
            <w:tcBorders>
              <w:top w:val="nil"/>
              <w:left w:val="nil"/>
              <w:bottom w:val="nil"/>
              <w:right w:val="nil"/>
            </w:tcBorders>
            <w:shd w:val="clear" w:color="auto" w:fill="auto"/>
            <w:noWrap/>
            <w:vAlign w:val="bottom"/>
            <w:hideMark/>
          </w:tcPr>
          <w:p w14:paraId="7E3915E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236" w:type="dxa"/>
            <w:tcBorders>
              <w:top w:val="nil"/>
              <w:left w:val="nil"/>
              <w:bottom w:val="nil"/>
              <w:right w:val="nil"/>
            </w:tcBorders>
            <w:shd w:val="clear" w:color="auto" w:fill="auto"/>
            <w:noWrap/>
            <w:vAlign w:val="bottom"/>
            <w:hideMark/>
          </w:tcPr>
          <w:p w14:paraId="6F0ADFE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116" w:type="dxa"/>
            <w:tcBorders>
              <w:top w:val="nil"/>
              <w:left w:val="nil"/>
              <w:bottom w:val="nil"/>
              <w:right w:val="nil"/>
            </w:tcBorders>
            <w:shd w:val="clear" w:color="auto" w:fill="auto"/>
            <w:noWrap/>
            <w:vAlign w:val="bottom"/>
            <w:hideMark/>
          </w:tcPr>
          <w:p w14:paraId="0F3D047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r>
      <w:tr w:rsidR="004969AF" w:rsidRPr="00E71565" w14:paraId="2CACA03F" w14:textId="77777777" w:rsidTr="007D4147">
        <w:trPr>
          <w:trHeight w:val="315"/>
          <w:jc w:val="center"/>
        </w:trPr>
        <w:tc>
          <w:tcPr>
            <w:tcW w:w="956" w:type="dxa"/>
            <w:tcBorders>
              <w:top w:val="nil"/>
              <w:left w:val="nil"/>
              <w:bottom w:val="nil"/>
              <w:right w:val="nil"/>
            </w:tcBorders>
          </w:tcPr>
          <w:p w14:paraId="113F4C1B" w14:textId="77777777" w:rsidR="004969AF" w:rsidRPr="00E71565" w:rsidRDefault="004969AF" w:rsidP="007A19BE">
            <w:pPr>
              <w:spacing w:after="0" w:line="240" w:lineRule="auto"/>
              <w:jc w:val="both"/>
              <w:rPr>
                <w:rFonts w:ascii="Times New Roman" w:eastAsia="Times New Roman" w:hAnsi="Times New Roman" w:cs="Times New Roman"/>
                <w:b/>
                <w:sz w:val="24"/>
                <w:szCs w:val="24"/>
              </w:rPr>
            </w:pPr>
            <w:r w:rsidRPr="00E71565">
              <w:rPr>
                <w:rFonts w:ascii="Times New Roman" w:eastAsia="Times New Roman" w:hAnsi="Times New Roman" w:cs="Times New Roman"/>
                <w:b/>
                <w:sz w:val="24"/>
                <w:szCs w:val="24"/>
              </w:rPr>
              <w:t>1 BDF</w:t>
            </w:r>
          </w:p>
        </w:tc>
        <w:tc>
          <w:tcPr>
            <w:tcW w:w="1694" w:type="dxa"/>
            <w:tcBorders>
              <w:top w:val="nil"/>
              <w:left w:val="nil"/>
              <w:bottom w:val="nil"/>
              <w:right w:val="nil"/>
            </w:tcBorders>
            <w:shd w:val="clear" w:color="auto" w:fill="auto"/>
            <w:noWrap/>
            <w:vAlign w:val="bottom"/>
          </w:tcPr>
          <w:p w14:paraId="44576FF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Between Groups</w:t>
            </w:r>
          </w:p>
        </w:tc>
        <w:tc>
          <w:tcPr>
            <w:tcW w:w="1536" w:type="dxa"/>
            <w:tcBorders>
              <w:top w:val="nil"/>
              <w:left w:val="nil"/>
              <w:bottom w:val="nil"/>
              <w:right w:val="nil"/>
            </w:tcBorders>
            <w:shd w:val="clear" w:color="auto" w:fill="auto"/>
            <w:noWrap/>
            <w:vAlign w:val="bottom"/>
          </w:tcPr>
          <w:p w14:paraId="696F2D7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34554236491</w:t>
            </w:r>
          </w:p>
        </w:tc>
        <w:tc>
          <w:tcPr>
            <w:tcW w:w="509" w:type="dxa"/>
            <w:tcBorders>
              <w:top w:val="nil"/>
              <w:left w:val="nil"/>
              <w:bottom w:val="nil"/>
              <w:right w:val="nil"/>
            </w:tcBorders>
            <w:shd w:val="clear" w:color="auto" w:fill="auto"/>
            <w:noWrap/>
            <w:vAlign w:val="bottom"/>
          </w:tcPr>
          <w:p w14:paraId="6931480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w:t>
            </w:r>
          </w:p>
        </w:tc>
        <w:tc>
          <w:tcPr>
            <w:tcW w:w="1536" w:type="dxa"/>
            <w:tcBorders>
              <w:top w:val="nil"/>
              <w:left w:val="nil"/>
              <w:bottom w:val="nil"/>
              <w:right w:val="nil"/>
            </w:tcBorders>
            <w:shd w:val="clear" w:color="auto" w:fill="auto"/>
            <w:noWrap/>
            <w:vAlign w:val="bottom"/>
          </w:tcPr>
          <w:p w14:paraId="22A483F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17277118245</w:t>
            </w:r>
          </w:p>
        </w:tc>
        <w:tc>
          <w:tcPr>
            <w:tcW w:w="1356" w:type="dxa"/>
            <w:tcBorders>
              <w:top w:val="nil"/>
              <w:left w:val="nil"/>
              <w:bottom w:val="nil"/>
              <w:right w:val="nil"/>
            </w:tcBorders>
            <w:shd w:val="clear" w:color="auto" w:fill="auto"/>
            <w:noWrap/>
            <w:vAlign w:val="bottom"/>
          </w:tcPr>
          <w:p w14:paraId="1C686624"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19.6428632</w:t>
            </w:r>
          </w:p>
        </w:tc>
        <w:tc>
          <w:tcPr>
            <w:tcW w:w="1236" w:type="dxa"/>
            <w:tcBorders>
              <w:top w:val="nil"/>
              <w:left w:val="nil"/>
              <w:bottom w:val="nil"/>
              <w:right w:val="nil"/>
            </w:tcBorders>
            <w:shd w:val="clear" w:color="auto" w:fill="auto"/>
            <w:noWrap/>
            <w:vAlign w:val="bottom"/>
          </w:tcPr>
          <w:p w14:paraId="6C2335C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0.0000054</w:t>
            </w:r>
          </w:p>
        </w:tc>
        <w:tc>
          <w:tcPr>
            <w:tcW w:w="1116" w:type="dxa"/>
            <w:tcBorders>
              <w:top w:val="nil"/>
              <w:left w:val="nil"/>
              <w:bottom w:val="nil"/>
              <w:right w:val="nil"/>
            </w:tcBorders>
            <w:shd w:val="clear" w:color="auto" w:fill="auto"/>
            <w:noWrap/>
            <w:vAlign w:val="bottom"/>
          </w:tcPr>
          <w:p w14:paraId="1DD26D02"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3.354131</w:t>
            </w:r>
          </w:p>
        </w:tc>
      </w:tr>
      <w:tr w:rsidR="004969AF" w:rsidRPr="00E71565" w14:paraId="3CA39DA7" w14:textId="77777777" w:rsidTr="007D4147">
        <w:trPr>
          <w:trHeight w:val="315"/>
          <w:jc w:val="center"/>
        </w:trPr>
        <w:tc>
          <w:tcPr>
            <w:tcW w:w="956" w:type="dxa"/>
            <w:tcBorders>
              <w:top w:val="nil"/>
              <w:left w:val="nil"/>
              <w:bottom w:val="nil"/>
              <w:right w:val="nil"/>
            </w:tcBorders>
          </w:tcPr>
          <w:p w14:paraId="758C6567" w14:textId="77777777" w:rsidR="004969AF" w:rsidRPr="00E71565" w:rsidRDefault="004969AF" w:rsidP="007A19BE">
            <w:pPr>
              <w:spacing w:after="0" w:line="240" w:lineRule="auto"/>
              <w:jc w:val="both"/>
              <w:rPr>
                <w:rFonts w:ascii="Times New Roman" w:eastAsia="Times New Roman" w:hAnsi="Times New Roman" w:cs="Times New Roman"/>
                <w:b/>
                <w:sz w:val="24"/>
                <w:szCs w:val="24"/>
              </w:rPr>
            </w:pPr>
          </w:p>
        </w:tc>
        <w:tc>
          <w:tcPr>
            <w:tcW w:w="1694" w:type="dxa"/>
            <w:tcBorders>
              <w:top w:val="nil"/>
              <w:left w:val="nil"/>
              <w:bottom w:val="nil"/>
              <w:right w:val="nil"/>
            </w:tcBorders>
            <w:shd w:val="clear" w:color="auto" w:fill="auto"/>
            <w:noWrap/>
            <w:vAlign w:val="bottom"/>
          </w:tcPr>
          <w:p w14:paraId="261B1C6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Within Groups</w:t>
            </w:r>
          </w:p>
        </w:tc>
        <w:tc>
          <w:tcPr>
            <w:tcW w:w="1536" w:type="dxa"/>
            <w:tcBorders>
              <w:top w:val="nil"/>
              <w:left w:val="nil"/>
              <w:bottom w:val="nil"/>
              <w:right w:val="nil"/>
            </w:tcBorders>
            <w:shd w:val="clear" w:color="auto" w:fill="auto"/>
            <w:noWrap/>
            <w:vAlign w:val="bottom"/>
          </w:tcPr>
          <w:p w14:paraId="791E4CB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23748177062</w:t>
            </w:r>
          </w:p>
        </w:tc>
        <w:tc>
          <w:tcPr>
            <w:tcW w:w="509" w:type="dxa"/>
            <w:tcBorders>
              <w:top w:val="nil"/>
              <w:left w:val="nil"/>
              <w:bottom w:val="nil"/>
              <w:right w:val="nil"/>
            </w:tcBorders>
            <w:shd w:val="clear" w:color="auto" w:fill="auto"/>
            <w:noWrap/>
            <w:vAlign w:val="bottom"/>
          </w:tcPr>
          <w:p w14:paraId="1A7342B6"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27</w:t>
            </w:r>
          </w:p>
        </w:tc>
        <w:tc>
          <w:tcPr>
            <w:tcW w:w="1536" w:type="dxa"/>
            <w:tcBorders>
              <w:top w:val="nil"/>
              <w:left w:val="nil"/>
              <w:bottom w:val="nil"/>
              <w:right w:val="nil"/>
            </w:tcBorders>
            <w:shd w:val="clear" w:color="auto" w:fill="auto"/>
            <w:noWrap/>
            <w:vAlign w:val="bottom"/>
          </w:tcPr>
          <w:p w14:paraId="52D2F564"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879562113.4</w:t>
            </w:r>
          </w:p>
        </w:tc>
        <w:tc>
          <w:tcPr>
            <w:tcW w:w="1356" w:type="dxa"/>
            <w:tcBorders>
              <w:top w:val="nil"/>
              <w:left w:val="nil"/>
              <w:bottom w:val="nil"/>
              <w:right w:val="nil"/>
            </w:tcBorders>
            <w:shd w:val="clear" w:color="auto" w:fill="auto"/>
            <w:noWrap/>
            <w:vAlign w:val="bottom"/>
          </w:tcPr>
          <w:p w14:paraId="021CDCC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236" w:type="dxa"/>
            <w:tcBorders>
              <w:top w:val="nil"/>
              <w:left w:val="nil"/>
              <w:bottom w:val="nil"/>
              <w:right w:val="nil"/>
            </w:tcBorders>
            <w:shd w:val="clear" w:color="auto" w:fill="auto"/>
            <w:noWrap/>
            <w:vAlign w:val="bottom"/>
          </w:tcPr>
          <w:p w14:paraId="284EF498"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tcPr>
          <w:p w14:paraId="780A426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r>
      <w:tr w:rsidR="004969AF" w:rsidRPr="00E71565" w14:paraId="5DC331A1" w14:textId="77777777" w:rsidTr="007D4147">
        <w:trPr>
          <w:trHeight w:val="315"/>
          <w:jc w:val="center"/>
        </w:trPr>
        <w:tc>
          <w:tcPr>
            <w:tcW w:w="956" w:type="dxa"/>
            <w:tcBorders>
              <w:top w:val="nil"/>
              <w:left w:val="nil"/>
              <w:bottom w:val="nil"/>
              <w:right w:val="nil"/>
            </w:tcBorders>
          </w:tcPr>
          <w:p w14:paraId="6BE3D6EC"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694" w:type="dxa"/>
            <w:tcBorders>
              <w:top w:val="nil"/>
              <w:left w:val="nil"/>
              <w:bottom w:val="nil"/>
              <w:right w:val="nil"/>
            </w:tcBorders>
            <w:shd w:val="clear" w:color="auto" w:fill="auto"/>
            <w:noWrap/>
            <w:vAlign w:val="bottom"/>
          </w:tcPr>
          <w:p w14:paraId="1EB911F9"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536" w:type="dxa"/>
            <w:tcBorders>
              <w:top w:val="nil"/>
              <w:left w:val="nil"/>
              <w:bottom w:val="nil"/>
              <w:right w:val="nil"/>
            </w:tcBorders>
            <w:shd w:val="clear" w:color="auto" w:fill="auto"/>
            <w:noWrap/>
            <w:vAlign w:val="bottom"/>
          </w:tcPr>
          <w:p w14:paraId="3CF34936"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58302413553</w:t>
            </w:r>
          </w:p>
        </w:tc>
        <w:tc>
          <w:tcPr>
            <w:tcW w:w="509" w:type="dxa"/>
            <w:tcBorders>
              <w:top w:val="nil"/>
              <w:left w:val="nil"/>
              <w:bottom w:val="nil"/>
              <w:right w:val="nil"/>
            </w:tcBorders>
            <w:shd w:val="clear" w:color="auto" w:fill="auto"/>
            <w:noWrap/>
            <w:vAlign w:val="bottom"/>
          </w:tcPr>
          <w:p w14:paraId="5C4C6898"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29</w:t>
            </w:r>
          </w:p>
        </w:tc>
        <w:tc>
          <w:tcPr>
            <w:tcW w:w="1536" w:type="dxa"/>
            <w:tcBorders>
              <w:top w:val="nil"/>
              <w:left w:val="nil"/>
              <w:bottom w:val="nil"/>
              <w:right w:val="nil"/>
            </w:tcBorders>
            <w:shd w:val="clear" w:color="auto" w:fill="auto"/>
            <w:noWrap/>
            <w:vAlign w:val="bottom"/>
          </w:tcPr>
          <w:p w14:paraId="7A557019"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356" w:type="dxa"/>
            <w:tcBorders>
              <w:top w:val="nil"/>
              <w:left w:val="nil"/>
              <w:bottom w:val="nil"/>
              <w:right w:val="nil"/>
            </w:tcBorders>
            <w:shd w:val="clear" w:color="auto" w:fill="auto"/>
            <w:noWrap/>
            <w:vAlign w:val="bottom"/>
          </w:tcPr>
          <w:p w14:paraId="3ABA69F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236" w:type="dxa"/>
            <w:tcBorders>
              <w:top w:val="nil"/>
              <w:left w:val="nil"/>
              <w:bottom w:val="nil"/>
              <w:right w:val="nil"/>
            </w:tcBorders>
            <w:shd w:val="clear" w:color="auto" w:fill="auto"/>
            <w:noWrap/>
            <w:vAlign w:val="bottom"/>
          </w:tcPr>
          <w:p w14:paraId="1C7FFE60"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116" w:type="dxa"/>
            <w:tcBorders>
              <w:top w:val="nil"/>
              <w:left w:val="nil"/>
              <w:bottom w:val="nil"/>
              <w:right w:val="nil"/>
            </w:tcBorders>
            <w:shd w:val="clear" w:color="auto" w:fill="auto"/>
            <w:noWrap/>
            <w:vAlign w:val="bottom"/>
          </w:tcPr>
          <w:p w14:paraId="754E73F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r>
      <w:tr w:rsidR="004969AF" w:rsidRPr="00E71565" w14:paraId="5B6C047B" w14:textId="77777777" w:rsidTr="007D4147">
        <w:trPr>
          <w:trHeight w:val="315"/>
          <w:jc w:val="center"/>
        </w:trPr>
        <w:tc>
          <w:tcPr>
            <w:tcW w:w="956" w:type="dxa"/>
            <w:tcBorders>
              <w:top w:val="nil"/>
              <w:left w:val="nil"/>
              <w:bottom w:val="nil"/>
              <w:right w:val="nil"/>
            </w:tcBorders>
          </w:tcPr>
          <w:p w14:paraId="2453CD2C" w14:textId="77777777" w:rsidR="004969AF" w:rsidRPr="00E71565" w:rsidRDefault="004969AF" w:rsidP="007A19BE">
            <w:pPr>
              <w:spacing w:after="0" w:line="240" w:lineRule="auto"/>
              <w:jc w:val="both"/>
              <w:rPr>
                <w:rFonts w:ascii="Times New Roman" w:eastAsia="Times New Roman" w:hAnsi="Times New Roman" w:cs="Times New Roman"/>
                <w:b/>
                <w:sz w:val="24"/>
                <w:szCs w:val="24"/>
              </w:rPr>
            </w:pPr>
            <w:r w:rsidRPr="00E71565">
              <w:rPr>
                <w:rFonts w:ascii="Times New Roman" w:eastAsia="Times New Roman" w:hAnsi="Times New Roman" w:cs="Times New Roman"/>
                <w:b/>
                <w:sz w:val="24"/>
                <w:szCs w:val="24"/>
              </w:rPr>
              <w:t>2 BDF</w:t>
            </w:r>
          </w:p>
        </w:tc>
        <w:tc>
          <w:tcPr>
            <w:tcW w:w="1694" w:type="dxa"/>
            <w:tcBorders>
              <w:top w:val="nil"/>
              <w:left w:val="nil"/>
              <w:bottom w:val="nil"/>
              <w:right w:val="nil"/>
            </w:tcBorders>
            <w:shd w:val="clear" w:color="auto" w:fill="auto"/>
            <w:noWrap/>
            <w:vAlign w:val="bottom"/>
          </w:tcPr>
          <w:p w14:paraId="3DF2E91A"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Between Groups</w:t>
            </w:r>
          </w:p>
        </w:tc>
        <w:tc>
          <w:tcPr>
            <w:tcW w:w="1536" w:type="dxa"/>
            <w:tcBorders>
              <w:top w:val="nil"/>
              <w:left w:val="nil"/>
              <w:bottom w:val="nil"/>
              <w:right w:val="nil"/>
            </w:tcBorders>
            <w:shd w:val="clear" w:color="auto" w:fill="auto"/>
            <w:noWrap/>
            <w:vAlign w:val="bottom"/>
          </w:tcPr>
          <w:p w14:paraId="2AE5554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10598915890</w:t>
            </w:r>
          </w:p>
        </w:tc>
        <w:tc>
          <w:tcPr>
            <w:tcW w:w="509" w:type="dxa"/>
            <w:tcBorders>
              <w:top w:val="nil"/>
              <w:left w:val="nil"/>
              <w:bottom w:val="nil"/>
              <w:right w:val="nil"/>
            </w:tcBorders>
            <w:shd w:val="clear" w:color="auto" w:fill="auto"/>
            <w:noWrap/>
            <w:vAlign w:val="bottom"/>
          </w:tcPr>
          <w:p w14:paraId="3B06300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w:t>
            </w:r>
          </w:p>
        </w:tc>
        <w:tc>
          <w:tcPr>
            <w:tcW w:w="1536" w:type="dxa"/>
            <w:tcBorders>
              <w:top w:val="nil"/>
              <w:left w:val="nil"/>
              <w:bottom w:val="nil"/>
              <w:right w:val="nil"/>
            </w:tcBorders>
            <w:shd w:val="clear" w:color="auto" w:fill="auto"/>
            <w:noWrap/>
            <w:vAlign w:val="bottom"/>
          </w:tcPr>
          <w:p w14:paraId="776E750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5299457945</w:t>
            </w:r>
          </w:p>
        </w:tc>
        <w:tc>
          <w:tcPr>
            <w:tcW w:w="1356" w:type="dxa"/>
            <w:tcBorders>
              <w:top w:val="nil"/>
              <w:left w:val="nil"/>
              <w:bottom w:val="nil"/>
              <w:right w:val="nil"/>
            </w:tcBorders>
            <w:shd w:val="clear" w:color="auto" w:fill="auto"/>
            <w:noWrap/>
            <w:vAlign w:val="bottom"/>
          </w:tcPr>
          <w:p w14:paraId="638D9079"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4.20561162</w:t>
            </w:r>
          </w:p>
        </w:tc>
        <w:tc>
          <w:tcPr>
            <w:tcW w:w="1236" w:type="dxa"/>
            <w:tcBorders>
              <w:top w:val="nil"/>
              <w:left w:val="nil"/>
              <w:bottom w:val="nil"/>
              <w:right w:val="nil"/>
            </w:tcBorders>
            <w:shd w:val="clear" w:color="auto" w:fill="auto"/>
            <w:noWrap/>
            <w:vAlign w:val="bottom"/>
          </w:tcPr>
          <w:p w14:paraId="48EC4B7F"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0.025704</w:t>
            </w:r>
          </w:p>
        </w:tc>
        <w:tc>
          <w:tcPr>
            <w:tcW w:w="1116" w:type="dxa"/>
            <w:tcBorders>
              <w:top w:val="nil"/>
              <w:left w:val="nil"/>
              <w:bottom w:val="nil"/>
              <w:right w:val="nil"/>
            </w:tcBorders>
            <w:shd w:val="clear" w:color="auto" w:fill="auto"/>
            <w:noWrap/>
            <w:vAlign w:val="bottom"/>
          </w:tcPr>
          <w:p w14:paraId="2C19234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3.354131</w:t>
            </w:r>
          </w:p>
        </w:tc>
      </w:tr>
      <w:tr w:rsidR="004969AF" w:rsidRPr="00E71565" w14:paraId="56E6E691" w14:textId="77777777" w:rsidTr="007D4147">
        <w:trPr>
          <w:trHeight w:val="315"/>
          <w:jc w:val="center"/>
        </w:trPr>
        <w:tc>
          <w:tcPr>
            <w:tcW w:w="956" w:type="dxa"/>
            <w:tcBorders>
              <w:top w:val="nil"/>
              <w:left w:val="nil"/>
              <w:bottom w:val="nil"/>
              <w:right w:val="nil"/>
            </w:tcBorders>
          </w:tcPr>
          <w:p w14:paraId="59F4D5C6" w14:textId="77777777" w:rsidR="004969AF" w:rsidRPr="00E71565" w:rsidRDefault="004969AF" w:rsidP="007A19BE">
            <w:pPr>
              <w:spacing w:after="0" w:line="240" w:lineRule="auto"/>
              <w:jc w:val="both"/>
              <w:rPr>
                <w:rFonts w:ascii="Times New Roman" w:eastAsia="Times New Roman" w:hAnsi="Times New Roman" w:cs="Times New Roman"/>
                <w:b/>
                <w:sz w:val="24"/>
                <w:szCs w:val="24"/>
              </w:rPr>
            </w:pPr>
          </w:p>
        </w:tc>
        <w:tc>
          <w:tcPr>
            <w:tcW w:w="1694" w:type="dxa"/>
            <w:tcBorders>
              <w:top w:val="nil"/>
              <w:left w:val="nil"/>
              <w:bottom w:val="nil"/>
              <w:right w:val="nil"/>
            </w:tcBorders>
            <w:shd w:val="clear" w:color="auto" w:fill="auto"/>
            <w:noWrap/>
            <w:vAlign w:val="bottom"/>
          </w:tcPr>
          <w:p w14:paraId="20B9E6C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Within Groups</w:t>
            </w:r>
          </w:p>
        </w:tc>
        <w:tc>
          <w:tcPr>
            <w:tcW w:w="1536" w:type="dxa"/>
            <w:tcBorders>
              <w:top w:val="nil"/>
              <w:left w:val="nil"/>
              <w:bottom w:val="nil"/>
              <w:right w:val="nil"/>
            </w:tcBorders>
            <w:shd w:val="clear" w:color="auto" w:fill="auto"/>
            <w:noWrap/>
            <w:vAlign w:val="bottom"/>
          </w:tcPr>
          <w:p w14:paraId="16D6E53E"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34022486501</w:t>
            </w:r>
          </w:p>
        </w:tc>
        <w:tc>
          <w:tcPr>
            <w:tcW w:w="509" w:type="dxa"/>
            <w:tcBorders>
              <w:top w:val="nil"/>
              <w:left w:val="nil"/>
              <w:bottom w:val="nil"/>
              <w:right w:val="nil"/>
            </w:tcBorders>
            <w:shd w:val="clear" w:color="auto" w:fill="auto"/>
            <w:noWrap/>
            <w:vAlign w:val="bottom"/>
          </w:tcPr>
          <w:p w14:paraId="4D252E8D"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27</w:t>
            </w:r>
          </w:p>
        </w:tc>
        <w:tc>
          <w:tcPr>
            <w:tcW w:w="1536" w:type="dxa"/>
            <w:tcBorders>
              <w:top w:val="nil"/>
              <w:left w:val="nil"/>
              <w:bottom w:val="nil"/>
              <w:right w:val="nil"/>
            </w:tcBorders>
            <w:shd w:val="clear" w:color="auto" w:fill="auto"/>
            <w:noWrap/>
            <w:vAlign w:val="bottom"/>
          </w:tcPr>
          <w:p w14:paraId="2677A57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1260092093</w:t>
            </w:r>
          </w:p>
        </w:tc>
        <w:tc>
          <w:tcPr>
            <w:tcW w:w="1356" w:type="dxa"/>
            <w:tcBorders>
              <w:top w:val="nil"/>
              <w:left w:val="nil"/>
              <w:bottom w:val="nil"/>
              <w:right w:val="nil"/>
            </w:tcBorders>
            <w:shd w:val="clear" w:color="auto" w:fill="auto"/>
            <w:noWrap/>
            <w:vAlign w:val="bottom"/>
          </w:tcPr>
          <w:p w14:paraId="5712F887"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236" w:type="dxa"/>
            <w:tcBorders>
              <w:top w:val="nil"/>
              <w:left w:val="nil"/>
              <w:bottom w:val="nil"/>
              <w:right w:val="nil"/>
            </w:tcBorders>
            <w:shd w:val="clear" w:color="auto" w:fill="auto"/>
            <w:noWrap/>
            <w:vAlign w:val="bottom"/>
          </w:tcPr>
          <w:p w14:paraId="0DD54563"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c>
          <w:tcPr>
            <w:tcW w:w="1116" w:type="dxa"/>
            <w:tcBorders>
              <w:top w:val="nil"/>
              <w:left w:val="nil"/>
              <w:bottom w:val="nil"/>
              <w:right w:val="nil"/>
            </w:tcBorders>
            <w:shd w:val="clear" w:color="auto" w:fill="auto"/>
            <w:noWrap/>
            <w:vAlign w:val="bottom"/>
          </w:tcPr>
          <w:p w14:paraId="49D3A17C"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p>
        </w:tc>
      </w:tr>
      <w:tr w:rsidR="004969AF" w:rsidRPr="00E71565" w14:paraId="55231512" w14:textId="77777777" w:rsidTr="007D4147">
        <w:trPr>
          <w:trHeight w:val="315"/>
          <w:jc w:val="center"/>
        </w:trPr>
        <w:tc>
          <w:tcPr>
            <w:tcW w:w="956" w:type="dxa"/>
            <w:tcBorders>
              <w:top w:val="nil"/>
              <w:left w:val="nil"/>
              <w:bottom w:val="single" w:sz="8" w:space="0" w:color="auto"/>
              <w:right w:val="nil"/>
            </w:tcBorders>
          </w:tcPr>
          <w:p w14:paraId="73281E51"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p>
        </w:tc>
        <w:tc>
          <w:tcPr>
            <w:tcW w:w="1694" w:type="dxa"/>
            <w:tcBorders>
              <w:top w:val="nil"/>
              <w:left w:val="nil"/>
              <w:bottom w:val="single" w:sz="8" w:space="0" w:color="auto"/>
              <w:right w:val="nil"/>
            </w:tcBorders>
            <w:shd w:val="clear" w:color="auto" w:fill="auto"/>
            <w:noWrap/>
            <w:vAlign w:val="bottom"/>
          </w:tcPr>
          <w:p w14:paraId="651FFADE"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Total</w:t>
            </w:r>
          </w:p>
        </w:tc>
        <w:tc>
          <w:tcPr>
            <w:tcW w:w="1536" w:type="dxa"/>
            <w:tcBorders>
              <w:top w:val="nil"/>
              <w:left w:val="nil"/>
              <w:bottom w:val="single" w:sz="8" w:space="0" w:color="auto"/>
              <w:right w:val="nil"/>
            </w:tcBorders>
            <w:shd w:val="clear" w:color="auto" w:fill="auto"/>
            <w:noWrap/>
            <w:vAlign w:val="bottom"/>
          </w:tcPr>
          <w:p w14:paraId="16E7F0CA"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44621402391</w:t>
            </w:r>
          </w:p>
        </w:tc>
        <w:tc>
          <w:tcPr>
            <w:tcW w:w="509" w:type="dxa"/>
            <w:tcBorders>
              <w:top w:val="nil"/>
              <w:left w:val="nil"/>
              <w:bottom w:val="single" w:sz="8" w:space="0" w:color="auto"/>
              <w:right w:val="nil"/>
            </w:tcBorders>
            <w:shd w:val="clear" w:color="auto" w:fill="auto"/>
            <w:noWrap/>
            <w:vAlign w:val="bottom"/>
          </w:tcPr>
          <w:p w14:paraId="5B0D3C90" w14:textId="77777777" w:rsidR="004969AF" w:rsidRPr="00E71565" w:rsidRDefault="004969AF" w:rsidP="007A19BE">
            <w:pPr>
              <w:spacing w:after="0" w:line="240" w:lineRule="auto"/>
              <w:jc w:val="both"/>
              <w:rPr>
                <w:rFonts w:ascii="Times New Roman" w:eastAsia="Times New Roman" w:hAnsi="Times New Roman" w:cs="Times New Roman"/>
                <w:b/>
                <w:bCs/>
                <w:sz w:val="24"/>
                <w:szCs w:val="24"/>
              </w:rPr>
            </w:pPr>
            <w:r w:rsidRPr="00E71565">
              <w:rPr>
                <w:rFonts w:ascii="Times New Roman" w:eastAsia="Times New Roman" w:hAnsi="Times New Roman" w:cs="Times New Roman"/>
                <w:b/>
                <w:bCs/>
                <w:sz w:val="24"/>
                <w:szCs w:val="24"/>
              </w:rPr>
              <w:t>29</w:t>
            </w:r>
          </w:p>
        </w:tc>
        <w:tc>
          <w:tcPr>
            <w:tcW w:w="1536" w:type="dxa"/>
            <w:tcBorders>
              <w:top w:val="nil"/>
              <w:left w:val="nil"/>
              <w:bottom w:val="single" w:sz="8" w:space="0" w:color="auto"/>
              <w:right w:val="nil"/>
            </w:tcBorders>
            <w:shd w:val="clear" w:color="auto" w:fill="auto"/>
            <w:noWrap/>
            <w:vAlign w:val="bottom"/>
          </w:tcPr>
          <w:p w14:paraId="25D94F95"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356" w:type="dxa"/>
            <w:tcBorders>
              <w:top w:val="nil"/>
              <w:left w:val="nil"/>
              <w:bottom w:val="single" w:sz="8" w:space="0" w:color="auto"/>
              <w:right w:val="nil"/>
            </w:tcBorders>
            <w:shd w:val="clear" w:color="auto" w:fill="auto"/>
            <w:noWrap/>
            <w:vAlign w:val="bottom"/>
          </w:tcPr>
          <w:p w14:paraId="1CCED6D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236" w:type="dxa"/>
            <w:tcBorders>
              <w:top w:val="nil"/>
              <w:left w:val="nil"/>
              <w:bottom w:val="single" w:sz="8" w:space="0" w:color="auto"/>
              <w:right w:val="nil"/>
            </w:tcBorders>
            <w:shd w:val="clear" w:color="auto" w:fill="auto"/>
            <w:noWrap/>
            <w:vAlign w:val="bottom"/>
          </w:tcPr>
          <w:p w14:paraId="46154D39"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c>
          <w:tcPr>
            <w:tcW w:w="1116" w:type="dxa"/>
            <w:tcBorders>
              <w:top w:val="nil"/>
              <w:left w:val="nil"/>
              <w:bottom w:val="single" w:sz="8" w:space="0" w:color="auto"/>
              <w:right w:val="nil"/>
            </w:tcBorders>
            <w:shd w:val="clear" w:color="auto" w:fill="auto"/>
            <w:noWrap/>
            <w:vAlign w:val="bottom"/>
          </w:tcPr>
          <w:p w14:paraId="3A40705B" w14:textId="77777777" w:rsidR="004969AF" w:rsidRPr="00E71565" w:rsidRDefault="004969AF" w:rsidP="007A19BE">
            <w:pPr>
              <w:spacing w:after="0" w:line="240" w:lineRule="auto"/>
              <w:jc w:val="both"/>
              <w:rPr>
                <w:rFonts w:ascii="Times New Roman" w:eastAsia="Times New Roman" w:hAnsi="Times New Roman" w:cs="Times New Roman"/>
                <w:sz w:val="24"/>
                <w:szCs w:val="24"/>
              </w:rPr>
            </w:pPr>
            <w:r w:rsidRPr="00E71565">
              <w:rPr>
                <w:rFonts w:ascii="Times New Roman" w:eastAsia="Times New Roman" w:hAnsi="Times New Roman" w:cs="Times New Roman"/>
                <w:sz w:val="24"/>
                <w:szCs w:val="24"/>
              </w:rPr>
              <w:t> </w:t>
            </w:r>
          </w:p>
        </w:tc>
      </w:tr>
    </w:tbl>
    <w:p w14:paraId="3DEC2E5A" w14:textId="511BE693" w:rsidR="004969AF" w:rsidRPr="00E71565" w:rsidRDefault="004969AF" w:rsidP="007A19BE">
      <w:pPr>
        <w:spacing w:line="240" w:lineRule="auto"/>
        <w:jc w:val="both"/>
        <w:rPr>
          <w:rFonts w:ascii="Times New Roman" w:hAnsi="Times New Roman" w:cs="Times New Roman"/>
          <w:sz w:val="24"/>
          <w:szCs w:val="24"/>
        </w:rPr>
      </w:pPr>
      <w:r w:rsidRPr="00E71565">
        <w:rPr>
          <w:rFonts w:ascii="Times New Roman" w:hAnsi="Times New Roman" w:cs="Times New Roman"/>
          <w:b/>
          <w:sz w:val="24"/>
          <w:szCs w:val="24"/>
        </w:rPr>
        <w:t>Source:</w:t>
      </w:r>
      <w:r w:rsidRPr="00E71565">
        <w:rPr>
          <w:rFonts w:ascii="Times New Roman" w:hAnsi="Times New Roman" w:cs="Times New Roman"/>
          <w:sz w:val="24"/>
          <w:szCs w:val="24"/>
        </w:rPr>
        <w:t xml:space="preserve"> Researche</w:t>
      </w:r>
      <w:r w:rsidR="00E71565">
        <w:rPr>
          <w:rFonts w:ascii="Times New Roman" w:hAnsi="Times New Roman" w:cs="Times New Roman"/>
          <w:sz w:val="24"/>
          <w:szCs w:val="24"/>
        </w:rPr>
        <w:t>r’s computation from Table 7 &amp; 8</w:t>
      </w:r>
    </w:p>
    <w:p w14:paraId="28BB123B" w14:textId="1591765B" w:rsidR="004969AF" w:rsidRPr="00E71565" w:rsidRDefault="00506B70" w:rsidP="007A19BE">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Table 9</w:t>
      </w:r>
      <w:r w:rsidR="004969AF" w:rsidRPr="00E71565">
        <w:rPr>
          <w:rFonts w:ascii="Times New Roman" w:hAnsi="Times New Roman" w:cs="Times New Roman"/>
          <w:bCs/>
          <w:sz w:val="24"/>
          <w:szCs w:val="24"/>
        </w:rPr>
        <w:t xml:space="preserve"> presents the result of </w:t>
      </w:r>
      <w:proofErr w:type="gramStart"/>
      <w:r w:rsidR="004969AF" w:rsidRPr="00E71565">
        <w:rPr>
          <w:rFonts w:ascii="Times New Roman" w:hAnsi="Times New Roman" w:cs="Times New Roman"/>
          <w:bCs/>
          <w:sz w:val="24"/>
          <w:szCs w:val="24"/>
        </w:rPr>
        <w:t>Two</w:t>
      </w:r>
      <w:proofErr w:type="gramEnd"/>
      <w:r w:rsidR="004969AF" w:rsidRPr="00E71565">
        <w:rPr>
          <w:rFonts w:ascii="Times New Roman" w:hAnsi="Times New Roman" w:cs="Times New Roman"/>
          <w:bCs/>
          <w:sz w:val="24"/>
          <w:szCs w:val="24"/>
        </w:rPr>
        <w:t xml:space="preserve"> way ANOVA using the mean values of annual rental values of different accommodation types across the three selected residential </w:t>
      </w:r>
      <w:proofErr w:type="spellStart"/>
      <w:r w:rsidR="004969AF" w:rsidRPr="00E71565">
        <w:rPr>
          <w:rFonts w:ascii="Times New Roman" w:hAnsi="Times New Roman" w:cs="Times New Roman"/>
          <w:bCs/>
          <w:sz w:val="24"/>
          <w:szCs w:val="24"/>
        </w:rPr>
        <w:t>neighbourhood</w:t>
      </w:r>
      <w:proofErr w:type="spellEnd"/>
      <w:r w:rsidR="004969AF" w:rsidRPr="00E71565">
        <w:rPr>
          <w:rFonts w:ascii="Times New Roman" w:hAnsi="Times New Roman" w:cs="Times New Roman"/>
          <w:bCs/>
          <w:sz w:val="24"/>
          <w:szCs w:val="24"/>
        </w:rPr>
        <w:t xml:space="preserve"> in the study area. The result revealed that under self-contain F (2, 27) = 11.206 with p value of 0.000286 &lt; 0.05. This shows that there is statistically significance difference in the mean value of annual rental values of self-contains across the selected residential </w:t>
      </w:r>
      <w:proofErr w:type="spellStart"/>
      <w:r w:rsidR="004969AF" w:rsidRPr="00E71565">
        <w:rPr>
          <w:rFonts w:ascii="Times New Roman" w:hAnsi="Times New Roman" w:cs="Times New Roman"/>
          <w:bCs/>
          <w:sz w:val="24"/>
          <w:szCs w:val="24"/>
        </w:rPr>
        <w:t>neighbourhood</w:t>
      </w:r>
      <w:proofErr w:type="spellEnd"/>
      <w:r w:rsidR="004969AF" w:rsidRPr="00E71565">
        <w:rPr>
          <w:rFonts w:ascii="Times New Roman" w:hAnsi="Times New Roman" w:cs="Times New Roman"/>
          <w:bCs/>
          <w:sz w:val="24"/>
          <w:szCs w:val="24"/>
        </w:rPr>
        <w:t xml:space="preserve"> in the study area. The result of 1bedroom accommodation type (F (2, 27) = 19.643 with p value of 0.0000054 &lt; 0.05) also shows that there is statistically significance difference in the mean value of annual rental values of 1bedroom across the selected residential </w:t>
      </w:r>
      <w:proofErr w:type="spellStart"/>
      <w:r w:rsidR="004969AF" w:rsidRPr="00E71565">
        <w:rPr>
          <w:rFonts w:ascii="Times New Roman" w:hAnsi="Times New Roman" w:cs="Times New Roman"/>
          <w:bCs/>
          <w:sz w:val="24"/>
          <w:szCs w:val="24"/>
        </w:rPr>
        <w:t>neighbourhood</w:t>
      </w:r>
      <w:proofErr w:type="spellEnd"/>
      <w:r w:rsidR="004969AF" w:rsidRPr="00E71565">
        <w:rPr>
          <w:rFonts w:ascii="Times New Roman" w:hAnsi="Times New Roman" w:cs="Times New Roman"/>
          <w:bCs/>
          <w:sz w:val="24"/>
          <w:szCs w:val="24"/>
        </w:rPr>
        <w:t xml:space="preserve"> in the </w:t>
      </w:r>
      <w:r w:rsidRPr="00E71565">
        <w:rPr>
          <w:rFonts w:ascii="Times New Roman" w:hAnsi="Times New Roman" w:cs="Times New Roman"/>
          <w:bCs/>
          <w:sz w:val="24"/>
          <w:szCs w:val="24"/>
        </w:rPr>
        <w:t>study area. Lastly, the Table 9</w:t>
      </w:r>
      <w:r w:rsidR="00A36644" w:rsidRPr="00E71565">
        <w:rPr>
          <w:rFonts w:ascii="Times New Roman" w:hAnsi="Times New Roman" w:cs="Times New Roman"/>
          <w:bCs/>
          <w:sz w:val="24"/>
          <w:szCs w:val="24"/>
        </w:rPr>
        <w:t xml:space="preserve"> </w:t>
      </w:r>
      <w:r w:rsidR="004969AF" w:rsidRPr="00E71565">
        <w:rPr>
          <w:rFonts w:ascii="Times New Roman" w:hAnsi="Times New Roman" w:cs="Times New Roman"/>
          <w:bCs/>
          <w:sz w:val="24"/>
          <w:szCs w:val="24"/>
        </w:rPr>
        <w:t xml:space="preserve">revealed the ANOVA result of 2bedroom accommodation (F (2, 27) = 4.206 with p value of 0.025704 &lt; 0.05) which also showed a statistically significance difference in the mean value of annual rental values of two bedroom accommodation type across the selected residential </w:t>
      </w:r>
      <w:proofErr w:type="spellStart"/>
      <w:r w:rsidR="004969AF" w:rsidRPr="00E71565">
        <w:rPr>
          <w:rFonts w:ascii="Times New Roman" w:hAnsi="Times New Roman" w:cs="Times New Roman"/>
          <w:bCs/>
          <w:sz w:val="24"/>
          <w:szCs w:val="24"/>
        </w:rPr>
        <w:t>neighbourhoo</w:t>
      </w:r>
      <w:r w:rsidR="0014569E" w:rsidRPr="00E71565">
        <w:rPr>
          <w:rFonts w:ascii="Times New Roman" w:hAnsi="Times New Roman" w:cs="Times New Roman"/>
          <w:bCs/>
          <w:sz w:val="24"/>
          <w:szCs w:val="24"/>
        </w:rPr>
        <w:t>d</w:t>
      </w:r>
      <w:proofErr w:type="spellEnd"/>
      <w:r w:rsidR="0014569E" w:rsidRPr="00E71565">
        <w:rPr>
          <w:rFonts w:ascii="Times New Roman" w:hAnsi="Times New Roman" w:cs="Times New Roman"/>
          <w:bCs/>
          <w:sz w:val="24"/>
          <w:szCs w:val="24"/>
        </w:rPr>
        <w:t xml:space="preserve"> in the study area considering.</w:t>
      </w:r>
    </w:p>
    <w:p w14:paraId="2BB72B9D" w14:textId="589F1F23" w:rsidR="0014569E" w:rsidRPr="00E71565" w:rsidRDefault="00EF011F" w:rsidP="007A19BE">
      <w:pPr>
        <w:spacing w:line="240" w:lineRule="auto"/>
        <w:jc w:val="both"/>
        <w:rPr>
          <w:rFonts w:ascii="Times New Roman" w:hAnsi="Times New Roman" w:cs="Times New Roman"/>
          <w:b/>
          <w:bCs/>
          <w:sz w:val="24"/>
          <w:szCs w:val="24"/>
        </w:rPr>
      </w:pPr>
      <w:r w:rsidRPr="00E71565">
        <w:rPr>
          <w:rFonts w:ascii="Times New Roman" w:hAnsi="Times New Roman" w:cs="Times New Roman"/>
          <w:b/>
          <w:bCs/>
          <w:sz w:val="24"/>
          <w:szCs w:val="24"/>
        </w:rPr>
        <w:t>6.0</w:t>
      </w:r>
      <w:r w:rsidR="0014569E" w:rsidRPr="00E71565">
        <w:rPr>
          <w:rFonts w:ascii="Times New Roman" w:hAnsi="Times New Roman" w:cs="Times New Roman"/>
          <w:b/>
          <w:bCs/>
          <w:sz w:val="24"/>
          <w:szCs w:val="24"/>
        </w:rPr>
        <w:t xml:space="preserve"> Conclusion</w:t>
      </w:r>
      <w:r w:rsidR="00333BCD" w:rsidRPr="00E71565">
        <w:rPr>
          <w:rFonts w:ascii="Times New Roman" w:hAnsi="Times New Roman" w:cs="Times New Roman"/>
          <w:b/>
          <w:bCs/>
          <w:sz w:val="24"/>
          <w:szCs w:val="24"/>
        </w:rPr>
        <w:t xml:space="preserve"> and Recommendation</w:t>
      </w:r>
    </w:p>
    <w:p w14:paraId="2D10F922" w14:textId="43CFF187" w:rsidR="0014569E" w:rsidRPr="00E71565" w:rsidRDefault="0014569E" w:rsidP="007A19BE">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This study evaluated the dynamics of residential rental values across three distinct neighborhood densities—</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bCs/>
          <w:sz w:val="24"/>
          <w:szCs w:val="24"/>
        </w:rPr>
        <w:t xml:space="preserve"> (Low), </w:t>
      </w:r>
      <w:proofErr w:type="spellStart"/>
      <w:r w:rsidRPr="00E71565">
        <w:rPr>
          <w:rFonts w:ascii="Times New Roman" w:hAnsi="Times New Roman" w:cs="Times New Roman"/>
          <w:bCs/>
          <w:sz w:val="24"/>
          <w:szCs w:val="24"/>
        </w:rPr>
        <w:t>Tundun</w:t>
      </w:r>
      <w:proofErr w:type="spellEnd"/>
      <w:r w:rsidRPr="00E71565">
        <w:rPr>
          <w:rFonts w:ascii="Times New Roman" w:hAnsi="Times New Roman" w:cs="Times New Roman"/>
          <w:bCs/>
          <w:sz w:val="24"/>
          <w:szCs w:val="24"/>
        </w:rPr>
        <w:t xml:space="preserve"> Fulani (Medium), and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(Hig</w:t>
      </w:r>
      <w:r w:rsidR="00506B70" w:rsidRPr="00E71565">
        <w:rPr>
          <w:rFonts w:ascii="Times New Roman" w:hAnsi="Times New Roman" w:cs="Times New Roman"/>
          <w:bCs/>
          <w:sz w:val="24"/>
          <w:szCs w:val="24"/>
        </w:rPr>
        <w:t xml:space="preserve">h)—in </w:t>
      </w:r>
      <w:proofErr w:type="spellStart"/>
      <w:r w:rsidR="00506B70" w:rsidRPr="00E71565">
        <w:rPr>
          <w:rFonts w:ascii="Times New Roman" w:hAnsi="Times New Roman" w:cs="Times New Roman"/>
          <w:bCs/>
          <w:sz w:val="24"/>
          <w:szCs w:val="24"/>
        </w:rPr>
        <w:t>Minna</w:t>
      </w:r>
      <w:proofErr w:type="spellEnd"/>
      <w:r w:rsidR="00506B70" w:rsidRPr="00E71565">
        <w:rPr>
          <w:rFonts w:ascii="Times New Roman" w:hAnsi="Times New Roman" w:cs="Times New Roman"/>
          <w:bCs/>
          <w:sz w:val="24"/>
          <w:szCs w:val="24"/>
        </w:rPr>
        <w:t>, Nigeria, over a thirteen-year period</w:t>
      </w:r>
      <w:r w:rsidR="00D03433" w:rsidRPr="00E71565">
        <w:rPr>
          <w:rFonts w:ascii="Times New Roman" w:hAnsi="Times New Roman" w:cs="Times New Roman"/>
          <w:bCs/>
          <w:sz w:val="24"/>
          <w:szCs w:val="24"/>
        </w:rPr>
        <w:t xml:space="preserve"> (2013–2025</w:t>
      </w:r>
      <w:r w:rsidRPr="00E71565">
        <w:rPr>
          <w:rFonts w:ascii="Times New Roman" w:hAnsi="Times New Roman" w:cs="Times New Roman"/>
          <w:bCs/>
          <w:sz w:val="24"/>
          <w:szCs w:val="24"/>
        </w:rPr>
        <w:t>). The empirical evidence confirms a sustained upward trajectory in rental values across all property types. This trend is primarily driven by the synergistic effects of rapid population growth, accelerating urbanization, and the prohibitive costs of outright homeownership, which have shifted the majority of the population toward the rental market.</w:t>
      </w:r>
    </w:p>
    <w:p w14:paraId="7F3251AF" w14:textId="77777777" w:rsidR="0014569E" w:rsidRPr="00E71565" w:rsidRDefault="0014569E" w:rsidP="007A19BE">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A significant finding of this longitudinal analysis is the synchronized deceleration of the rental growth rate in 2022 across all density zones. This phenomenon is attributed to broader macroeconomic shocks within the Nigerian economy, specifically the combined pressures of hyper-inflation and the disruptive effects of the national "cashless policy" implemented during that period.</w:t>
      </w:r>
    </w:p>
    <w:p w14:paraId="48749997" w14:textId="77777777" w:rsidR="0014569E" w:rsidRPr="00E71565" w:rsidRDefault="0014569E" w:rsidP="007A19BE">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lastRenderedPageBreak/>
        <w:t>Furthermore, the Two-way ANOVA results established statistically significant variations in rental values across the selected neighborhood densities. These disparities highlight a critical urban paradox: while high-density neighborhoods (</w:t>
      </w:r>
      <w:proofErr w:type="spellStart"/>
      <w:r w:rsidRPr="00E71565">
        <w:rPr>
          <w:rFonts w:ascii="Times New Roman" w:hAnsi="Times New Roman" w:cs="Times New Roman"/>
          <w:bCs/>
          <w:sz w:val="24"/>
          <w:szCs w:val="24"/>
        </w:rPr>
        <w:t>Bosso</w:t>
      </w:r>
      <w:proofErr w:type="spellEnd"/>
      <w:r w:rsidRPr="00E71565">
        <w:rPr>
          <w:rFonts w:ascii="Times New Roman" w:hAnsi="Times New Roman" w:cs="Times New Roman"/>
          <w:bCs/>
          <w:sz w:val="24"/>
          <w:szCs w:val="24"/>
        </w:rPr>
        <w:t xml:space="preserve"> Estate) offer attractive yields for real estate investors, they are increasingly prone to overcrowding and the social pressures of gentrification. Conversely, low-density neighborhoods (</w:t>
      </w:r>
      <w:proofErr w:type="spellStart"/>
      <w:r w:rsidRPr="00E71565">
        <w:rPr>
          <w:rFonts w:ascii="Times New Roman" w:hAnsi="Times New Roman" w:cs="Times New Roman"/>
          <w:bCs/>
          <w:sz w:val="24"/>
          <w:szCs w:val="24"/>
        </w:rPr>
        <w:t>Fadikpe</w:t>
      </w:r>
      <w:proofErr w:type="spellEnd"/>
      <w:r w:rsidRPr="00E71565">
        <w:rPr>
          <w:rFonts w:ascii="Times New Roman" w:hAnsi="Times New Roman" w:cs="Times New Roman"/>
          <w:bCs/>
          <w:sz w:val="24"/>
          <w:szCs w:val="24"/>
        </w:rPr>
        <w:t xml:space="preserve">) suffer from investment stagnation and underdevelopment. Ultimately, these rental variations have profound implications for housing affordability, tenant living conditions, and the overall stability of </w:t>
      </w:r>
      <w:proofErr w:type="spellStart"/>
      <w:r w:rsidRPr="00E71565">
        <w:rPr>
          <w:rFonts w:ascii="Times New Roman" w:hAnsi="Times New Roman" w:cs="Times New Roman"/>
          <w:bCs/>
          <w:sz w:val="24"/>
          <w:szCs w:val="24"/>
        </w:rPr>
        <w:t>Minna’s</w:t>
      </w:r>
      <w:proofErr w:type="spellEnd"/>
      <w:r w:rsidRPr="00E71565">
        <w:rPr>
          <w:rFonts w:ascii="Times New Roman" w:hAnsi="Times New Roman" w:cs="Times New Roman"/>
          <w:bCs/>
          <w:sz w:val="24"/>
          <w:szCs w:val="24"/>
        </w:rPr>
        <w:t xml:space="preserve"> urban economy.</w:t>
      </w:r>
    </w:p>
    <w:p w14:paraId="1B2F3AD5" w14:textId="77777777" w:rsidR="00333BCD" w:rsidRPr="00E71565" w:rsidRDefault="00333BCD" w:rsidP="00333BCD">
      <w:pPr>
        <w:spacing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To address the identified challenges in the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xml:space="preserve"> residential market, a multifaceted strategy is required, beginning with the establishment of a comprehensive and publicly accessible rental value database to provide the transparency necessary for evidence-based decision-making by both tenants and landlords. This data-driven approach should be supported by formal state government interventions, including the implementation of standardized rent-increase regulations, security deposit guidelines, and clear legal frameworks governing eviction procedures to foster a climate of long-term security and trust. Furthermore, urban planners must introduce strategic infrastructural incentives to attract real estate developers to underutilized low-density neighborhoods, which would effectively decompress overcrowded high-density hubs and ensure a more equitable distribution of housing across the city. Finally, to mitigate the impact of macroeconomic volatility, professional bodies such as the Nigerian Institution of Estate Surveyors and </w:t>
      </w:r>
      <w:proofErr w:type="spellStart"/>
      <w:r w:rsidRPr="00E71565">
        <w:rPr>
          <w:rFonts w:ascii="Times New Roman" w:hAnsi="Times New Roman" w:cs="Times New Roman"/>
          <w:bCs/>
          <w:sz w:val="24"/>
          <w:szCs w:val="24"/>
        </w:rPr>
        <w:t>Valuers</w:t>
      </w:r>
      <w:proofErr w:type="spellEnd"/>
      <w:r w:rsidRPr="00E71565">
        <w:rPr>
          <w:rFonts w:ascii="Times New Roman" w:hAnsi="Times New Roman" w:cs="Times New Roman"/>
          <w:bCs/>
          <w:sz w:val="24"/>
          <w:szCs w:val="24"/>
        </w:rPr>
        <w:t xml:space="preserve"> (NIESV) should collaborate closely with policymakers to develop localized financial buffers and strategies that cushion the real estate sector against the disruptive effects of inflation and national currency fluctuations.</w:t>
      </w:r>
    </w:p>
    <w:p w14:paraId="6C372910" w14:textId="77777777" w:rsidR="00333BCD" w:rsidRPr="00E71565" w:rsidRDefault="00333BCD" w:rsidP="007A19BE">
      <w:pPr>
        <w:spacing w:line="240" w:lineRule="auto"/>
        <w:jc w:val="both"/>
        <w:rPr>
          <w:rFonts w:ascii="Times New Roman" w:hAnsi="Times New Roman" w:cs="Times New Roman"/>
          <w:bCs/>
          <w:sz w:val="24"/>
          <w:szCs w:val="24"/>
        </w:rPr>
      </w:pPr>
    </w:p>
    <w:p w14:paraId="6DC7226A" w14:textId="651FC1D0" w:rsidR="004969AF" w:rsidRPr="00B32E01" w:rsidRDefault="00B32E01" w:rsidP="00B32E01">
      <w:pPr>
        <w:spacing w:after="0" w:line="240" w:lineRule="auto"/>
        <w:ind w:left="2160" w:firstLine="720"/>
        <w:jc w:val="both"/>
        <w:rPr>
          <w:rFonts w:ascii="Times New Roman" w:hAnsi="Times New Roman" w:cs="Times New Roman"/>
          <w:b/>
          <w:bCs/>
          <w:sz w:val="24"/>
          <w:szCs w:val="24"/>
        </w:rPr>
      </w:pPr>
      <w:r w:rsidRPr="00B32E01">
        <w:rPr>
          <w:rFonts w:ascii="Times New Roman" w:hAnsi="Times New Roman" w:cs="Times New Roman"/>
          <w:b/>
          <w:bCs/>
          <w:sz w:val="24"/>
          <w:szCs w:val="24"/>
        </w:rPr>
        <w:t>REFERENCES</w:t>
      </w:r>
    </w:p>
    <w:p w14:paraId="0047E5F9" w14:textId="77777777" w:rsidR="00E71565"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Abisuga</w:t>
      </w:r>
      <w:proofErr w:type="spellEnd"/>
      <w:r w:rsidRPr="00E71565">
        <w:rPr>
          <w:rFonts w:ascii="Times New Roman" w:hAnsi="Times New Roman" w:cs="Times New Roman"/>
          <w:bCs/>
          <w:sz w:val="24"/>
          <w:szCs w:val="24"/>
        </w:rPr>
        <w:t xml:space="preserve">, A. O., </w:t>
      </w:r>
      <w:proofErr w:type="spellStart"/>
      <w:r w:rsidRPr="00E71565">
        <w:rPr>
          <w:rFonts w:ascii="Times New Roman" w:hAnsi="Times New Roman" w:cs="Times New Roman"/>
          <w:bCs/>
          <w:sz w:val="24"/>
          <w:szCs w:val="24"/>
        </w:rPr>
        <w:t>Oyewole</w:t>
      </w:r>
      <w:proofErr w:type="spellEnd"/>
      <w:r w:rsidRPr="00E71565">
        <w:rPr>
          <w:rFonts w:ascii="Times New Roman" w:hAnsi="Times New Roman" w:cs="Times New Roman"/>
          <w:bCs/>
          <w:sz w:val="24"/>
          <w:szCs w:val="24"/>
        </w:rPr>
        <w:t xml:space="preserve">, M. O., &amp; </w:t>
      </w:r>
      <w:proofErr w:type="spellStart"/>
      <w:r w:rsidRPr="00E71565">
        <w:rPr>
          <w:rFonts w:ascii="Times New Roman" w:hAnsi="Times New Roman" w:cs="Times New Roman"/>
          <w:bCs/>
          <w:sz w:val="24"/>
          <w:szCs w:val="24"/>
        </w:rPr>
        <w:t>Akinjare</w:t>
      </w:r>
      <w:proofErr w:type="spellEnd"/>
      <w:r w:rsidRPr="00E71565">
        <w:rPr>
          <w:rFonts w:ascii="Times New Roman" w:hAnsi="Times New Roman" w:cs="Times New Roman"/>
          <w:bCs/>
          <w:sz w:val="24"/>
          <w:szCs w:val="24"/>
        </w:rPr>
        <w:t xml:space="preserve">, O. A. (2020). Residential Satisfaction and Housing </w:t>
      </w:r>
    </w:p>
    <w:p w14:paraId="0ED61792" w14:textId="77777777" w:rsid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Quality in Urban Nigeria. </w:t>
      </w:r>
      <w:r w:rsidRPr="00E71565">
        <w:rPr>
          <w:rFonts w:ascii="Times New Roman" w:hAnsi="Times New Roman" w:cs="Times New Roman"/>
          <w:bCs/>
          <w:i/>
          <w:iCs/>
          <w:sz w:val="24"/>
          <w:szCs w:val="24"/>
        </w:rPr>
        <w:t>Journal of Built Environment Project and Asset Management</w:t>
      </w:r>
      <w:r w:rsidRPr="00E71565">
        <w:rPr>
          <w:rFonts w:ascii="Times New Roman" w:hAnsi="Times New Roman" w:cs="Times New Roman"/>
          <w:bCs/>
          <w:sz w:val="24"/>
          <w:szCs w:val="24"/>
        </w:rPr>
        <w:t xml:space="preserve">, </w:t>
      </w:r>
    </w:p>
    <w:p w14:paraId="55375FF4" w14:textId="46530458"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10(4), 540–558.</w:t>
      </w:r>
    </w:p>
    <w:p w14:paraId="79DA88AB" w14:textId="77777777" w:rsidR="00E71565"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Adama</w:t>
      </w:r>
      <w:proofErr w:type="spellEnd"/>
      <w:r w:rsidRPr="00E71565">
        <w:rPr>
          <w:rFonts w:ascii="Times New Roman" w:hAnsi="Times New Roman" w:cs="Times New Roman"/>
          <w:bCs/>
          <w:sz w:val="24"/>
          <w:szCs w:val="24"/>
        </w:rPr>
        <w:t xml:space="preserve">, J. J., </w:t>
      </w: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O. A., &amp; Daniel, I. O. (2022). Urban Sprawl and Land Use Dynamics in </w:t>
      </w:r>
    </w:p>
    <w:p w14:paraId="4868E889" w14:textId="4FBA0D1E"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Niger State. </w:t>
      </w:r>
      <w:r w:rsidRPr="00E71565">
        <w:rPr>
          <w:rFonts w:ascii="Times New Roman" w:hAnsi="Times New Roman" w:cs="Times New Roman"/>
          <w:bCs/>
          <w:i/>
          <w:iCs/>
          <w:sz w:val="24"/>
          <w:szCs w:val="24"/>
        </w:rPr>
        <w:t>Nigerian Journal of Environmental Sciences</w:t>
      </w:r>
      <w:r w:rsidRPr="00E71565">
        <w:rPr>
          <w:rFonts w:ascii="Times New Roman" w:hAnsi="Times New Roman" w:cs="Times New Roman"/>
          <w:bCs/>
          <w:sz w:val="24"/>
          <w:szCs w:val="24"/>
        </w:rPr>
        <w:t>, 6(2), 112–125.</w:t>
      </w:r>
    </w:p>
    <w:p w14:paraId="2F9621A0" w14:textId="77777777" w:rsidR="00E71565"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Adewusi</w:t>
      </w:r>
      <w:proofErr w:type="spellEnd"/>
      <w:r w:rsidRPr="00E71565">
        <w:rPr>
          <w:rFonts w:ascii="Times New Roman" w:hAnsi="Times New Roman" w:cs="Times New Roman"/>
          <w:bCs/>
          <w:sz w:val="24"/>
          <w:szCs w:val="24"/>
        </w:rPr>
        <w:t xml:space="preserve">, A. O., Oni, A. S., &amp; </w:t>
      </w:r>
      <w:proofErr w:type="spellStart"/>
      <w:r w:rsidRPr="00E71565">
        <w:rPr>
          <w:rFonts w:ascii="Times New Roman" w:hAnsi="Times New Roman" w:cs="Times New Roman"/>
          <w:bCs/>
          <w:sz w:val="24"/>
          <w:szCs w:val="24"/>
        </w:rPr>
        <w:t>Aluko</w:t>
      </w:r>
      <w:proofErr w:type="spellEnd"/>
      <w:r w:rsidRPr="00E71565">
        <w:rPr>
          <w:rFonts w:ascii="Times New Roman" w:hAnsi="Times New Roman" w:cs="Times New Roman"/>
          <w:bCs/>
          <w:sz w:val="24"/>
          <w:szCs w:val="24"/>
        </w:rPr>
        <w:t xml:space="preserve">, O. (2022). The Dynamics of Rental Housing Markets in </w:t>
      </w:r>
    </w:p>
    <w:p w14:paraId="7BADA1E3" w14:textId="2D94B5E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Developing Economies. </w:t>
      </w:r>
      <w:r w:rsidRPr="00E71565">
        <w:rPr>
          <w:rFonts w:ascii="Times New Roman" w:hAnsi="Times New Roman" w:cs="Times New Roman"/>
          <w:bCs/>
          <w:i/>
          <w:iCs/>
          <w:sz w:val="24"/>
          <w:szCs w:val="24"/>
        </w:rPr>
        <w:t>Journal of Real Estate Finance</w:t>
      </w:r>
      <w:r w:rsidRPr="00E71565">
        <w:rPr>
          <w:rFonts w:ascii="Times New Roman" w:hAnsi="Times New Roman" w:cs="Times New Roman"/>
          <w:bCs/>
          <w:sz w:val="24"/>
          <w:szCs w:val="24"/>
        </w:rPr>
        <w:t>, 29(1), 15–32.</w:t>
      </w:r>
    </w:p>
    <w:p w14:paraId="24F46151"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Aina</w:t>
      </w:r>
      <w:proofErr w:type="spellEnd"/>
      <w:r w:rsidRPr="00E71565">
        <w:rPr>
          <w:rFonts w:ascii="Times New Roman" w:hAnsi="Times New Roman" w:cs="Times New Roman"/>
          <w:bCs/>
          <w:sz w:val="24"/>
          <w:szCs w:val="24"/>
        </w:rPr>
        <w:t xml:space="preserve">, O. K., &amp; </w:t>
      </w:r>
      <w:proofErr w:type="spellStart"/>
      <w:r w:rsidRPr="00E71565">
        <w:rPr>
          <w:rFonts w:ascii="Times New Roman" w:hAnsi="Times New Roman" w:cs="Times New Roman"/>
          <w:bCs/>
          <w:sz w:val="24"/>
          <w:szCs w:val="24"/>
        </w:rPr>
        <w:t>Somefun</w:t>
      </w:r>
      <w:proofErr w:type="spellEnd"/>
      <w:r w:rsidRPr="00E71565">
        <w:rPr>
          <w:rFonts w:ascii="Times New Roman" w:hAnsi="Times New Roman" w:cs="Times New Roman"/>
          <w:bCs/>
          <w:sz w:val="24"/>
          <w:szCs w:val="24"/>
        </w:rPr>
        <w:t xml:space="preserve">, A. O. (2007). </w:t>
      </w:r>
      <w:r w:rsidRPr="00E71565">
        <w:rPr>
          <w:rFonts w:ascii="Times New Roman" w:hAnsi="Times New Roman" w:cs="Times New Roman"/>
          <w:bCs/>
          <w:i/>
          <w:iCs/>
          <w:sz w:val="24"/>
          <w:szCs w:val="24"/>
        </w:rPr>
        <w:t>Fundamentals of Real Estate Economics</w:t>
      </w:r>
      <w:r w:rsidRPr="00E71565">
        <w:rPr>
          <w:rFonts w:ascii="Times New Roman" w:hAnsi="Times New Roman" w:cs="Times New Roman"/>
          <w:bCs/>
          <w:sz w:val="24"/>
          <w:szCs w:val="24"/>
        </w:rPr>
        <w:t xml:space="preserve">. Lagos: </w:t>
      </w:r>
      <w:proofErr w:type="spellStart"/>
      <w:r w:rsidRPr="00E71565">
        <w:rPr>
          <w:rFonts w:ascii="Times New Roman" w:hAnsi="Times New Roman" w:cs="Times New Roman"/>
          <w:bCs/>
          <w:sz w:val="24"/>
          <w:szCs w:val="24"/>
        </w:rPr>
        <w:t>Pumark</w:t>
      </w:r>
      <w:proofErr w:type="spellEnd"/>
      <w:r w:rsidRPr="00E71565">
        <w:rPr>
          <w:rFonts w:ascii="Times New Roman" w:hAnsi="Times New Roman" w:cs="Times New Roman"/>
          <w:bCs/>
          <w:sz w:val="24"/>
          <w:szCs w:val="24"/>
        </w:rPr>
        <w:t xml:space="preserve"> </w:t>
      </w:r>
    </w:p>
    <w:p w14:paraId="4F2884AA" w14:textId="4E463804"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Nigeria Limited, pp. 45–60.</w:t>
      </w:r>
    </w:p>
    <w:p w14:paraId="76DFD840"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Aliyu</w:t>
      </w:r>
      <w:proofErr w:type="spellEnd"/>
      <w:r w:rsidRPr="00E71565">
        <w:rPr>
          <w:rFonts w:ascii="Times New Roman" w:hAnsi="Times New Roman" w:cs="Times New Roman"/>
          <w:bCs/>
          <w:sz w:val="24"/>
          <w:szCs w:val="24"/>
        </w:rPr>
        <w:t xml:space="preserve">, A. A., </w:t>
      </w:r>
      <w:proofErr w:type="spellStart"/>
      <w:r w:rsidRPr="00E71565">
        <w:rPr>
          <w:rFonts w:ascii="Times New Roman" w:hAnsi="Times New Roman" w:cs="Times New Roman"/>
          <w:bCs/>
          <w:sz w:val="24"/>
          <w:szCs w:val="24"/>
        </w:rPr>
        <w:t>Kasim</w:t>
      </w:r>
      <w:proofErr w:type="spellEnd"/>
      <w:r w:rsidRPr="00E71565">
        <w:rPr>
          <w:rFonts w:ascii="Times New Roman" w:hAnsi="Times New Roman" w:cs="Times New Roman"/>
          <w:bCs/>
          <w:sz w:val="24"/>
          <w:szCs w:val="24"/>
        </w:rPr>
        <w:t xml:space="preserve">, R., &amp; Martin, D. (2021). Impact of Location on Residential Property Rental </w:t>
      </w:r>
    </w:p>
    <w:p w14:paraId="607649B1" w14:textId="0478178C"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Values. </w:t>
      </w:r>
      <w:r w:rsidRPr="00E71565">
        <w:rPr>
          <w:rFonts w:ascii="Times New Roman" w:hAnsi="Times New Roman" w:cs="Times New Roman"/>
          <w:bCs/>
          <w:i/>
          <w:iCs/>
          <w:sz w:val="24"/>
          <w:szCs w:val="24"/>
        </w:rPr>
        <w:t>International Journal of Real Estate Studies</w:t>
      </w:r>
      <w:r w:rsidRPr="00E71565">
        <w:rPr>
          <w:rFonts w:ascii="Times New Roman" w:hAnsi="Times New Roman" w:cs="Times New Roman"/>
          <w:bCs/>
          <w:sz w:val="24"/>
          <w:szCs w:val="24"/>
        </w:rPr>
        <w:t>, 15(3), 88–104.</w:t>
      </w:r>
    </w:p>
    <w:p w14:paraId="37AC68A8"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Ankeli</w:t>
      </w:r>
      <w:proofErr w:type="spellEnd"/>
      <w:r w:rsidRPr="00E71565">
        <w:rPr>
          <w:rFonts w:ascii="Times New Roman" w:hAnsi="Times New Roman" w:cs="Times New Roman"/>
          <w:bCs/>
          <w:sz w:val="24"/>
          <w:szCs w:val="24"/>
        </w:rPr>
        <w:t xml:space="preserve">, I. A. (2022). Trends in Real Estate Investment and Urban Growth. </w:t>
      </w:r>
      <w:r w:rsidRPr="00E71565">
        <w:rPr>
          <w:rFonts w:ascii="Times New Roman" w:hAnsi="Times New Roman" w:cs="Times New Roman"/>
          <w:bCs/>
          <w:i/>
          <w:iCs/>
          <w:sz w:val="24"/>
          <w:szCs w:val="24"/>
        </w:rPr>
        <w:t xml:space="preserve">Journal of Property </w:t>
      </w:r>
    </w:p>
    <w:p w14:paraId="34F606A2" w14:textId="6C37C474"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Management</w:t>
      </w:r>
      <w:r w:rsidRPr="00E71565">
        <w:rPr>
          <w:rFonts w:ascii="Times New Roman" w:hAnsi="Times New Roman" w:cs="Times New Roman"/>
          <w:bCs/>
          <w:sz w:val="24"/>
          <w:szCs w:val="24"/>
        </w:rPr>
        <w:t>, 40(2), 210–228.</w:t>
      </w:r>
    </w:p>
    <w:p w14:paraId="327884A9"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Ayedun</w:t>
      </w:r>
      <w:proofErr w:type="spellEnd"/>
      <w:r w:rsidRPr="00E71565">
        <w:rPr>
          <w:rFonts w:ascii="Times New Roman" w:hAnsi="Times New Roman" w:cs="Times New Roman"/>
          <w:bCs/>
          <w:sz w:val="24"/>
          <w:szCs w:val="24"/>
        </w:rPr>
        <w:t xml:space="preserve">, C. A., </w:t>
      </w:r>
      <w:proofErr w:type="spellStart"/>
      <w:r w:rsidRPr="00E71565">
        <w:rPr>
          <w:rFonts w:ascii="Times New Roman" w:hAnsi="Times New Roman" w:cs="Times New Roman"/>
          <w:bCs/>
          <w:sz w:val="24"/>
          <w:szCs w:val="24"/>
        </w:rPr>
        <w:t>Oloyede</w:t>
      </w:r>
      <w:proofErr w:type="spellEnd"/>
      <w:r w:rsidRPr="00E71565">
        <w:rPr>
          <w:rFonts w:ascii="Times New Roman" w:hAnsi="Times New Roman" w:cs="Times New Roman"/>
          <w:bCs/>
          <w:sz w:val="24"/>
          <w:szCs w:val="24"/>
        </w:rPr>
        <w:t xml:space="preserve">, S. A., &amp; </w:t>
      </w:r>
      <w:proofErr w:type="spellStart"/>
      <w:r w:rsidRPr="00E71565">
        <w:rPr>
          <w:rFonts w:ascii="Times New Roman" w:hAnsi="Times New Roman" w:cs="Times New Roman"/>
          <w:bCs/>
          <w:sz w:val="24"/>
          <w:szCs w:val="24"/>
        </w:rPr>
        <w:t>Durodola</w:t>
      </w:r>
      <w:proofErr w:type="spellEnd"/>
      <w:r w:rsidRPr="00E71565">
        <w:rPr>
          <w:rFonts w:ascii="Times New Roman" w:hAnsi="Times New Roman" w:cs="Times New Roman"/>
          <w:bCs/>
          <w:sz w:val="24"/>
          <w:szCs w:val="24"/>
        </w:rPr>
        <w:t xml:space="preserve">, O. D. (2021). Factors Influencing Residential </w:t>
      </w:r>
    </w:p>
    <w:p w14:paraId="5D694DF1" w14:textId="54861E3C"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Property Values. </w:t>
      </w:r>
      <w:r w:rsidRPr="00E71565">
        <w:rPr>
          <w:rFonts w:ascii="Times New Roman" w:hAnsi="Times New Roman" w:cs="Times New Roman"/>
          <w:bCs/>
          <w:i/>
          <w:iCs/>
          <w:sz w:val="24"/>
          <w:szCs w:val="24"/>
        </w:rPr>
        <w:t>International Journal of Real Estate Studies</w:t>
      </w:r>
      <w:r w:rsidRPr="00E71565">
        <w:rPr>
          <w:rFonts w:ascii="Times New Roman" w:hAnsi="Times New Roman" w:cs="Times New Roman"/>
          <w:bCs/>
          <w:sz w:val="24"/>
          <w:szCs w:val="24"/>
        </w:rPr>
        <w:t>, 15(1), 12–25.</w:t>
      </w:r>
    </w:p>
    <w:p w14:paraId="3842D1A4"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Babatunde</w:t>
      </w:r>
      <w:proofErr w:type="spellEnd"/>
      <w:r w:rsidRPr="00E71565">
        <w:rPr>
          <w:rFonts w:ascii="Times New Roman" w:hAnsi="Times New Roman" w:cs="Times New Roman"/>
          <w:bCs/>
          <w:sz w:val="24"/>
          <w:szCs w:val="24"/>
        </w:rPr>
        <w:t xml:space="preserve">, S. O., </w:t>
      </w:r>
      <w:proofErr w:type="spellStart"/>
      <w:r w:rsidRPr="00E71565">
        <w:rPr>
          <w:rFonts w:ascii="Times New Roman" w:hAnsi="Times New Roman" w:cs="Times New Roman"/>
          <w:bCs/>
          <w:sz w:val="24"/>
          <w:szCs w:val="24"/>
        </w:rPr>
        <w:t>Perera</w:t>
      </w:r>
      <w:proofErr w:type="spellEnd"/>
      <w:r w:rsidRPr="00E71565">
        <w:rPr>
          <w:rFonts w:ascii="Times New Roman" w:hAnsi="Times New Roman" w:cs="Times New Roman"/>
          <w:bCs/>
          <w:sz w:val="24"/>
          <w:szCs w:val="24"/>
        </w:rPr>
        <w:t xml:space="preserve">, S., &amp; Zhou, L. (2021). Challenges of Real Estate Investment in Emerging </w:t>
      </w:r>
    </w:p>
    <w:p w14:paraId="2BDFEF44" w14:textId="7671655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African Markets. </w:t>
      </w:r>
      <w:r w:rsidRPr="00E71565">
        <w:rPr>
          <w:rFonts w:ascii="Times New Roman" w:hAnsi="Times New Roman" w:cs="Times New Roman"/>
          <w:bCs/>
          <w:i/>
          <w:iCs/>
          <w:sz w:val="24"/>
          <w:szCs w:val="24"/>
        </w:rPr>
        <w:t>Construction Economics and Management</w:t>
      </w:r>
      <w:r w:rsidRPr="00E71565">
        <w:rPr>
          <w:rFonts w:ascii="Times New Roman" w:hAnsi="Times New Roman" w:cs="Times New Roman"/>
          <w:bCs/>
          <w:sz w:val="24"/>
          <w:szCs w:val="24"/>
        </w:rPr>
        <w:t>, 39(5), 450–468.</w:t>
      </w:r>
    </w:p>
    <w:p w14:paraId="774A39A9"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Bello, M. U., &amp; Muhammad, M. S. (2022). The Impact of Abuja’s Proximity on the Housing </w:t>
      </w:r>
    </w:p>
    <w:p w14:paraId="48EADFF1" w14:textId="7592EDE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Market of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iCs/>
          <w:sz w:val="24"/>
          <w:szCs w:val="24"/>
        </w:rPr>
        <w:t>Journal of African Urban Studies</w:t>
      </w:r>
      <w:r w:rsidRPr="00E71565">
        <w:rPr>
          <w:rFonts w:ascii="Times New Roman" w:hAnsi="Times New Roman" w:cs="Times New Roman"/>
          <w:bCs/>
          <w:sz w:val="24"/>
          <w:szCs w:val="24"/>
        </w:rPr>
        <w:t>, 8(2), 201–219.</w:t>
      </w:r>
    </w:p>
    <w:p w14:paraId="375B1D57"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Boon, J., </w:t>
      </w:r>
      <w:proofErr w:type="spellStart"/>
      <w:r w:rsidRPr="00E71565">
        <w:rPr>
          <w:rFonts w:ascii="Times New Roman" w:hAnsi="Times New Roman" w:cs="Times New Roman"/>
          <w:bCs/>
          <w:sz w:val="24"/>
          <w:szCs w:val="24"/>
        </w:rPr>
        <w:t>Guntermann</w:t>
      </w:r>
      <w:proofErr w:type="spellEnd"/>
      <w:r w:rsidRPr="00E71565">
        <w:rPr>
          <w:rFonts w:ascii="Times New Roman" w:hAnsi="Times New Roman" w:cs="Times New Roman"/>
          <w:bCs/>
          <w:sz w:val="24"/>
          <w:szCs w:val="24"/>
        </w:rPr>
        <w:t xml:space="preserve">, K. L., &amp; Smith, B. C. (2007). Residential Property Market Analysis and </w:t>
      </w:r>
    </w:p>
    <w:p w14:paraId="759DEB07" w14:textId="3D816387"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Trend Forecasting. </w:t>
      </w:r>
      <w:r w:rsidRPr="00E71565">
        <w:rPr>
          <w:rFonts w:ascii="Times New Roman" w:hAnsi="Times New Roman" w:cs="Times New Roman"/>
          <w:bCs/>
          <w:i/>
          <w:iCs/>
          <w:sz w:val="24"/>
          <w:szCs w:val="24"/>
        </w:rPr>
        <w:t>Journal of Property Research</w:t>
      </w:r>
      <w:r w:rsidRPr="00E71565">
        <w:rPr>
          <w:rFonts w:ascii="Times New Roman" w:hAnsi="Times New Roman" w:cs="Times New Roman"/>
          <w:bCs/>
          <w:sz w:val="24"/>
          <w:szCs w:val="24"/>
        </w:rPr>
        <w:t>, 24(3), 185–205.</w:t>
      </w:r>
    </w:p>
    <w:p w14:paraId="27D4127A" w14:textId="77777777" w:rsidR="00F954B3" w:rsidRDefault="00E71565" w:rsidP="00B32E01">
      <w:pPr>
        <w:spacing w:after="0" w:line="240" w:lineRule="auto"/>
        <w:jc w:val="both"/>
        <w:rPr>
          <w:rFonts w:ascii="Times New Roman" w:hAnsi="Times New Roman" w:cs="Times New Roman"/>
          <w:bCs/>
          <w:i/>
          <w:iCs/>
          <w:sz w:val="24"/>
          <w:szCs w:val="24"/>
        </w:rPr>
      </w:pPr>
      <w:r w:rsidRPr="00E71565">
        <w:rPr>
          <w:rFonts w:ascii="Times New Roman" w:hAnsi="Times New Roman" w:cs="Times New Roman"/>
          <w:bCs/>
          <w:sz w:val="24"/>
          <w:szCs w:val="24"/>
        </w:rPr>
        <w:t xml:space="preserve">Creswell, J. W., &amp; Creswell, J. D. (2018). </w:t>
      </w:r>
      <w:r w:rsidRPr="00E71565">
        <w:rPr>
          <w:rFonts w:ascii="Times New Roman" w:hAnsi="Times New Roman" w:cs="Times New Roman"/>
          <w:bCs/>
          <w:i/>
          <w:iCs/>
          <w:sz w:val="24"/>
          <w:szCs w:val="24"/>
        </w:rPr>
        <w:t xml:space="preserve">Research Design: Qualitative and Quantitative </w:t>
      </w:r>
    </w:p>
    <w:p w14:paraId="464E5A83" w14:textId="0DD5A365"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lastRenderedPageBreak/>
        <w:t>Approaches</w:t>
      </w:r>
      <w:r w:rsidRPr="00E71565">
        <w:rPr>
          <w:rFonts w:ascii="Times New Roman" w:hAnsi="Times New Roman" w:cs="Times New Roman"/>
          <w:bCs/>
          <w:sz w:val="24"/>
          <w:szCs w:val="24"/>
        </w:rPr>
        <w:t>. SAGE, 5th Ed., pp. 150–175.</w:t>
      </w:r>
    </w:p>
    <w:p w14:paraId="57EA21B2"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Dabara</w:t>
      </w:r>
      <w:proofErr w:type="spellEnd"/>
      <w:r w:rsidRPr="00E71565">
        <w:rPr>
          <w:rFonts w:ascii="Times New Roman" w:hAnsi="Times New Roman" w:cs="Times New Roman"/>
          <w:bCs/>
          <w:sz w:val="24"/>
          <w:szCs w:val="24"/>
        </w:rPr>
        <w:t xml:space="preserve">, D. I. (2021). Inflation Hedging Capacity of Residential Real Estate. </w:t>
      </w:r>
      <w:r w:rsidRPr="00E71565">
        <w:rPr>
          <w:rFonts w:ascii="Times New Roman" w:hAnsi="Times New Roman" w:cs="Times New Roman"/>
          <w:bCs/>
          <w:i/>
          <w:iCs/>
          <w:sz w:val="24"/>
          <w:szCs w:val="24"/>
        </w:rPr>
        <w:t xml:space="preserve">Journal of Real Estate </w:t>
      </w:r>
    </w:p>
    <w:p w14:paraId="46F32DE1" w14:textId="4C1B98D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Finance</w:t>
      </w:r>
      <w:r w:rsidRPr="00E71565">
        <w:rPr>
          <w:rFonts w:ascii="Times New Roman" w:hAnsi="Times New Roman" w:cs="Times New Roman"/>
          <w:bCs/>
          <w:sz w:val="24"/>
          <w:szCs w:val="24"/>
        </w:rPr>
        <w:t>, 34(2), 312–330.</w:t>
      </w:r>
    </w:p>
    <w:p w14:paraId="59C3F8AD"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Daniel, I. O., </w:t>
      </w: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O. A., &amp; </w:t>
      </w:r>
      <w:proofErr w:type="spellStart"/>
      <w:r w:rsidRPr="00E71565">
        <w:rPr>
          <w:rFonts w:ascii="Times New Roman" w:hAnsi="Times New Roman" w:cs="Times New Roman"/>
          <w:bCs/>
          <w:sz w:val="24"/>
          <w:szCs w:val="24"/>
        </w:rPr>
        <w:t>Adama</w:t>
      </w:r>
      <w:proofErr w:type="spellEnd"/>
      <w:r w:rsidRPr="00E71565">
        <w:rPr>
          <w:rFonts w:ascii="Times New Roman" w:hAnsi="Times New Roman" w:cs="Times New Roman"/>
          <w:bCs/>
          <w:sz w:val="24"/>
          <w:szCs w:val="24"/>
        </w:rPr>
        <w:t xml:space="preserve">, J. J. (2023). Affordability and Gentrification Trends in </w:t>
      </w:r>
    </w:p>
    <w:p w14:paraId="6CBBDEE8" w14:textId="77777777" w:rsidR="00F954B3"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High-Density Urban Corridors. </w:t>
      </w:r>
      <w:r w:rsidRPr="00E71565">
        <w:rPr>
          <w:rFonts w:ascii="Times New Roman" w:hAnsi="Times New Roman" w:cs="Times New Roman"/>
          <w:bCs/>
          <w:i/>
          <w:iCs/>
          <w:sz w:val="24"/>
          <w:szCs w:val="24"/>
        </w:rPr>
        <w:t>Journal of Housing and the Built Environment</w:t>
      </w:r>
      <w:r w:rsidRPr="00E71565">
        <w:rPr>
          <w:rFonts w:ascii="Times New Roman" w:hAnsi="Times New Roman" w:cs="Times New Roman"/>
          <w:bCs/>
          <w:sz w:val="24"/>
          <w:szCs w:val="24"/>
        </w:rPr>
        <w:t>, 38(1), 45–</w:t>
      </w:r>
    </w:p>
    <w:p w14:paraId="7A33E5DB" w14:textId="7E63562D" w:rsidR="00E71565" w:rsidRPr="00E71565" w:rsidRDefault="00E71565" w:rsidP="00B32E01">
      <w:pPr>
        <w:spacing w:after="0" w:line="240" w:lineRule="auto"/>
        <w:ind w:left="720"/>
        <w:jc w:val="both"/>
        <w:rPr>
          <w:rFonts w:ascii="Times New Roman" w:hAnsi="Times New Roman" w:cs="Times New Roman"/>
          <w:bCs/>
          <w:sz w:val="24"/>
          <w:szCs w:val="24"/>
        </w:rPr>
      </w:pPr>
      <w:r w:rsidRPr="00E71565">
        <w:rPr>
          <w:rFonts w:ascii="Times New Roman" w:hAnsi="Times New Roman" w:cs="Times New Roman"/>
          <w:bCs/>
          <w:sz w:val="24"/>
          <w:szCs w:val="24"/>
        </w:rPr>
        <w:t>62.</w:t>
      </w:r>
    </w:p>
    <w:p w14:paraId="43EDEBC4"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Felix, O., &amp; </w:t>
      </w:r>
      <w:proofErr w:type="spellStart"/>
      <w:r w:rsidRPr="00E71565">
        <w:rPr>
          <w:rFonts w:ascii="Times New Roman" w:hAnsi="Times New Roman" w:cs="Times New Roman"/>
          <w:bCs/>
          <w:sz w:val="24"/>
          <w:szCs w:val="24"/>
        </w:rPr>
        <w:t>Adeniran</w:t>
      </w:r>
      <w:proofErr w:type="spellEnd"/>
      <w:r w:rsidRPr="00E71565">
        <w:rPr>
          <w:rFonts w:ascii="Times New Roman" w:hAnsi="Times New Roman" w:cs="Times New Roman"/>
          <w:bCs/>
          <w:sz w:val="24"/>
          <w:szCs w:val="24"/>
        </w:rPr>
        <w:t xml:space="preserve">, A. A. (2019). Assessment of Residential Property Rental Values in Urban </w:t>
      </w:r>
    </w:p>
    <w:p w14:paraId="3405E996" w14:textId="197A9BF1"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Centers. </w:t>
      </w:r>
      <w:r w:rsidRPr="00E71565">
        <w:rPr>
          <w:rFonts w:ascii="Times New Roman" w:hAnsi="Times New Roman" w:cs="Times New Roman"/>
          <w:bCs/>
          <w:i/>
          <w:iCs/>
          <w:sz w:val="24"/>
          <w:szCs w:val="24"/>
        </w:rPr>
        <w:t>Journal of African Real Estate Research</w:t>
      </w:r>
      <w:r w:rsidRPr="00E71565">
        <w:rPr>
          <w:rFonts w:ascii="Times New Roman" w:hAnsi="Times New Roman" w:cs="Times New Roman"/>
          <w:bCs/>
          <w:sz w:val="24"/>
          <w:szCs w:val="24"/>
        </w:rPr>
        <w:t>, 4(1), 74–91.</w:t>
      </w:r>
    </w:p>
    <w:p w14:paraId="0FBD28F2"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Gholipour</w:t>
      </w:r>
      <w:proofErr w:type="spellEnd"/>
      <w:r w:rsidRPr="00E71565">
        <w:rPr>
          <w:rFonts w:ascii="Times New Roman" w:hAnsi="Times New Roman" w:cs="Times New Roman"/>
          <w:bCs/>
          <w:sz w:val="24"/>
          <w:szCs w:val="24"/>
        </w:rPr>
        <w:t xml:space="preserve">, H. F., </w:t>
      </w:r>
      <w:proofErr w:type="spellStart"/>
      <w:r w:rsidRPr="00E71565">
        <w:rPr>
          <w:rFonts w:ascii="Times New Roman" w:hAnsi="Times New Roman" w:cs="Times New Roman"/>
          <w:bCs/>
          <w:sz w:val="24"/>
          <w:szCs w:val="24"/>
        </w:rPr>
        <w:t>Tajaddini</w:t>
      </w:r>
      <w:proofErr w:type="spellEnd"/>
      <w:r w:rsidRPr="00E71565">
        <w:rPr>
          <w:rFonts w:ascii="Times New Roman" w:hAnsi="Times New Roman" w:cs="Times New Roman"/>
          <w:bCs/>
          <w:sz w:val="24"/>
          <w:szCs w:val="24"/>
        </w:rPr>
        <w:t xml:space="preserve">, R., &amp; Nguyen, J. (2022). Housing Affordability and the Rental </w:t>
      </w:r>
    </w:p>
    <w:p w14:paraId="61DEF00A" w14:textId="66D88ED3"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Market. </w:t>
      </w:r>
      <w:r w:rsidRPr="00E71565">
        <w:rPr>
          <w:rFonts w:ascii="Times New Roman" w:hAnsi="Times New Roman" w:cs="Times New Roman"/>
          <w:bCs/>
          <w:i/>
          <w:iCs/>
          <w:sz w:val="24"/>
          <w:szCs w:val="24"/>
        </w:rPr>
        <w:t>Journal of Real Estate Research</w:t>
      </w:r>
      <w:r w:rsidRPr="00E71565">
        <w:rPr>
          <w:rFonts w:ascii="Times New Roman" w:hAnsi="Times New Roman" w:cs="Times New Roman"/>
          <w:bCs/>
          <w:sz w:val="24"/>
          <w:szCs w:val="24"/>
        </w:rPr>
        <w:t>, 44(3), 389–410.</w:t>
      </w:r>
    </w:p>
    <w:p w14:paraId="1CEC165C"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Gyamfi-Yeboah</w:t>
      </w:r>
      <w:proofErr w:type="spellEnd"/>
      <w:r w:rsidRPr="00E71565">
        <w:rPr>
          <w:rFonts w:ascii="Times New Roman" w:hAnsi="Times New Roman" w:cs="Times New Roman"/>
          <w:bCs/>
          <w:sz w:val="24"/>
          <w:szCs w:val="24"/>
        </w:rPr>
        <w:t xml:space="preserve">, F., </w:t>
      </w:r>
      <w:proofErr w:type="spellStart"/>
      <w:r w:rsidRPr="00E71565">
        <w:rPr>
          <w:rFonts w:ascii="Times New Roman" w:hAnsi="Times New Roman" w:cs="Times New Roman"/>
          <w:bCs/>
          <w:sz w:val="24"/>
          <w:szCs w:val="24"/>
        </w:rPr>
        <w:t>Ayitey</w:t>
      </w:r>
      <w:proofErr w:type="spellEnd"/>
      <w:r w:rsidRPr="00E71565">
        <w:rPr>
          <w:rFonts w:ascii="Times New Roman" w:hAnsi="Times New Roman" w:cs="Times New Roman"/>
          <w:bCs/>
          <w:sz w:val="24"/>
          <w:szCs w:val="24"/>
        </w:rPr>
        <w:t xml:space="preserve">, J. Z., &amp; </w:t>
      </w:r>
      <w:proofErr w:type="spellStart"/>
      <w:r w:rsidRPr="00E71565">
        <w:rPr>
          <w:rFonts w:ascii="Times New Roman" w:hAnsi="Times New Roman" w:cs="Times New Roman"/>
          <w:bCs/>
          <w:sz w:val="24"/>
          <w:szCs w:val="24"/>
        </w:rPr>
        <w:t>Gyamfi-Yeboah</w:t>
      </w:r>
      <w:proofErr w:type="spellEnd"/>
      <w:r w:rsidRPr="00E71565">
        <w:rPr>
          <w:rFonts w:ascii="Times New Roman" w:hAnsi="Times New Roman" w:cs="Times New Roman"/>
          <w:bCs/>
          <w:sz w:val="24"/>
          <w:szCs w:val="24"/>
        </w:rPr>
        <w:t xml:space="preserve">, S. (2021). Investment Decision Making in </w:t>
      </w:r>
    </w:p>
    <w:p w14:paraId="40AB9396" w14:textId="28229BDE" w:rsidR="00E71565" w:rsidRPr="00E71565" w:rsidRDefault="00E71565" w:rsidP="00B32E01">
      <w:pPr>
        <w:spacing w:after="0" w:line="240" w:lineRule="auto"/>
        <w:ind w:firstLine="720"/>
        <w:jc w:val="both"/>
        <w:rPr>
          <w:rFonts w:ascii="Times New Roman" w:hAnsi="Times New Roman" w:cs="Times New Roman"/>
          <w:bCs/>
          <w:sz w:val="24"/>
          <w:szCs w:val="24"/>
        </w:rPr>
      </w:pPr>
      <w:proofErr w:type="gramStart"/>
      <w:r w:rsidRPr="00E71565">
        <w:rPr>
          <w:rFonts w:ascii="Times New Roman" w:hAnsi="Times New Roman" w:cs="Times New Roman"/>
          <w:bCs/>
          <w:sz w:val="24"/>
          <w:szCs w:val="24"/>
        </w:rPr>
        <w:t>the</w:t>
      </w:r>
      <w:proofErr w:type="gramEnd"/>
      <w:r w:rsidRPr="00E71565">
        <w:rPr>
          <w:rFonts w:ascii="Times New Roman" w:hAnsi="Times New Roman" w:cs="Times New Roman"/>
          <w:bCs/>
          <w:sz w:val="24"/>
          <w:szCs w:val="24"/>
        </w:rPr>
        <w:t xml:space="preserve"> Real Estate Sector. </w:t>
      </w:r>
      <w:r w:rsidRPr="00E71565">
        <w:rPr>
          <w:rFonts w:ascii="Times New Roman" w:hAnsi="Times New Roman" w:cs="Times New Roman"/>
          <w:bCs/>
          <w:i/>
          <w:iCs/>
          <w:sz w:val="24"/>
          <w:szCs w:val="24"/>
        </w:rPr>
        <w:t>Journal of Property Investment &amp; Finance</w:t>
      </w:r>
      <w:r w:rsidRPr="00E71565">
        <w:rPr>
          <w:rFonts w:ascii="Times New Roman" w:hAnsi="Times New Roman" w:cs="Times New Roman"/>
          <w:bCs/>
          <w:sz w:val="24"/>
          <w:szCs w:val="24"/>
        </w:rPr>
        <w:t>, 39(4), 350–366.</w:t>
      </w:r>
    </w:p>
    <w:p w14:paraId="52C26253"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Hui</w:t>
      </w:r>
      <w:proofErr w:type="spellEnd"/>
      <w:r w:rsidRPr="00E71565">
        <w:rPr>
          <w:rFonts w:ascii="Times New Roman" w:hAnsi="Times New Roman" w:cs="Times New Roman"/>
          <w:bCs/>
          <w:sz w:val="24"/>
          <w:szCs w:val="24"/>
        </w:rPr>
        <w:t xml:space="preserve">, E. C., </w:t>
      </w:r>
      <w:proofErr w:type="spellStart"/>
      <w:r w:rsidRPr="00E71565">
        <w:rPr>
          <w:rFonts w:ascii="Times New Roman" w:hAnsi="Times New Roman" w:cs="Times New Roman"/>
          <w:bCs/>
          <w:sz w:val="24"/>
          <w:szCs w:val="24"/>
        </w:rPr>
        <w:t>Chau</w:t>
      </w:r>
      <w:proofErr w:type="spellEnd"/>
      <w:r w:rsidRPr="00E71565">
        <w:rPr>
          <w:rFonts w:ascii="Times New Roman" w:hAnsi="Times New Roman" w:cs="Times New Roman"/>
          <w:bCs/>
          <w:sz w:val="24"/>
          <w:szCs w:val="24"/>
        </w:rPr>
        <w:t xml:space="preserve">, K. W., &amp; Ho, V. S. (2006). Property Market Cycles and Investment Decisions. </w:t>
      </w:r>
    </w:p>
    <w:p w14:paraId="1149C72C" w14:textId="0642D95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Journal of Real Estate Portfolio Management</w:t>
      </w:r>
      <w:r w:rsidRPr="00E71565">
        <w:rPr>
          <w:rFonts w:ascii="Times New Roman" w:hAnsi="Times New Roman" w:cs="Times New Roman"/>
          <w:bCs/>
          <w:sz w:val="24"/>
          <w:szCs w:val="24"/>
        </w:rPr>
        <w:t>, 12(2), 145–160.</w:t>
      </w:r>
    </w:p>
    <w:p w14:paraId="4D992B4F"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Ifediora</w:t>
      </w:r>
      <w:proofErr w:type="spellEnd"/>
      <w:r w:rsidRPr="00E71565">
        <w:rPr>
          <w:rFonts w:ascii="Times New Roman" w:hAnsi="Times New Roman" w:cs="Times New Roman"/>
          <w:bCs/>
          <w:sz w:val="24"/>
          <w:szCs w:val="24"/>
        </w:rPr>
        <w:t xml:space="preserve">, C. (2020). Property Classification and Valuation Methodologies. </w:t>
      </w:r>
      <w:r w:rsidRPr="00E71565">
        <w:rPr>
          <w:rFonts w:ascii="Times New Roman" w:hAnsi="Times New Roman" w:cs="Times New Roman"/>
          <w:bCs/>
          <w:i/>
          <w:iCs/>
          <w:sz w:val="24"/>
          <w:szCs w:val="24"/>
        </w:rPr>
        <w:t xml:space="preserve">Real Estate Education </w:t>
      </w:r>
    </w:p>
    <w:p w14:paraId="566AA91E" w14:textId="081F58D5"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Series</w:t>
      </w:r>
      <w:r w:rsidRPr="00E71565">
        <w:rPr>
          <w:rFonts w:ascii="Times New Roman" w:hAnsi="Times New Roman" w:cs="Times New Roman"/>
          <w:bCs/>
          <w:sz w:val="24"/>
          <w:szCs w:val="24"/>
        </w:rPr>
        <w:t>, 11(2), 33–49.</w:t>
      </w:r>
    </w:p>
    <w:p w14:paraId="359FA2C5"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Jimoh</w:t>
      </w:r>
      <w:proofErr w:type="spellEnd"/>
      <w:r w:rsidRPr="00E71565">
        <w:rPr>
          <w:rFonts w:ascii="Times New Roman" w:hAnsi="Times New Roman" w:cs="Times New Roman"/>
          <w:bCs/>
          <w:sz w:val="24"/>
          <w:szCs w:val="24"/>
        </w:rPr>
        <w:t xml:space="preserve">, R. A., </w:t>
      </w: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O. A., &amp; </w:t>
      </w:r>
      <w:proofErr w:type="spellStart"/>
      <w:r w:rsidRPr="00E71565">
        <w:rPr>
          <w:rFonts w:ascii="Times New Roman" w:hAnsi="Times New Roman" w:cs="Times New Roman"/>
          <w:bCs/>
          <w:sz w:val="24"/>
          <w:szCs w:val="24"/>
        </w:rPr>
        <w:t>Babatunde</w:t>
      </w:r>
      <w:proofErr w:type="spellEnd"/>
      <w:r w:rsidRPr="00E71565">
        <w:rPr>
          <w:rFonts w:ascii="Times New Roman" w:hAnsi="Times New Roman" w:cs="Times New Roman"/>
          <w:bCs/>
          <w:sz w:val="24"/>
          <w:szCs w:val="24"/>
        </w:rPr>
        <w:t>, S. O. (2021). Assessing Infrastructure Decay in High-</w:t>
      </w:r>
    </w:p>
    <w:p w14:paraId="54E6BE56" w14:textId="48342CA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Density Residential Areas of </w:t>
      </w:r>
      <w:proofErr w:type="spellStart"/>
      <w:r w:rsidRPr="00E71565">
        <w:rPr>
          <w:rFonts w:ascii="Times New Roman" w:hAnsi="Times New Roman" w:cs="Times New Roman"/>
          <w:bCs/>
          <w:sz w:val="24"/>
          <w:szCs w:val="24"/>
        </w:rPr>
        <w:t>Minna</w:t>
      </w:r>
      <w:proofErr w:type="spellEnd"/>
      <w:r w:rsidRPr="00E71565">
        <w:rPr>
          <w:rFonts w:ascii="Times New Roman" w:hAnsi="Times New Roman" w:cs="Times New Roman"/>
          <w:bCs/>
          <w:sz w:val="24"/>
          <w:szCs w:val="24"/>
        </w:rPr>
        <w:t xml:space="preserve">. </w:t>
      </w:r>
      <w:r w:rsidRPr="00E71565">
        <w:rPr>
          <w:rFonts w:ascii="Times New Roman" w:hAnsi="Times New Roman" w:cs="Times New Roman"/>
          <w:bCs/>
          <w:i/>
          <w:iCs/>
          <w:sz w:val="24"/>
          <w:szCs w:val="24"/>
        </w:rPr>
        <w:t>Journal of Construction Research</w:t>
      </w:r>
      <w:r w:rsidRPr="00E71565">
        <w:rPr>
          <w:rFonts w:ascii="Times New Roman" w:hAnsi="Times New Roman" w:cs="Times New Roman"/>
          <w:bCs/>
          <w:sz w:val="24"/>
          <w:szCs w:val="24"/>
        </w:rPr>
        <w:t>, 22(1), 101–118.</w:t>
      </w:r>
    </w:p>
    <w:p w14:paraId="14A27271"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O. A., </w:t>
      </w:r>
      <w:proofErr w:type="spellStart"/>
      <w:r w:rsidRPr="00E71565">
        <w:rPr>
          <w:rFonts w:ascii="Times New Roman" w:hAnsi="Times New Roman" w:cs="Times New Roman"/>
          <w:bCs/>
          <w:sz w:val="24"/>
          <w:szCs w:val="24"/>
        </w:rPr>
        <w:t>Adewunmi</w:t>
      </w:r>
      <w:proofErr w:type="spellEnd"/>
      <w:r w:rsidRPr="00E71565">
        <w:rPr>
          <w:rFonts w:ascii="Times New Roman" w:hAnsi="Times New Roman" w:cs="Times New Roman"/>
          <w:bCs/>
          <w:sz w:val="24"/>
          <w:szCs w:val="24"/>
        </w:rPr>
        <w:t xml:space="preserve">, Y., &amp; </w:t>
      </w:r>
      <w:proofErr w:type="spellStart"/>
      <w:r w:rsidRPr="00E71565">
        <w:rPr>
          <w:rFonts w:ascii="Times New Roman" w:hAnsi="Times New Roman" w:cs="Times New Roman"/>
          <w:bCs/>
          <w:sz w:val="24"/>
          <w:szCs w:val="24"/>
        </w:rPr>
        <w:t>Ayedun</w:t>
      </w:r>
      <w:proofErr w:type="spellEnd"/>
      <w:r w:rsidRPr="00E71565">
        <w:rPr>
          <w:rFonts w:ascii="Times New Roman" w:hAnsi="Times New Roman" w:cs="Times New Roman"/>
          <w:bCs/>
          <w:sz w:val="24"/>
          <w:szCs w:val="24"/>
        </w:rPr>
        <w:t xml:space="preserve">, C. A. (2018). Determinants of Rental Growth in Urban </w:t>
      </w:r>
    </w:p>
    <w:p w14:paraId="0C16582A" w14:textId="77777777" w:rsidR="00F954B3"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Residential Properties. </w:t>
      </w:r>
      <w:r w:rsidRPr="00E71565">
        <w:rPr>
          <w:rFonts w:ascii="Times New Roman" w:hAnsi="Times New Roman" w:cs="Times New Roman"/>
          <w:bCs/>
          <w:i/>
          <w:iCs/>
          <w:sz w:val="24"/>
          <w:szCs w:val="24"/>
        </w:rPr>
        <w:t>International Journal of Strategic Property Management</w:t>
      </w:r>
      <w:r w:rsidRPr="00E71565">
        <w:rPr>
          <w:rFonts w:ascii="Times New Roman" w:hAnsi="Times New Roman" w:cs="Times New Roman"/>
          <w:bCs/>
          <w:sz w:val="24"/>
          <w:szCs w:val="24"/>
        </w:rPr>
        <w:t xml:space="preserve">, 22(3), </w:t>
      </w:r>
    </w:p>
    <w:p w14:paraId="3320CC4C" w14:textId="5040FFE0" w:rsidR="00E71565" w:rsidRPr="00E71565" w:rsidRDefault="00E71565" w:rsidP="00B32E01">
      <w:pPr>
        <w:spacing w:after="0" w:line="240" w:lineRule="auto"/>
        <w:ind w:left="720"/>
        <w:jc w:val="both"/>
        <w:rPr>
          <w:rFonts w:ascii="Times New Roman" w:hAnsi="Times New Roman" w:cs="Times New Roman"/>
          <w:bCs/>
          <w:sz w:val="24"/>
          <w:szCs w:val="24"/>
        </w:rPr>
      </w:pPr>
      <w:r w:rsidRPr="00E71565">
        <w:rPr>
          <w:rFonts w:ascii="Times New Roman" w:hAnsi="Times New Roman" w:cs="Times New Roman"/>
          <w:bCs/>
          <w:sz w:val="24"/>
          <w:szCs w:val="24"/>
        </w:rPr>
        <w:t>241–255.</w:t>
      </w:r>
    </w:p>
    <w:p w14:paraId="68A50C30"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Lawal</w:t>
      </w:r>
      <w:proofErr w:type="spellEnd"/>
      <w:r w:rsidRPr="00E71565">
        <w:rPr>
          <w:rFonts w:ascii="Times New Roman" w:hAnsi="Times New Roman" w:cs="Times New Roman"/>
          <w:bCs/>
          <w:sz w:val="24"/>
          <w:szCs w:val="24"/>
        </w:rPr>
        <w:t xml:space="preserve">, K. O. (2023). Market Trends and Investment Performance. </w:t>
      </w:r>
      <w:r w:rsidRPr="00E71565">
        <w:rPr>
          <w:rFonts w:ascii="Times New Roman" w:hAnsi="Times New Roman" w:cs="Times New Roman"/>
          <w:bCs/>
          <w:i/>
          <w:iCs/>
          <w:sz w:val="24"/>
          <w:szCs w:val="24"/>
        </w:rPr>
        <w:t xml:space="preserve">African Journal of Business </w:t>
      </w:r>
    </w:p>
    <w:p w14:paraId="0C4A5E66" w14:textId="1ED18925"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Management</w:t>
      </w:r>
      <w:r w:rsidRPr="00E71565">
        <w:rPr>
          <w:rFonts w:ascii="Times New Roman" w:hAnsi="Times New Roman" w:cs="Times New Roman"/>
          <w:bCs/>
          <w:sz w:val="24"/>
          <w:szCs w:val="24"/>
        </w:rPr>
        <w:t>, 17(4), 112–129.</w:t>
      </w:r>
    </w:p>
    <w:p w14:paraId="67872602"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Naderifar</w:t>
      </w:r>
      <w:proofErr w:type="spellEnd"/>
      <w:r w:rsidRPr="00E71565">
        <w:rPr>
          <w:rFonts w:ascii="Times New Roman" w:hAnsi="Times New Roman" w:cs="Times New Roman"/>
          <w:bCs/>
          <w:sz w:val="24"/>
          <w:szCs w:val="24"/>
        </w:rPr>
        <w:t xml:space="preserve">, M., </w:t>
      </w:r>
      <w:proofErr w:type="spellStart"/>
      <w:r w:rsidRPr="00E71565">
        <w:rPr>
          <w:rFonts w:ascii="Times New Roman" w:hAnsi="Times New Roman" w:cs="Times New Roman"/>
          <w:bCs/>
          <w:sz w:val="24"/>
          <w:szCs w:val="24"/>
        </w:rPr>
        <w:t>Goli</w:t>
      </w:r>
      <w:proofErr w:type="spellEnd"/>
      <w:r w:rsidRPr="00E71565">
        <w:rPr>
          <w:rFonts w:ascii="Times New Roman" w:hAnsi="Times New Roman" w:cs="Times New Roman"/>
          <w:bCs/>
          <w:sz w:val="24"/>
          <w:szCs w:val="24"/>
        </w:rPr>
        <w:t xml:space="preserve">, H., &amp; </w:t>
      </w:r>
      <w:proofErr w:type="spellStart"/>
      <w:r w:rsidRPr="00E71565">
        <w:rPr>
          <w:rFonts w:ascii="Times New Roman" w:hAnsi="Times New Roman" w:cs="Times New Roman"/>
          <w:bCs/>
          <w:sz w:val="24"/>
          <w:szCs w:val="24"/>
        </w:rPr>
        <w:t>Ghaljaie</w:t>
      </w:r>
      <w:proofErr w:type="spellEnd"/>
      <w:r w:rsidRPr="00E71565">
        <w:rPr>
          <w:rFonts w:ascii="Times New Roman" w:hAnsi="Times New Roman" w:cs="Times New Roman"/>
          <w:bCs/>
          <w:sz w:val="24"/>
          <w:szCs w:val="24"/>
        </w:rPr>
        <w:t xml:space="preserve">, F. (2017). Snowball Sampling in Qualitative Research. </w:t>
      </w:r>
      <w:r w:rsidRPr="00E71565">
        <w:rPr>
          <w:rFonts w:ascii="Times New Roman" w:hAnsi="Times New Roman" w:cs="Times New Roman"/>
          <w:bCs/>
          <w:i/>
          <w:iCs/>
          <w:sz w:val="24"/>
          <w:szCs w:val="24"/>
        </w:rPr>
        <w:t xml:space="preserve">Strides </w:t>
      </w:r>
    </w:p>
    <w:p w14:paraId="1C1419EB" w14:textId="46CA0533" w:rsidR="00E71565" w:rsidRPr="00E71565" w:rsidRDefault="00E71565" w:rsidP="00B32E01">
      <w:pPr>
        <w:spacing w:after="0" w:line="240" w:lineRule="auto"/>
        <w:ind w:firstLine="720"/>
        <w:jc w:val="both"/>
        <w:rPr>
          <w:rFonts w:ascii="Times New Roman" w:hAnsi="Times New Roman" w:cs="Times New Roman"/>
          <w:bCs/>
          <w:sz w:val="24"/>
          <w:szCs w:val="24"/>
        </w:rPr>
      </w:pPr>
      <w:proofErr w:type="gramStart"/>
      <w:r w:rsidRPr="00E71565">
        <w:rPr>
          <w:rFonts w:ascii="Times New Roman" w:hAnsi="Times New Roman" w:cs="Times New Roman"/>
          <w:bCs/>
          <w:i/>
          <w:iCs/>
          <w:sz w:val="24"/>
          <w:szCs w:val="24"/>
        </w:rPr>
        <w:t>in</w:t>
      </w:r>
      <w:proofErr w:type="gramEnd"/>
      <w:r w:rsidRPr="00E71565">
        <w:rPr>
          <w:rFonts w:ascii="Times New Roman" w:hAnsi="Times New Roman" w:cs="Times New Roman"/>
          <w:bCs/>
          <w:i/>
          <w:iCs/>
          <w:sz w:val="24"/>
          <w:szCs w:val="24"/>
        </w:rPr>
        <w:t xml:space="preserve"> Development of Medical Education</w:t>
      </w:r>
      <w:r w:rsidRPr="00E71565">
        <w:rPr>
          <w:rFonts w:ascii="Times New Roman" w:hAnsi="Times New Roman" w:cs="Times New Roman"/>
          <w:bCs/>
          <w:sz w:val="24"/>
          <w:szCs w:val="24"/>
        </w:rPr>
        <w:t>, 14(3), e60459.</w:t>
      </w:r>
    </w:p>
    <w:p w14:paraId="4F3653A3"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Nwosu</w:t>
      </w:r>
      <w:proofErr w:type="spellEnd"/>
      <w:r w:rsidRPr="00E71565">
        <w:rPr>
          <w:rFonts w:ascii="Times New Roman" w:hAnsi="Times New Roman" w:cs="Times New Roman"/>
          <w:bCs/>
          <w:sz w:val="24"/>
          <w:szCs w:val="24"/>
        </w:rPr>
        <w:t xml:space="preserve">, K. C. (2019). Modern Land Economics and the Theory of Bid-Rent. </w:t>
      </w:r>
      <w:r w:rsidRPr="00E71565">
        <w:rPr>
          <w:rFonts w:ascii="Times New Roman" w:hAnsi="Times New Roman" w:cs="Times New Roman"/>
          <w:bCs/>
          <w:i/>
          <w:iCs/>
          <w:sz w:val="24"/>
          <w:szCs w:val="24"/>
        </w:rPr>
        <w:t xml:space="preserve">Urban Economics </w:t>
      </w:r>
    </w:p>
    <w:p w14:paraId="4A32FBF3" w14:textId="72337372"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Review</w:t>
      </w:r>
      <w:r w:rsidRPr="00E71565">
        <w:rPr>
          <w:rFonts w:ascii="Times New Roman" w:hAnsi="Times New Roman" w:cs="Times New Roman"/>
          <w:bCs/>
          <w:sz w:val="24"/>
          <w:szCs w:val="24"/>
        </w:rPr>
        <w:t>, 7(2), 22–38.</w:t>
      </w:r>
    </w:p>
    <w:p w14:paraId="3AE0D772"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Olanrele</w:t>
      </w:r>
      <w:proofErr w:type="spellEnd"/>
      <w:r w:rsidRPr="00E71565">
        <w:rPr>
          <w:rFonts w:ascii="Times New Roman" w:hAnsi="Times New Roman" w:cs="Times New Roman"/>
          <w:bCs/>
          <w:sz w:val="24"/>
          <w:szCs w:val="24"/>
        </w:rPr>
        <w:t xml:space="preserve">, O. O., </w:t>
      </w:r>
      <w:proofErr w:type="spellStart"/>
      <w:r w:rsidRPr="00E71565">
        <w:rPr>
          <w:rFonts w:ascii="Times New Roman" w:hAnsi="Times New Roman" w:cs="Times New Roman"/>
          <w:bCs/>
          <w:sz w:val="24"/>
          <w:szCs w:val="24"/>
        </w:rPr>
        <w:t>Adegunle</w:t>
      </w:r>
      <w:proofErr w:type="spellEnd"/>
      <w:r w:rsidRPr="00E71565">
        <w:rPr>
          <w:rFonts w:ascii="Times New Roman" w:hAnsi="Times New Roman" w:cs="Times New Roman"/>
          <w:bCs/>
          <w:sz w:val="24"/>
          <w:szCs w:val="24"/>
        </w:rPr>
        <w:t xml:space="preserve">, T. O., &amp; </w:t>
      </w:r>
      <w:proofErr w:type="spellStart"/>
      <w:r w:rsidRPr="00E71565">
        <w:rPr>
          <w:rFonts w:ascii="Times New Roman" w:hAnsi="Times New Roman" w:cs="Times New Roman"/>
          <w:bCs/>
          <w:sz w:val="24"/>
          <w:szCs w:val="24"/>
        </w:rPr>
        <w:t>Dahir</w:t>
      </w:r>
      <w:proofErr w:type="spellEnd"/>
      <w:r w:rsidRPr="00E71565">
        <w:rPr>
          <w:rFonts w:ascii="Times New Roman" w:hAnsi="Times New Roman" w:cs="Times New Roman"/>
          <w:bCs/>
          <w:sz w:val="24"/>
          <w:szCs w:val="24"/>
        </w:rPr>
        <w:t xml:space="preserve">, N. M. (2020). Barriers to Homeownership in Urban </w:t>
      </w:r>
    </w:p>
    <w:p w14:paraId="20F8803B" w14:textId="5EB61424"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Nigeria. </w:t>
      </w:r>
      <w:r w:rsidRPr="00E71565">
        <w:rPr>
          <w:rFonts w:ascii="Times New Roman" w:hAnsi="Times New Roman" w:cs="Times New Roman"/>
          <w:bCs/>
          <w:i/>
          <w:iCs/>
          <w:sz w:val="24"/>
          <w:szCs w:val="24"/>
        </w:rPr>
        <w:t>Journal of African Real Estate Research</w:t>
      </w:r>
      <w:r w:rsidRPr="00E71565">
        <w:rPr>
          <w:rFonts w:ascii="Times New Roman" w:hAnsi="Times New Roman" w:cs="Times New Roman"/>
          <w:bCs/>
          <w:sz w:val="24"/>
          <w:szCs w:val="24"/>
        </w:rPr>
        <w:t>, 5(2), 40–58.</w:t>
      </w:r>
    </w:p>
    <w:p w14:paraId="0A2FA038"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Olapade</w:t>
      </w:r>
      <w:proofErr w:type="spellEnd"/>
      <w:r w:rsidRPr="00E71565">
        <w:rPr>
          <w:rFonts w:ascii="Times New Roman" w:hAnsi="Times New Roman" w:cs="Times New Roman"/>
          <w:bCs/>
          <w:sz w:val="24"/>
          <w:szCs w:val="24"/>
        </w:rPr>
        <w:t xml:space="preserve">, D. T. (2023). Neighborhood Density and Residential Rental Values. </w:t>
      </w:r>
      <w:r w:rsidRPr="00E71565">
        <w:rPr>
          <w:rFonts w:ascii="Times New Roman" w:hAnsi="Times New Roman" w:cs="Times New Roman"/>
          <w:bCs/>
          <w:i/>
          <w:iCs/>
          <w:sz w:val="24"/>
          <w:szCs w:val="24"/>
        </w:rPr>
        <w:t xml:space="preserve">Journal of </w:t>
      </w:r>
    </w:p>
    <w:p w14:paraId="785C20EF" w14:textId="6022307A"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Sustainable Development</w:t>
      </w:r>
      <w:r w:rsidRPr="00E71565">
        <w:rPr>
          <w:rFonts w:ascii="Times New Roman" w:hAnsi="Times New Roman" w:cs="Times New Roman"/>
          <w:bCs/>
          <w:sz w:val="24"/>
          <w:szCs w:val="24"/>
        </w:rPr>
        <w:t>, 16(1), 90–108.</w:t>
      </w:r>
    </w:p>
    <w:p w14:paraId="1AAA91A3"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Olayiwola</w:t>
      </w:r>
      <w:proofErr w:type="spellEnd"/>
      <w:r w:rsidRPr="00E71565">
        <w:rPr>
          <w:rFonts w:ascii="Times New Roman" w:hAnsi="Times New Roman" w:cs="Times New Roman"/>
          <w:bCs/>
          <w:sz w:val="24"/>
          <w:szCs w:val="24"/>
        </w:rPr>
        <w:t xml:space="preserve">, L. M., </w:t>
      </w:r>
      <w:proofErr w:type="spellStart"/>
      <w:r w:rsidRPr="00E71565">
        <w:rPr>
          <w:rFonts w:ascii="Times New Roman" w:hAnsi="Times New Roman" w:cs="Times New Roman"/>
          <w:bCs/>
          <w:sz w:val="24"/>
          <w:szCs w:val="24"/>
        </w:rPr>
        <w:t>Adeleye</w:t>
      </w:r>
      <w:proofErr w:type="spellEnd"/>
      <w:r w:rsidRPr="00E71565">
        <w:rPr>
          <w:rFonts w:ascii="Times New Roman" w:hAnsi="Times New Roman" w:cs="Times New Roman"/>
          <w:bCs/>
          <w:sz w:val="24"/>
          <w:szCs w:val="24"/>
        </w:rPr>
        <w:t xml:space="preserve">, O., &amp; </w:t>
      </w:r>
      <w:proofErr w:type="spellStart"/>
      <w:r w:rsidRPr="00E71565">
        <w:rPr>
          <w:rFonts w:ascii="Times New Roman" w:hAnsi="Times New Roman" w:cs="Times New Roman"/>
          <w:bCs/>
          <w:sz w:val="24"/>
          <w:szCs w:val="24"/>
        </w:rPr>
        <w:t>Ogunleye</w:t>
      </w:r>
      <w:proofErr w:type="spellEnd"/>
      <w:r w:rsidRPr="00E71565">
        <w:rPr>
          <w:rFonts w:ascii="Times New Roman" w:hAnsi="Times New Roman" w:cs="Times New Roman"/>
          <w:bCs/>
          <w:sz w:val="24"/>
          <w:szCs w:val="24"/>
        </w:rPr>
        <w:t xml:space="preserve">, A. O. (2005). Residential Land Use and Housing </w:t>
      </w:r>
    </w:p>
    <w:p w14:paraId="0168784C" w14:textId="1CA1E179"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Policy in Nigeria. </w:t>
      </w:r>
      <w:r w:rsidRPr="00E71565">
        <w:rPr>
          <w:rFonts w:ascii="Times New Roman" w:hAnsi="Times New Roman" w:cs="Times New Roman"/>
          <w:bCs/>
          <w:i/>
          <w:iCs/>
          <w:sz w:val="24"/>
          <w:szCs w:val="24"/>
        </w:rPr>
        <w:t>Journal of Social Sciences</w:t>
      </w:r>
      <w:r w:rsidRPr="00E71565">
        <w:rPr>
          <w:rFonts w:ascii="Times New Roman" w:hAnsi="Times New Roman" w:cs="Times New Roman"/>
          <w:bCs/>
          <w:sz w:val="24"/>
          <w:szCs w:val="24"/>
        </w:rPr>
        <w:t>, 11(3), 189–195.</w:t>
      </w:r>
    </w:p>
    <w:p w14:paraId="0953AED6"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Oni, A. S. (2022). Urban Land Use and Housing Density Dynamics in Nigeria. </w:t>
      </w:r>
      <w:r w:rsidRPr="00E71565">
        <w:rPr>
          <w:rFonts w:ascii="Times New Roman" w:hAnsi="Times New Roman" w:cs="Times New Roman"/>
          <w:bCs/>
          <w:i/>
          <w:iCs/>
          <w:sz w:val="24"/>
          <w:szCs w:val="24"/>
        </w:rPr>
        <w:t>NIESV Journal</w:t>
      </w:r>
      <w:r w:rsidRPr="00E71565">
        <w:rPr>
          <w:rFonts w:ascii="Times New Roman" w:hAnsi="Times New Roman" w:cs="Times New Roman"/>
          <w:bCs/>
          <w:sz w:val="24"/>
          <w:szCs w:val="24"/>
        </w:rPr>
        <w:t xml:space="preserve">, </w:t>
      </w:r>
    </w:p>
    <w:p w14:paraId="1FDBBEAC" w14:textId="6A66ECFB"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14(1), 15–30.</w:t>
      </w:r>
    </w:p>
    <w:p w14:paraId="4C2E95C4" w14:textId="77777777" w:rsidR="00E71565" w:rsidRPr="00E71565"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Pallant</w:t>
      </w:r>
      <w:proofErr w:type="spellEnd"/>
      <w:r w:rsidRPr="00E71565">
        <w:rPr>
          <w:rFonts w:ascii="Times New Roman" w:hAnsi="Times New Roman" w:cs="Times New Roman"/>
          <w:bCs/>
          <w:sz w:val="24"/>
          <w:szCs w:val="24"/>
        </w:rPr>
        <w:t xml:space="preserve">, J. (2020). </w:t>
      </w:r>
      <w:r w:rsidRPr="00E71565">
        <w:rPr>
          <w:rFonts w:ascii="Times New Roman" w:hAnsi="Times New Roman" w:cs="Times New Roman"/>
          <w:bCs/>
          <w:i/>
          <w:iCs/>
          <w:sz w:val="24"/>
          <w:szCs w:val="24"/>
        </w:rPr>
        <w:t>SPSS Survival Manual</w:t>
      </w:r>
      <w:r w:rsidRPr="00E71565">
        <w:rPr>
          <w:rFonts w:ascii="Times New Roman" w:hAnsi="Times New Roman" w:cs="Times New Roman"/>
          <w:bCs/>
          <w:sz w:val="24"/>
          <w:szCs w:val="24"/>
        </w:rPr>
        <w:t>. McGraw-Hill, 7th Ed., pp. 240–255.</w:t>
      </w:r>
    </w:p>
    <w:p w14:paraId="099E3D97"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Peppercorn, I. G., &amp; </w:t>
      </w:r>
      <w:proofErr w:type="spellStart"/>
      <w:r w:rsidRPr="00E71565">
        <w:rPr>
          <w:rFonts w:ascii="Times New Roman" w:hAnsi="Times New Roman" w:cs="Times New Roman"/>
          <w:bCs/>
          <w:sz w:val="24"/>
          <w:szCs w:val="24"/>
        </w:rPr>
        <w:t>Taffin</w:t>
      </w:r>
      <w:proofErr w:type="spellEnd"/>
      <w:r w:rsidRPr="00E71565">
        <w:rPr>
          <w:rFonts w:ascii="Times New Roman" w:hAnsi="Times New Roman" w:cs="Times New Roman"/>
          <w:bCs/>
          <w:sz w:val="24"/>
          <w:szCs w:val="24"/>
        </w:rPr>
        <w:t xml:space="preserve">, C. (2021). </w:t>
      </w:r>
      <w:r w:rsidRPr="00E71565">
        <w:rPr>
          <w:rFonts w:ascii="Times New Roman" w:hAnsi="Times New Roman" w:cs="Times New Roman"/>
          <w:bCs/>
          <w:i/>
          <w:iCs/>
          <w:sz w:val="24"/>
          <w:szCs w:val="24"/>
        </w:rPr>
        <w:t>Rental Housing: A Sustainable Strategy for Urban Growth</w:t>
      </w:r>
      <w:r w:rsidRPr="00E71565">
        <w:rPr>
          <w:rFonts w:ascii="Times New Roman" w:hAnsi="Times New Roman" w:cs="Times New Roman"/>
          <w:bCs/>
          <w:sz w:val="24"/>
          <w:szCs w:val="24"/>
        </w:rPr>
        <w:t xml:space="preserve">. </w:t>
      </w:r>
    </w:p>
    <w:p w14:paraId="323457E8" w14:textId="16AD8C9F"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World Bank Publications, pp. 210–245.</w:t>
      </w:r>
    </w:p>
    <w:p w14:paraId="1AF85D2C" w14:textId="77777777" w:rsidR="00F954B3" w:rsidRDefault="00E71565" w:rsidP="00B32E01">
      <w:pPr>
        <w:spacing w:after="0" w:line="240" w:lineRule="auto"/>
        <w:jc w:val="both"/>
        <w:rPr>
          <w:rFonts w:ascii="Times New Roman" w:hAnsi="Times New Roman" w:cs="Times New Roman"/>
          <w:bCs/>
          <w:i/>
          <w:iCs/>
          <w:sz w:val="24"/>
          <w:szCs w:val="24"/>
        </w:rPr>
      </w:pPr>
      <w:proofErr w:type="spellStart"/>
      <w:r w:rsidRPr="00E71565">
        <w:rPr>
          <w:rFonts w:ascii="Times New Roman" w:hAnsi="Times New Roman" w:cs="Times New Roman"/>
          <w:bCs/>
          <w:sz w:val="24"/>
          <w:szCs w:val="24"/>
        </w:rPr>
        <w:t>Rubaszek</w:t>
      </w:r>
      <w:proofErr w:type="spellEnd"/>
      <w:r w:rsidRPr="00E71565">
        <w:rPr>
          <w:rFonts w:ascii="Times New Roman" w:hAnsi="Times New Roman" w:cs="Times New Roman"/>
          <w:bCs/>
          <w:sz w:val="24"/>
          <w:szCs w:val="24"/>
        </w:rPr>
        <w:t xml:space="preserve">, M. (2019). The Economics of Renting vs. Owning in Urban Districts. </w:t>
      </w:r>
      <w:r w:rsidRPr="00E71565">
        <w:rPr>
          <w:rFonts w:ascii="Times New Roman" w:hAnsi="Times New Roman" w:cs="Times New Roman"/>
          <w:bCs/>
          <w:i/>
          <w:iCs/>
          <w:sz w:val="24"/>
          <w:szCs w:val="24"/>
        </w:rPr>
        <w:t xml:space="preserve">European Journal </w:t>
      </w:r>
    </w:p>
    <w:p w14:paraId="1D1D3D65" w14:textId="451B174F" w:rsidR="00E71565" w:rsidRPr="00E71565" w:rsidRDefault="00E71565" w:rsidP="00B32E01">
      <w:pPr>
        <w:spacing w:after="0" w:line="240" w:lineRule="auto"/>
        <w:ind w:firstLine="720"/>
        <w:jc w:val="both"/>
        <w:rPr>
          <w:rFonts w:ascii="Times New Roman" w:hAnsi="Times New Roman" w:cs="Times New Roman"/>
          <w:bCs/>
          <w:sz w:val="24"/>
          <w:szCs w:val="24"/>
        </w:rPr>
      </w:pPr>
      <w:proofErr w:type="gramStart"/>
      <w:r w:rsidRPr="00E71565">
        <w:rPr>
          <w:rFonts w:ascii="Times New Roman" w:hAnsi="Times New Roman" w:cs="Times New Roman"/>
          <w:bCs/>
          <w:i/>
          <w:iCs/>
          <w:sz w:val="24"/>
          <w:szCs w:val="24"/>
        </w:rPr>
        <w:t>of</w:t>
      </w:r>
      <w:proofErr w:type="gramEnd"/>
      <w:r w:rsidRPr="00E71565">
        <w:rPr>
          <w:rFonts w:ascii="Times New Roman" w:hAnsi="Times New Roman" w:cs="Times New Roman"/>
          <w:bCs/>
          <w:i/>
          <w:iCs/>
          <w:sz w:val="24"/>
          <w:szCs w:val="24"/>
        </w:rPr>
        <w:t xml:space="preserve"> Housing Policy</w:t>
      </w:r>
      <w:r w:rsidRPr="00E71565">
        <w:rPr>
          <w:rFonts w:ascii="Times New Roman" w:hAnsi="Times New Roman" w:cs="Times New Roman"/>
          <w:bCs/>
          <w:sz w:val="24"/>
          <w:szCs w:val="24"/>
        </w:rPr>
        <w:t>, 19(4), 450–472.</w:t>
      </w:r>
    </w:p>
    <w:p w14:paraId="3B59FFA0"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Saunders, M., Lewis, P., &amp; </w:t>
      </w:r>
      <w:proofErr w:type="spellStart"/>
      <w:r w:rsidRPr="00E71565">
        <w:rPr>
          <w:rFonts w:ascii="Times New Roman" w:hAnsi="Times New Roman" w:cs="Times New Roman"/>
          <w:bCs/>
          <w:sz w:val="24"/>
          <w:szCs w:val="24"/>
        </w:rPr>
        <w:t>Thornhill</w:t>
      </w:r>
      <w:proofErr w:type="spellEnd"/>
      <w:r w:rsidRPr="00E71565">
        <w:rPr>
          <w:rFonts w:ascii="Times New Roman" w:hAnsi="Times New Roman" w:cs="Times New Roman"/>
          <w:bCs/>
          <w:sz w:val="24"/>
          <w:szCs w:val="24"/>
        </w:rPr>
        <w:t xml:space="preserve">, A. (2012). </w:t>
      </w:r>
      <w:r w:rsidRPr="00E71565">
        <w:rPr>
          <w:rFonts w:ascii="Times New Roman" w:hAnsi="Times New Roman" w:cs="Times New Roman"/>
          <w:bCs/>
          <w:i/>
          <w:iCs/>
          <w:sz w:val="24"/>
          <w:szCs w:val="24"/>
        </w:rPr>
        <w:t>Research Methods for Business Students</w:t>
      </w:r>
      <w:r w:rsidRPr="00E71565">
        <w:rPr>
          <w:rFonts w:ascii="Times New Roman" w:hAnsi="Times New Roman" w:cs="Times New Roman"/>
          <w:bCs/>
          <w:sz w:val="24"/>
          <w:szCs w:val="24"/>
        </w:rPr>
        <w:t xml:space="preserve">. </w:t>
      </w:r>
    </w:p>
    <w:p w14:paraId="05C90491" w14:textId="06B0735F"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Pearson, 6th Ed., pp. 120–145.</w:t>
      </w:r>
    </w:p>
    <w:p w14:paraId="3A46B99C"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Thontteh</w:t>
      </w:r>
      <w:proofErr w:type="spellEnd"/>
      <w:r w:rsidRPr="00E71565">
        <w:rPr>
          <w:rFonts w:ascii="Times New Roman" w:hAnsi="Times New Roman" w:cs="Times New Roman"/>
          <w:bCs/>
          <w:sz w:val="24"/>
          <w:szCs w:val="24"/>
        </w:rPr>
        <w:t xml:space="preserve">, E. O. (2022). A Hedonic Analysis of Residential Rents in North-Central Nigeria. </w:t>
      </w:r>
    </w:p>
    <w:p w14:paraId="0BC0DCFC" w14:textId="464B750E"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i/>
          <w:iCs/>
          <w:sz w:val="24"/>
          <w:szCs w:val="24"/>
        </w:rPr>
        <w:t>Journal of Property Management and Development</w:t>
      </w:r>
      <w:r w:rsidRPr="00E71565">
        <w:rPr>
          <w:rFonts w:ascii="Times New Roman" w:hAnsi="Times New Roman" w:cs="Times New Roman"/>
          <w:bCs/>
          <w:sz w:val="24"/>
          <w:szCs w:val="24"/>
        </w:rPr>
        <w:t>, 10(2), 65–82.</w:t>
      </w:r>
    </w:p>
    <w:p w14:paraId="57D67CB1"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Udoekanem</w:t>
      </w:r>
      <w:proofErr w:type="spellEnd"/>
      <w:r w:rsidRPr="00E71565">
        <w:rPr>
          <w:rFonts w:ascii="Times New Roman" w:hAnsi="Times New Roman" w:cs="Times New Roman"/>
          <w:bCs/>
          <w:sz w:val="24"/>
          <w:szCs w:val="24"/>
        </w:rPr>
        <w:t xml:space="preserve">, N. B., </w:t>
      </w:r>
      <w:proofErr w:type="spellStart"/>
      <w:r w:rsidRPr="00E71565">
        <w:rPr>
          <w:rFonts w:ascii="Times New Roman" w:hAnsi="Times New Roman" w:cs="Times New Roman"/>
          <w:bCs/>
          <w:sz w:val="24"/>
          <w:szCs w:val="24"/>
        </w:rPr>
        <w:t>Adoga</w:t>
      </w:r>
      <w:proofErr w:type="spellEnd"/>
      <w:r w:rsidRPr="00E71565">
        <w:rPr>
          <w:rFonts w:ascii="Times New Roman" w:hAnsi="Times New Roman" w:cs="Times New Roman"/>
          <w:bCs/>
          <w:sz w:val="24"/>
          <w:szCs w:val="24"/>
        </w:rPr>
        <w:t xml:space="preserve">, D. O., &amp; </w:t>
      </w:r>
      <w:proofErr w:type="spellStart"/>
      <w:r w:rsidRPr="00E71565">
        <w:rPr>
          <w:rFonts w:ascii="Times New Roman" w:hAnsi="Times New Roman" w:cs="Times New Roman"/>
          <w:bCs/>
          <w:sz w:val="24"/>
          <w:szCs w:val="24"/>
        </w:rPr>
        <w:t>Onuorah</w:t>
      </w:r>
      <w:proofErr w:type="spellEnd"/>
      <w:r w:rsidRPr="00E71565">
        <w:rPr>
          <w:rFonts w:ascii="Times New Roman" w:hAnsi="Times New Roman" w:cs="Times New Roman"/>
          <w:bCs/>
          <w:sz w:val="24"/>
          <w:szCs w:val="24"/>
        </w:rPr>
        <w:t xml:space="preserve">, V. C. (2015). Determinants of Residential Ground </w:t>
      </w:r>
    </w:p>
    <w:p w14:paraId="5491BC76" w14:textId="77777777" w:rsidR="00F954B3" w:rsidRDefault="00E71565" w:rsidP="00B32E01">
      <w:pPr>
        <w:spacing w:after="0" w:line="240" w:lineRule="auto"/>
        <w:ind w:firstLine="720"/>
        <w:jc w:val="both"/>
        <w:rPr>
          <w:rFonts w:ascii="Times New Roman" w:hAnsi="Times New Roman" w:cs="Times New Roman"/>
          <w:bCs/>
          <w:i/>
          <w:iCs/>
          <w:sz w:val="24"/>
          <w:szCs w:val="24"/>
        </w:rPr>
      </w:pPr>
      <w:r w:rsidRPr="00E71565">
        <w:rPr>
          <w:rFonts w:ascii="Times New Roman" w:hAnsi="Times New Roman" w:cs="Times New Roman"/>
          <w:bCs/>
          <w:sz w:val="24"/>
          <w:szCs w:val="24"/>
        </w:rPr>
        <w:t xml:space="preserve">Rent in Nigerian Urban Property Markets. </w:t>
      </w:r>
      <w:r w:rsidRPr="00E71565">
        <w:rPr>
          <w:rFonts w:ascii="Times New Roman" w:hAnsi="Times New Roman" w:cs="Times New Roman"/>
          <w:bCs/>
          <w:i/>
          <w:iCs/>
          <w:sz w:val="24"/>
          <w:szCs w:val="24"/>
        </w:rPr>
        <w:t xml:space="preserve">International Journal of Sustainable </w:t>
      </w:r>
      <w:r w:rsidR="00F954B3">
        <w:rPr>
          <w:rFonts w:ascii="Times New Roman" w:hAnsi="Times New Roman" w:cs="Times New Roman"/>
          <w:bCs/>
          <w:i/>
          <w:iCs/>
          <w:sz w:val="24"/>
          <w:szCs w:val="24"/>
        </w:rPr>
        <w:t xml:space="preserve"> </w:t>
      </w:r>
    </w:p>
    <w:p w14:paraId="00EA6CC4" w14:textId="75F7DAD9" w:rsidR="00E71565" w:rsidRPr="00F954B3" w:rsidRDefault="00E71565" w:rsidP="00B32E01">
      <w:pPr>
        <w:spacing w:after="0" w:line="240" w:lineRule="auto"/>
        <w:ind w:firstLine="720"/>
        <w:jc w:val="both"/>
        <w:rPr>
          <w:rFonts w:ascii="Times New Roman" w:hAnsi="Times New Roman" w:cs="Times New Roman"/>
          <w:bCs/>
          <w:i/>
          <w:iCs/>
          <w:sz w:val="24"/>
          <w:szCs w:val="24"/>
        </w:rPr>
      </w:pPr>
      <w:r w:rsidRPr="00E71565">
        <w:rPr>
          <w:rFonts w:ascii="Times New Roman" w:hAnsi="Times New Roman" w:cs="Times New Roman"/>
          <w:bCs/>
          <w:i/>
          <w:iCs/>
          <w:sz w:val="24"/>
          <w:szCs w:val="24"/>
        </w:rPr>
        <w:lastRenderedPageBreak/>
        <w:t>Development</w:t>
      </w:r>
      <w:r w:rsidRPr="00E71565">
        <w:rPr>
          <w:rFonts w:ascii="Times New Roman" w:hAnsi="Times New Roman" w:cs="Times New Roman"/>
          <w:bCs/>
          <w:sz w:val="24"/>
          <w:szCs w:val="24"/>
        </w:rPr>
        <w:t>, 8(2), 12–28.</w:t>
      </w:r>
    </w:p>
    <w:p w14:paraId="4093AAD2"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UN-Habitat (2022). </w:t>
      </w:r>
      <w:r w:rsidRPr="00E71565">
        <w:rPr>
          <w:rFonts w:ascii="Times New Roman" w:hAnsi="Times New Roman" w:cs="Times New Roman"/>
          <w:bCs/>
          <w:i/>
          <w:iCs/>
          <w:sz w:val="24"/>
          <w:szCs w:val="24"/>
        </w:rPr>
        <w:t>World Cities Report: Envisaging the Future of Cities</w:t>
      </w:r>
      <w:r w:rsidRPr="00E71565">
        <w:rPr>
          <w:rFonts w:ascii="Times New Roman" w:hAnsi="Times New Roman" w:cs="Times New Roman"/>
          <w:bCs/>
          <w:sz w:val="24"/>
          <w:szCs w:val="24"/>
        </w:rPr>
        <w:t xml:space="preserve">. United Nations Human </w:t>
      </w:r>
    </w:p>
    <w:p w14:paraId="3C5B5E0A" w14:textId="7C0D1B05"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Settlements </w:t>
      </w:r>
      <w:proofErr w:type="spellStart"/>
      <w:r w:rsidRPr="00E71565">
        <w:rPr>
          <w:rFonts w:ascii="Times New Roman" w:hAnsi="Times New Roman" w:cs="Times New Roman"/>
          <w:bCs/>
          <w:sz w:val="24"/>
          <w:szCs w:val="24"/>
        </w:rPr>
        <w:t>Programme</w:t>
      </w:r>
      <w:proofErr w:type="spellEnd"/>
      <w:r w:rsidRPr="00E71565">
        <w:rPr>
          <w:rFonts w:ascii="Times New Roman" w:hAnsi="Times New Roman" w:cs="Times New Roman"/>
          <w:bCs/>
          <w:sz w:val="24"/>
          <w:szCs w:val="24"/>
        </w:rPr>
        <w:t>, pp. 88–112.</w:t>
      </w:r>
    </w:p>
    <w:p w14:paraId="1DD27BC4" w14:textId="77777777" w:rsidR="00F954B3" w:rsidRDefault="00E71565" w:rsidP="00B32E01">
      <w:pPr>
        <w:spacing w:after="0" w:line="240" w:lineRule="auto"/>
        <w:jc w:val="both"/>
        <w:rPr>
          <w:rFonts w:ascii="Times New Roman" w:hAnsi="Times New Roman" w:cs="Times New Roman"/>
          <w:bCs/>
          <w:sz w:val="24"/>
          <w:szCs w:val="24"/>
        </w:rPr>
      </w:pPr>
      <w:r w:rsidRPr="00E71565">
        <w:rPr>
          <w:rFonts w:ascii="Times New Roman" w:hAnsi="Times New Roman" w:cs="Times New Roman"/>
          <w:bCs/>
          <w:sz w:val="24"/>
          <w:szCs w:val="24"/>
        </w:rPr>
        <w:t xml:space="preserve">World Bank (2020). </w:t>
      </w:r>
      <w:r w:rsidRPr="00E71565">
        <w:rPr>
          <w:rFonts w:ascii="Times New Roman" w:hAnsi="Times New Roman" w:cs="Times New Roman"/>
          <w:bCs/>
          <w:i/>
          <w:iCs/>
          <w:sz w:val="24"/>
          <w:szCs w:val="24"/>
        </w:rPr>
        <w:t>Urbanization and Housing Constraints in Developing Economies</w:t>
      </w:r>
      <w:r w:rsidRPr="00E71565">
        <w:rPr>
          <w:rFonts w:ascii="Times New Roman" w:hAnsi="Times New Roman" w:cs="Times New Roman"/>
          <w:bCs/>
          <w:sz w:val="24"/>
          <w:szCs w:val="24"/>
        </w:rPr>
        <w:t xml:space="preserve">. World </w:t>
      </w:r>
    </w:p>
    <w:p w14:paraId="18338060" w14:textId="2EE2C5E0"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Bank Publications, pp. 34–58.</w:t>
      </w:r>
    </w:p>
    <w:p w14:paraId="4CCDFAA4" w14:textId="77777777" w:rsidR="00F954B3" w:rsidRDefault="00E71565" w:rsidP="00B32E01">
      <w:pPr>
        <w:spacing w:after="0" w:line="240" w:lineRule="auto"/>
        <w:jc w:val="both"/>
        <w:rPr>
          <w:rFonts w:ascii="Times New Roman" w:hAnsi="Times New Roman" w:cs="Times New Roman"/>
          <w:bCs/>
          <w:sz w:val="24"/>
          <w:szCs w:val="24"/>
        </w:rPr>
      </w:pPr>
      <w:proofErr w:type="spellStart"/>
      <w:r w:rsidRPr="00E71565">
        <w:rPr>
          <w:rFonts w:ascii="Times New Roman" w:hAnsi="Times New Roman" w:cs="Times New Roman"/>
          <w:bCs/>
          <w:sz w:val="24"/>
          <w:szCs w:val="24"/>
        </w:rPr>
        <w:t>Zubairu</w:t>
      </w:r>
      <w:proofErr w:type="spellEnd"/>
      <w:r w:rsidRPr="00E71565">
        <w:rPr>
          <w:rFonts w:ascii="Times New Roman" w:hAnsi="Times New Roman" w:cs="Times New Roman"/>
          <w:bCs/>
          <w:sz w:val="24"/>
          <w:szCs w:val="24"/>
        </w:rPr>
        <w:t xml:space="preserve">, S. N., </w:t>
      </w:r>
      <w:proofErr w:type="spellStart"/>
      <w:r w:rsidRPr="00E71565">
        <w:rPr>
          <w:rFonts w:ascii="Times New Roman" w:hAnsi="Times New Roman" w:cs="Times New Roman"/>
          <w:bCs/>
          <w:sz w:val="24"/>
          <w:szCs w:val="24"/>
        </w:rPr>
        <w:t>Kemiki</w:t>
      </w:r>
      <w:proofErr w:type="spellEnd"/>
      <w:r w:rsidRPr="00E71565">
        <w:rPr>
          <w:rFonts w:ascii="Times New Roman" w:hAnsi="Times New Roman" w:cs="Times New Roman"/>
          <w:bCs/>
          <w:sz w:val="24"/>
          <w:szCs w:val="24"/>
        </w:rPr>
        <w:t xml:space="preserve">, O. A., &amp; </w:t>
      </w:r>
      <w:proofErr w:type="spellStart"/>
      <w:r w:rsidRPr="00E71565">
        <w:rPr>
          <w:rFonts w:ascii="Times New Roman" w:hAnsi="Times New Roman" w:cs="Times New Roman"/>
          <w:bCs/>
          <w:sz w:val="24"/>
          <w:szCs w:val="24"/>
        </w:rPr>
        <w:t>Adama</w:t>
      </w:r>
      <w:proofErr w:type="spellEnd"/>
      <w:r w:rsidRPr="00E71565">
        <w:rPr>
          <w:rFonts w:ascii="Times New Roman" w:hAnsi="Times New Roman" w:cs="Times New Roman"/>
          <w:bCs/>
          <w:sz w:val="24"/>
          <w:szCs w:val="24"/>
        </w:rPr>
        <w:t>, J. J. (2020). Assessing the Housing Deficit in North-</w:t>
      </w:r>
    </w:p>
    <w:p w14:paraId="1B7D4E7E" w14:textId="15153E5F" w:rsidR="00E71565" w:rsidRPr="00E71565" w:rsidRDefault="00E71565" w:rsidP="00B32E01">
      <w:pPr>
        <w:spacing w:after="0" w:line="240" w:lineRule="auto"/>
        <w:ind w:firstLine="720"/>
        <w:jc w:val="both"/>
        <w:rPr>
          <w:rFonts w:ascii="Times New Roman" w:hAnsi="Times New Roman" w:cs="Times New Roman"/>
          <w:bCs/>
          <w:sz w:val="24"/>
          <w:szCs w:val="24"/>
        </w:rPr>
      </w:pPr>
      <w:r w:rsidRPr="00E71565">
        <w:rPr>
          <w:rFonts w:ascii="Times New Roman" w:hAnsi="Times New Roman" w:cs="Times New Roman"/>
          <w:bCs/>
          <w:sz w:val="24"/>
          <w:szCs w:val="24"/>
        </w:rPr>
        <w:t xml:space="preserve">Central Nigeria. </w:t>
      </w:r>
      <w:r w:rsidRPr="00E71565">
        <w:rPr>
          <w:rFonts w:ascii="Times New Roman" w:hAnsi="Times New Roman" w:cs="Times New Roman"/>
          <w:bCs/>
          <w:i/>
          <w:iCs/>
          <w:sz w:val="24"/>
          <w:szCs w:val="24"/>
        </w:rPr>
        <w:t>International Journal of Built Environment</w:t>
      </w:r>
      <w:r w:rsidRPr="00E71565">
        <w:rPr>
          <w:rFonts w:ascii="Times New Roman" w:hAnsi="Times New Roman" w:cs="Times New Roman"/>
          <w:bCs/>
          <w:sz w:val="24"/>
          <w:szCs w:val="24"/>
        </w:rPr>
        <w:t>, 13(2), 140–158.</w:t>
      </w:r>
    </w:p>
    <w:p w14:paraId="206A3A27" w14:textId="77777777" w:rsidR="004969AF" w:rsidRPr="00E71565" w:rsidRDefault="004969AF" w:rsidP="007A19BE">
      <w:pPr>
        <w:autoSpaceDE w:val="0"/>
        <w:autoSpaceDN w:val="0"/>
        <w:adjustRightInd w:val="0"/>
        <w:spacing w:after="0" w:line="240" w:lineRule="auto"/>
        <w:ind w:left="720" w:hanging="720"/>
        <w:contextualSpacing/>
        <w:jc w:val="both"/>
        <w:rPr>
          <w:rFonts w:ascii="Times New Roman" w:hAnsi="Times New Roman" w:cs="Times New Roman"/>
          <w:sz w:val="24"/>
          <w:szCs w:val="24"/>
        </w:rPr>
      </w:pPr>
    </w:p>
    <w:p w14:paraId="26766AD9" w14:textId="0F2B87C8" w:rsidR="004969AF" w:rsidRPr="00E71565" w:rsidRDefault="004969AF" w:rsidP="00EF011F">
      <w:pPr>
        <w:spacing w:after="0" w:line="240" w:lineRule="auto"/>
        <w:rPr>
          <w:rFonts w:ascii="Times New Roman" w:hAnsi="Times New Roman" w:cs="Times New Roman"/>
          <w:sz w:val="24"/>
          <w:szCs w:val="24"/>
        </w:rPr>
      </w:pPr>
      <w:r w:rsidRPr="00E71565">
        <w:rPr>
          <w:rFonts w:ascii="Times New Roman" w:hAnsi="Times New Roman" w:cs="Times New Roman"/>
          <w:sz w:val="24"/>
          <w:szCs w:val="24"/>
        </w:rPr>
        <w:t xml:space="preserve"> </w:t>
      </w:r>
    </w:p>
    <w:p w14:paraId="4CC16E92" w14:textId="77777777" w:rsidR="00E71565" w:rsidRPr="00E71565" w:rsidRDefault="00E71565">
      <w:pPr>
        <w:spacing w:after="0" w:line="240" w:lineRule="auto"/>
        <w:rPr>
          <w:rFonts w:ascii="Times New Roman" w:hAnsi="Times New Roman" w:cs="Times New Roman"/>
          <w:sz w:val="24"/>
          <w:szCs w:val="24"/>
        </w:rPr>
      </w:pPr>
    </w:p>
    <w:sectPr w:rsidR="00E71565" w:rsidRPr="00E71565" w:rsidSect="004C74C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B9FB1" w16cex:dateUtc="2026-02-15T09:28:00Z"/>
  <w16cex:commentExtensible w16cex:durableId="2D3BA072" w16cex:dateUtc="2026-02-15T09:31:00Z"/>
  <w16cex:commentExtensible w16cex:durableId="2D3BA045" w16cex:dateUtc="2026-02-15T09:30:00Z"/>
  <w16cex:commentExtensible w16cex:durableId="2D3BA17B" w16cex:dateUtc="2026-02-15T09:35:00Z"/>
  <w16cex:commentExtensible w16cex:durableId="2D3BA0E6" w16cex:dateUtc="2026-02-15T09:33:00Z"/>
  <w16cex:commentExtensible w16cex:durableId="2D3BA114" w16cex:dateUtc="2026-02-15T09:34:00Z"/>
  <w16cex:commentExtensible w16cex:durableId="2D3BA14C" w16cex:dateUtc="2026-02-15T09:35:00Z"/>
  <w16cex:commentExtensible w16cex:durableId="2D3BA1A4" w16cex:dateUtc="2026-02-15T09:36:00Z"/>
  <w16cex:commentExtensible w16cex:durableId="2D3BA20E" w16cex:dateUtc="2026-02-15T09:38:00Z"/>
  <w16cex:commentExtensible w16cex:durableId="2D3BA2BF" w16cex:dateUtc="2026-02-15T09:41:00Z"/>
  <w16cex:commentExtensible w16cex:durableId="2D3BA2DE" w16cex:dateUtc="2026-02-15T09:41:00Z"/>
  <w16cex:commentExtensible w16cex:durableId="2D3BA2F0" w16cex:dateUtc="2026-02-15T09:42:00Z"/>
  <w16cex:commentExtensible w16cex:durableId="2D3BA30B" w16cex:dateUtc="2026-02-15T09:42:00Z"/>
  <w16cex:commentExtensible w16cex:durableId="2D3BA33F" w16cex:dateUtc="2026-02-15T09:43:00Z"/>
  <w16cex:commentExtensible w16cex:durableId="2D3BA34A" w16cex:dateUtc="2026-02-15T09:43:00Z"/>
  <w16cex:commentExtensible w16cex:durableId="2D3BA357" w16cex:dateUtc="2026-02-15T09:43:00Z"/>
  <w16cex:commentExtensible w16cex:durableId="2D3BA390" w16cex:dateUtc="2026-02-15T09:44:00Z"/>
  <w16cex:commentExtensible w16cex:durableId="2D3BA459" w16cex:dateUtc="2026-02-15T09:48:00Z"/>
  <w16cex:commentExtensible w16cex:durableId="2D3BA48D" w16cex:dateUtc="2026-02-15T09:49:00Z"/>
  <w16cex:commentExtensible w16cex:durableId="2D3BA481" w16cex:dateUtc="2026-02-15T09:48:00Z"/>
  <w16cex:commentExtensible w16cex:durableId="2D3BA817" w16cex:dateUtc="2026-02-15T10:04:00Z"/>
  <w16cex:commentExtensible w16cex:durableId="2D3BA4A7" w16cex:dateUtc="2026-02-15T09:49:00Z"/>
  <w16cex:commentExtensible w16cex:durableId="2D3BA4F2" w16cex:dateUtc="2026-02-15T09:50:00Z"/>
  <w16cex:commentExtensible w16cex:durableId="2D3BA64E" w16cex:dateUtc="2026-02-15T09:56:00Z"/>
  <w16cex:commentExtensible w16cex:durableId="2D3BA6E5" w16cex:dateUtc="2026-02-15T09:59:00Z"/>
  <w16cex:commentExtensible w16cex:durableId="2D3BA52F" w16cex:dateUtc="2026-02-15T09:51:00Z"/>
  <w16cex:commentExtensible w16cex:durableId="2D3BA942" w16cex:dateUtc="2026-02-15T10:09:00Z"/>
  <w16cex:commentExtensible w16cex:durableId="2D3BAAFB" w16cex:dateUtc="2026-02-15T10:16:00Z"/>
  <w16cex:commentExtensible w16cex:durableId="2D3BA9EC" w16cex:dateUtc="2026-02-15T10:11:00Z"/>
  <w16cex:commentExtensible w16cex:durableId="2D3BAA62" w16cex:dateUtc="2026-02-15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286D1" w16cid:durableId="2D3B9FB1"/>
  <w16cid:commentId w16cid:paraId="2EA8D176" w16cid:durableId="2D3BA072"/>
  <w16cid:commentId w16cid:paraId="35F9695E" w16cid:durableId="2D3BA045"/>
  <w16cid:commentId w16cid:paraId="69A1EE84" w16cid:durableId="2D3BA17B"/>
  <w16cid:commentId w16cid:paraId="3DF72918" w16cid:durableId="2D3BA0E6"/>
  <w16cid:commentId w16cid:paraId="7D332095" w16cid:durableId="2D3BA114"/>
  <w16cid:commentId w16cid:paraId="5684225A" w16cid:durableId="2D3BA14C"/>
  <w16cid:commentId w16cid:paraId="392E9D93" w16cid:durableId="2D3BA1A4"/>
  <w16cid:commentId w16cid:paraId="2D81EB51" w16cid:durableId="2D3BA20E"/>
  <w16cid:commentId w16cid:paraId="521B5F1F" w16cid:durableId="2D3BA2BF"/>
  <w16cid:commentId w16cid:paraId="5F38B492" w16cid:durableId="2D3BA2DE"/>
  <w16cid:commentId w16cid:paraId="233FA3A3" w16cid:durableId="2D3BA2F0"/>
  <w16cid:commentId w16cid:paraId="7F5D80A1" w16cid:durableId="2D3BA30B"/>
  <w16cid:commentId w16cid:paraId="5F83F816" w16cid:durableId="2D3BA33F"/>
  <w16cid:commentId w16cid:paraId="5C3EEF0E" w16cid:durableId="2D3BA34A"/>
  <w16cid:commentId w16cid:paraId="77F5CD15" w16cid:durableId="2D3BA357"/>
  <w16cid:commentId w16cid:paraId="29543980" w16cid:durableId="2D3BA390"/>
  <w16cid:commentId w16cid:paraId="47E004F6" w16cid:durableId="2D3BA459"/>
  <w16cid:commentId w16cid:paraId="3508C624" w16cid:durableId="2D3BA48D"/>
  <w16cid:commentId w16cid:paraId="2CF7E6A9" w16cid:durableId="2D3BA481"/>
  <w16cid:commentId w16cid:paraId="593ABC1B" w16cid:durableId="2D3BA817"/>
  <w16cid:commentId w16cid:paraId="1519BF96" w16cid:durableId="2D3BA4A7"/>
  <w16cid:commentId w16cid:paraId="4896B6D8" w16cid:durableId="2D3BA4F2"/>
  <w16cid:commentId w16cid:paraId="66EDBAAD" w16cid:durableId="2D3BA64E"/>
  <w16cid:commentId w16cid:paraId="06B8D37D" w16cid:durableId="2D3BA6E5"/>
  <w16cid:commentId w16cid:paraId="142B3697" w16cid:durableId="2D3BA52F"/>
  <w16cid:commentId w16cid:paraId="20494A18" w16cid:durableId="2D3BA942"/>
  <w16cid:commentId w16cid:paraId="0A394936" w16cid:durableId="2D3BAAFB"/>
  <w16cid:commentId w16cid:paraId="4DD3FFA8" w16cid:durableId="2D3BA9EC"/>
  <w16cid:commentId w16cid:paraId="1EC84EB9" w16cid:durableId="2D3BAA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DF1F7" w14:textId="77777777" w:rsidR="008468F2" w:rsidRDefault="008468F2" w:rsidP="00CE12BB">
      <w:pPr>
        <w:spacing w:after="0" w:line="240" w:lineRule="auto"/>
      </w:pPr>
      <w:r>
        <w:separator/>
      </w:r>
    </w:p>
  </w:endnote>
  <w:endnote w:type="continuationSeparator" w:id="0">
    <w:p w14:paraId="4FB6168A" w14:textId="77777777" w:rsidR="008468F2" w:rsidRDefault="008468F2" w:rsidP="00CE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8AAA3" w14:textId="77777777" w:rsidR="008468F2" w:rsidRDefault="008468F2" w:rsidP="00CE12BB">
      <w:pPr>
        <w:spacing w:after="0" w:line="240" w:lineRule="auto"/>
      </w:pPr>
      <w:r>
        <w:separator/>
      </w:r>
    </w:p>
  </w:footnote>
  <w:footnote w:type="continuationSeparator" w:id="0">
    <w:p w14:paraId="1F7E5E60" w14:textId="77777777" w:rsidR="008468F2" w:rsidRDefault="008468F2" w:rsidP="00CE12BB">
      <w:pPr>
        <w:spacing w:after="0" w:line="240" w:lineRule="auto"/>
      </w:pPr>
      <w:r>
        <w:continuationSeparator/>
      </w:r>
    </w:p>
  </w:footnote>
  <w:footnote w:id="1">
    <w:p w14:paraId="0A1C6127" w14:textId="77777777" w:rsidR="00CE12BB" w:rsidRDefault="00CE12BB" w:rsidP="00CE12BB">
      <w:pPr>
        <w:pStyle w:val="footnotedescription"/>
        <w:rPr>
          <w:sz w:val="24"/>
          <w:szCs w:val="24"/>
        </w:rPr>
      </w:pPr>
      <w:r w:rsidRPr="005A7CDB">
        <w:rPr>
          <w:rStyle w:val="footnotemark"/>
          <w:sz w:val="24"/>
          <w:szCs w:val="24"/>
        </w:rPr>
        <w:footnoteRef/>
      </w:r>
      <w:r w:rsidRPr="005A7CDB">
        <w:rPr>
          <w:sz w:val="24"/>
          <w:szCs w:val="24"/>
        </w:rPr>
        <w:t xml:space="preserve"> Email: </w:t>
      </w:r>
      <w:hyperlink r:id="rId1" w:history="1">
        <w:r w:rsidRPr="00615607">
          <w:rPr>
            <w:rStyle w:val="Hyperlink"/>
            <w:sz w:val="24"/>
            <w:szCs w:val="24"/>
          </w:rPr>
          <w:t>kesj@kasu.edu.ng</w:t>
        </w:r>
      </w:hyperlink>
    </w:p>
    <w:p w14:paraId="7DC7CA24" w14:textId="77777777" w:rsidR="00CE12BB" w:rsidRPr="005A7CDB" w:rsidRDefault="00CE12BB" w:rsidP="00CE12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200E"/>
    <w:multiLevelType w:val="multilevel"/>
    <w:tmpl w:val="FAA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332A6"/>
    <w:multiLevelType w:val="hybridMultilevel"/>
    <w:tmpl w:val="192A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E0F6C"/>
    <w:multiLevelType w:val="multilevel"/>
    <w:tmpl w:val="C0CE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95EF8"/>
    <w:multiLevelType w:val="multilevel"/>
    <w:tmpl w:val="169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473D0"/>
    <w:multiLevelType w:val="multilevel"/>
    <w:tmpl w:val="9AB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96B3E"/>
    <w:multiLevelType w:val="multilevel"/>
    <w:tmpl w:val="130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B2F2E"/>
    <w:multiLevelType w:val="hybridMultilevel"/>
    <w:tmpl w:val="DF3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B50D1"/>
    <w:multiLevelType w:val="multilevel"/>
    <w:tmpl w:val="71AC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944AF7"/>
    <w:multiLevelType w:val="multilevel"/>
    <w:tmpl w:val="7902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F83B24"/>
    <w:multiLevelType w:val="multilevel"/>
    <w:tmpl w:val="4974413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6AF46E1E"/>
    <w:multiLevelType w:val="multilevel"/>
    <w:tmpl w:val="66D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A236D"/>
    <w:multiLevelType w:val="multilevel"/>
    <w:tmpl w:val="A102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10"/>
  </w:num>
  <w:num w:numId="6">
    <w:abstractNumId w:val="7"/>
  </w:num>
  <w:num w:numId="7">
    <w:abstractNumId w:val="3"/>
  </w:num>
  <w:num w:numId="8">
    <w:abstractNumId w:val="8"/>
  </w:num>
  <w:num w:numId="9">
    <w:abstractNumId w:val="4"/>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AF"/>
    <w:rsid w:val="00025F2E"/>
    <w:rsid w:val="000471DE"/>
    <w:rsid w:val="000825A2"/>
    <w:rsid w:val="000C3E50"/>
    <w:rsid w:val="000C3F2E"/>
    <w:rsid w:val="0013400C"/>
    <w:rsid w:val="0014569E"/>
    <w:rsid w:val="00237070"/>
    <w:rsid w:val="00277D65"/>
    <w:rsid w:val="002B3B4D"/>
    <w:rsid w:val="002B635D"/>
    <w:rsid w:val="00333BCD"/>
    <w:rsid w:val="00346464"/>
    <w:rsid w:val="0035443E"/>
    <w:rsid w:val="0039122A"/>
    <w:rsid w:val="003B5F26"/>
    <w:rsid w:val="00406092"/>
    <w:rsid w:val="00412130"/>
    <w:rsid w:val="00427FFC"/>
    <w:rsid w:val="00434C35"/>
    <w:rsid w:val="00466161"/>
    <w:rsid w:val="004969AF"/>
    <w:rsid w:val="004C74CA"/>
    <w:rsid w:val="004F3BE0"/>
    <w:rsid w:val="00506B70"/>
    <w:rsid w:val="0054060D"/>
    <w:rsid w:val="00560553"/>
    <w:rsid w:val="005F2532"/>
    <w:rsid w:val="00655633"/>
    <w:rsid w:val="00667989"/>
    <w:rsid w:val="00684776"/>
    <w:rsid w:val="00726C50"/>
    <w:rsid w:val="00733F75"/>
    <w:rsid w:val="00747630"/>
    <w:rsid w:val="00762418"/>
    <w:rsid w:val="007A19BE"/>
    <w:rsid w:val="007C02A4"/>
    <w:rsid w:val="007D4147"/>
    <w:rsid w:val="008468F2"/>
    <w:rsid w:val="00850DE2"/>
    <w:rsid w:val="008A3B02"/>
    <w:rsid w:val="009379A0"/>
    <w:rsid w:val="00982B95"/>
    <w:rsid w:val="009B6348"/>
    <w:rsid w:val="009C35CE"/>
    <w:rsid w:val="00A36644"/>
    <w:rsid w:val="00AB6A9F"/>
    <w:rsid w:val="00AE660E"/>
    <w:rsid w:val="00AF0471"/>
    <w:rsid w:val="00B15F6B"/>
    <w:rsid w:val="00B32E01"/>
    <w:rsid w:val="00B74A10"/>
    <w:rsid w:val="00B83162"/>
    <w:rsid w:val="00C239DF"/>
    <w:rsid w:val="00C247A8"/>
    <w:rsid w:val="00C90B22"/>
    <w:rsid w:val="00C93CEB"/>
    <w:rsid w:val="00CA63D4"/>
    <w:rsid w:val="00CE12BB"/>
    <w:rsid w:val="00D028E3"/>
    <w:rsid w:val="00D03433"/>
    <w:rsid w:val="00D40864"/>
    <w:rsid w:val="00D577B4"/>
    <w:rsid w:val="00D740D1"/>
    <w:rsid w:val="00E11047"/>
    <w:rsid w:val="00E67936"/>
    <w:rsid w:val="00E71565"/>
    <w:rsid w:val="00EF011F"/>
    <w:rsid w:val="00F43413"/>
    <w:rsid w:val="00F55539"/>
    <w:rsid w:val="00F7588D"/>
    <w:rsid w:val="00F91AF1"/>
    <w:rsid w:val="00F954B3"/>
    <w:rsid w:val="00FA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1504"/>
  <w15:chartTrackingRefBased/>
  <w15:docId w15:val="{4EAE5501-B627-48EF-AAE8-A117F36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D65"/>
  </w:style>
  <w:style w:type="paragraph" w:styleId="Heading1">
    <w:name w:val="heading 1"/>
    <w:next w:val="Normal"/>
    <w:link w:val="Heading1Char"/>
    <w:uiPriority w:val="9"/>
    <w:unhideWhenUsed/>
    <w:qFormat/>
    <w:rsid w:val="00F91AF1"/>
    <w:pPr>
      <w:keepNext/>
      <w:keepLines/>
      <w:numPr>
        <w:numId w:val="12"/>
      </w:numPr>
      <w:spacing w:after="161" w:line="262" w:lineRule="auto"/>
      <w:ind w:right="8"/>
      <w:jc w:val="center"/>
      <w:outlineLvl w:val="0"/>
    </w:pPr>
    <w:rPr>
      <w:rFonts w:ascii="Times New Roman" w:eastAsia="Times New Roman" w:hAnsi="Times New Roman" w:cs="Times New Roman"/>
      <w:b/>
      <w:color w:val="000000"/>
      <w:lang w:val="en-GB" w:eastAsia="en-GB"/>
    </w:rPr>
  </w:style>
  <w:style w:type="paragraph" w:styleId="Heading2">
    <w:name w:val="heading 2"/>
    <w:next w:val="Normal"/>
    <w:link w:val="Heading2Char"/>
    <w:uiPriority w:val="9"/>
    <w:unhideWhenUsed/>
    <w:qFormat/>
    <w:rsid w:val="00F91AF1"/>
    <w:pPr>
      <w:keepNext/>
      <w:keepLines/>
      <w:numPr>
        <w:ilvl w:val="1"/>
        <w:numId w:val="12"/>
      </w:numPr>
      <w:spacing w:after="192"/>
      <w:outlineLvl w:val="1"/>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9AF"/>
    <w:pPr>
      <w:spacing w:after="200" w:line="276" w:lineRule="auto"/>
      <w:ind w:left="720"/>
      <w:contextualSpacing/>
    </w:pPr>
  </w:style>
  <w:style w:type="table" w:styleId="TableGrid">
    <w:name w:val="Table Grid"/>
    <w:basedOn w:val="TableNormal"/>
    <w:uiPriority w:val="39"/>
    <w:rsid w:val="00496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uiPriority w:val="99"/>
    <w:unhideWhenUsed/>
    <w:rsid w:val="004969AF"/>
    <w:pPr>
      <w:spacing w:after="120"/>
    </w:pPr>
  </w:style>
  <w:style w:type="character" w:customStyle="1" w:styleId="BodyTextChar">
    <w:name w:val="Body Text Char"/>
    <w:basedOn w:val="DefaultParagraphFont"/>
    <w:uiPriority w:val="99"/>
    <w:semiHidden/>
    <w:rsid w:val="004969AF"/>
  </w:style>
  <w:style w:type="character" w:customStyle="1" w:styleId="BodyTextChar1">
    <w:name w:val="Body Text Char1"/>
    <w:basedOn w:val="DefaultParagraphFont"/>
    <w:link w:val="BodyText"/>
    <w:uiPriority w:val="99"/>
    <w:rsid w:val="004969AF"/>
  </w:style>
  <w:style w:type="character" w:styleId="Hyperlink">
    <w:name w:val="Hyperlink"/>
    <w:basedOn w:val="DefaultParagraphFont"/>
    <w:uiPriority w:val="99"/>
    <w:unhideWhenUsed/>
    <w:rsid w:val="004969AF"/>
    <w:rPr>
      <w:color w:val="0000FF"/>
      <w:u w:val="single"/>
    </w:rPr>
  </w:style>
  <w:style w:type="paragraph" w:styleId="NormalWeb">
    <w:name w:val="Normal (Web)"/>
    <w:basedOn w:val="Normal"/>
    <w:uiPriority w:val="99"/>
    <w:semiHidden/>
    <w:unhideWhenUsed/>
    <w:rsid w:val="0014569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83162"/>
    <w:rPr>
      <w:sz w:val="16"/>
      <w:szCs w:val="16"/>
    </w:rPr>
  </w:style>
  <w:style w:type="paragraph" w:styleId="CommentText">
    <w:name w:val="annotation text"/>
    <w:basedOn w:val="Normal"/>
    <w:link w:val="CommentTextChar"/>
    <w:uiPriority w:val="99"/>
    <w:semiHidden/>
    <w:unhideWhenUsed/>
    <w:rsid w:val="00B83162"/>
    <w:pPr>
      <w:spacing w:line="240" w:lineRule="auto"/>
    </w:pPr>
    <w:rPr>
      <w:sz w:val="20"/>
      <w:szCs w:val="20"/>
    </w:rPr>
  </w:style>
  <w:style w:type="character" w:customStyle="1" w:styleId="CommentTextChar">
    <w:name w:val="Comment Text Char"/>
    <w:basedOn w:val="DefaultParagraphFont"/>
    <w:link w:val="CommentText"/>
    <w:uiPriority w:val="99"/>
    <w:semiHidden/>
    <w:rsid w:val="00B83162"/>
    <w:rPr>
      <w:sz w:val="20"/>
      <w:szCs w:val="20"/>
    </w:rPr>
  </w:style>
  <w:style w:type="paragraph" w:styleId="CommentSubject">
    <w:name w:val="annotation subject"/>
    <w:basedOn w:val="CommentText"/>
    <w:next w:val="CommentText"/>
    <w:link w:val="CommentSubjectChar"/>
    <w:uiPriority w:val="99"/>
    <w:semiHidden/>
    <w:unhideWhenUsed/>
    <w:rsid w:val="00B83162"/>
    <w:rPr>
      <w:b/>
      <w:bCs/>
    </w:rPr>
  </w:style>
  <w:style w:type="character" w:customStyle="1" w:styleId="CommentSubjectChar">
    <w:name w:val="Comment Subject Char"/>
    <w:basedOn w:val="CommentTextChar"/>
    <w:link w:val="CommentSubject"/>
    <w:uiPriority w:val="99"/>
    <w:semiHidden/>
    <w:rsid w:val="00B83162"/>
    <w:rPr>
      <w:b/>
      <w:bCs/>
      <w:sz w:val="20"/>
      <w:szCs w:val="20"/>
    </w:rPr>
  </w:style>
  <w:style w:type="paragraph" w:styleId="BalloonText">
    <w:name w:val="Balloon Text"/>
    <w:basedOn w:val="Normal"/>
    <w:link w:val="BalloonTextChar"/>
    <w:uiPriority w:val="99"/>
    <w:semiHidden/>
    <w:unhideWhenUsed/>
    <w:rsid w:val="00427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FC"/>
    <w:rPr>
      <w:rFonts w:ascii="Segoe UI" w:hAnsi="Segoe UI" w:cs="Segoe UI"/>
      <w:sz w:val="18"/>
      <w:szCs w:val="18"/>
    </w:rPr>
  </w:style>
  <w:style w:type="paragraph" w:customStyle="1" w:styleId="footnotedescription">
    <w:name w:val="footnote description"/>
    <w:next w:val="Normal"/>
    <w:link w:val="footnotedescriptionChar"/>
    <w:hidden/>
    <w:rsid w:val="00CE12BB"/>
    <w:pPr>
      <w:spacing w:after="0"/>
    </w:pPr>
    <w:rPr>
      <w:rFonts w:ascii="Times New Roman" w:eastAsia="Times New Roman" w:hAnsi="Times New Roman" w:cs="Times New Roman"/>
      <w:color w:val="000000"/>
      <w:sz w:val="17"/>
      <w:lang w:val="en-GB" w:eastAsia="en-GB"/>
    </w:rPr>
  </w:style>
  <w:style w:type="character" w:customStyle="1" w:styleId="footnotedescriptionChar">
    <w:name w:val="footnote description Char"/>
    <w:link w:val="footnotedescription"/>
    <w:rsid w:val="00CE12BB"/>
    <w:rPr>
      <w:rFonts w:ascii="Times New Roman" w:eastAsia="Times New Roman" w:hAnsi="Times New Roman" w:cs="Times New Roman"/>
      <w:color w:val="000000"/>
      <w:sz w:val="17"/>
      <w:lang w:val="en-GB" w:eastAsia="en-GB"/>
    </w:rPr>
  </w:style>
  <w:style w:type="character" w:customStyle="1" w:styleId="footnotemark">
    <w:name w:val="footnote mark"/>
    <w:hidden/>
    <w:rsid w:val="00CE12BB"/>
    <w:rPr>
      <w:rFonts w:ascii="Segoe UI Symbol" w:eastAsia="Segoe UI Symbol" w:hAnsi="Segoe UI Symbol" w:cs="Segoe UI Symbol"/>
      <w:color w:val="000000"/>
      <w:sz w:val="17"/>
      <w:vertAlign w:val="superscript"/>
    </w:rPr>
  </w:style>
  <w:style w:type="character" w:customStyle="1" w:styleId="Heading1Char">
    <w:name w:val="Heading 1 Char"/>
    <w:basedOn w:val="DefaultParagraphFont"/>
    <w:link w:val="Heading1"/>
    <w:uiPriority w:val="9"/>
    <w:rsid w:val="00F91AF1"/>
    <w:rPr>
      <w:rFonts w:ascii="Times New Roman" w:eastAsia="Times New Roman" w:hAnsi="Times New Roman" w:cs="Times New Roman"/>
      <w:b/>
      <w:color w:val="000000"/>
      <w:lang w:val="en-GB" w:eastAsia="en-GB"/>
    </w:rPr>
  </w:style>
  <w:style w:type="character" w:customStyle="1" w:styleId="Heading2Char">
    <w:name w:val="Heading 2 Char"/>
    <w:basedOn w:val="DefaultParagraphFont"/>
    <w:link w:val="Heading2"/>
    <w:uiPriority w:val="9"/>
    <w:rsid w:val="00F91AF1"/>
    <w:rPr>
      <w:rFonts w:ascii="Times New Roman" w:eastAsia="Times New Roman" w:hAnsi="Times New Roman" w:cs="Times New Roman"/>
      <w:b/>
      <w:color w:val="000000"/>
      <w:sz w:val="24"/>
      <w:lang w:val="en-GB" w:eastAsia="en-GB"/>
    </w:rPr>
  </w:style>
  <w:style w:type="paragraph" w:styleId="Header">
    <w:name w:val="header"/>
    <w:basedOn w:val="Normal"/>
    <w:link w:val="HeaderChar"/>
    <w:uiPriority w:val="99"/>
    <w:unhideWhenUsed/>
    <w:rsid w:val="00FA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1E"/>
  </w:style>
  <w:style w:type="paragraph" w:styleId="Footer">
    <w:name w:val="footer"/>
    <w:basedOn w:val="Normal"/>
    <w:link w:val="FooterChar"/>
    <w:uiPriority w:val="99"/>
    <w:unhideWhenUsed/>
    <w:rsid w:val="00FA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69499">
      <w:bodyDiv w:val="1"/>
      <w:marLeft w:val="0"/>
      <w:marRight w:val="0"/>
      <w:marTop w:val="0"/>
      <w:marBottom w:val="0"/>
      <w:divBdr>
        <w:top w:val="none" w:sz="0" w:space="0" w:color="auto"/>
        <w:left w:val="none" w:sz="0" w:space="0" w:color="auto"/>
        <w:bottom w:val="none" w:sz="0" w:space="0" w:color="auto"/>
        <w:right w:val="none" w:sz="0" w:space="0" w:color="auto"/>
      </w:divBdr>
      <w:divsChild>
        <w:div w:id="132911900">
          <w:marLeft w:val="0"/>
          <w:marRight w:val="0"/>
          <w:marTop w:val="0"/>
          <w:marBottom w:val="0"/>
          <w:divBdr>
            <w:top w:val="none" w:sz="0" w:space="0" w:color="auto"/>
            <w:left w:val="none" w:sz="0" w:space="0" w:color="auto"/>
            <w:bottom w:val="none" w:sz="0" w:space="0" w:color="auto"/>
            <w:right w:val="none" w:sz="0" w:space="0" w:color="auto"/>
          </w:divBdr>
          <w:divsChild>
            <w:div w:id="9006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6876">
      <w:bodyDiv w:val="1"/>
      <w:marLeft w:val="0"/>
      <w:marRight w:val="0"/>
      <w:marTop w:val="0"/>
      <w:marBottom w:val="0"/>
      <w:divBdr>
        <w:top w:val="none" w:sz="0" w:space="0" w:color="auto"/>
        <w:left w:val="none" w:sz="0" w:space="0" w:color="auto"/>
        <w:bottom w:val="none" w:sz="0" w:space="0" w:color="auto"/>
        <w:right w:val="none" w:sz="0" w:space="0" w:color="auto"/>
      </w:divBdr>
    </w:div>
    <w:div w:id="609051212">
      <w:bodyDiv w:val="1"/>
      <w:marLeft w:val="0"/>
      <w:marRight w:val="0"/>
      <w:marTop w:val="0"/>
      <w:marBottom w:val="0"/>
      <w:divBdr>
        <w:top w:val="none" w:sz="0" w:space="0" w:color="auto"/>
        <w:left w:val="none" w:sz="0" w:space="0" w:color="auto"/>
        <w:bottom w:val="none" w:sz="0" w:space="0" w:color="auto"/>
        <w:right w:val="none" w:sz="0" w:space="0" w:color="auto"/>
      </w:divBdr>
    </w:div>
    <w:div w:id="659625054">
      <w:bodyDiv w:val="1"/>
      <w:marLeft w:val="0"/>
      <w:marRight w:val="0"/>
      <w:marTop w:val="0"/>
      <w:marBottom w:val="0"/>
      <w:divBdr>
        <w:top w:val="none" w:sz="0" w:space="0" w:color="auto"/>
        <w:left w:val="none" w:sz="0" w:space="0" w:color="auto"/>
        <w:bottom w:val="none" w:sz="0" w:space="0" w:color="auto"/>
        <w:right w:val="none" w:sz="0" w:space="0" w:color="auto"/>
      </w:divBdr>
    </w:div>
    <w:div w:id="705447612">
      <w:bodyDiv w:val="1"/>
      <w:marLeft w:val="0"/>
      <w:marRight w:val="0"/>
      <w:marTop w:val="0"/>
      <w:marBottom w:val="0"/>
      <w:divBdr>
        <w:top w:val="none" w:sz="0" w:space="0" w:color="auto"/>
        <w:left w:val="none" w:sz="0" w:space="0" w:color="auto"/>
        <w:bottom w:val="none" w:sz="0" w:space="0" w:color="auto"/>
        <w:right w:val="none" w:sz="0" w:space="0" w:color="auto"/>
      </w:divBdr>
    </w:div>
    <w:div w:id="755251752">
      <w:bodyDiv w:val="1"/>
      <w:marLeft w:val="0"/>
      <w:marRight w:val="0"/>
      <w:marTop w:val="0"/>
      <w:marBottom w:val="0"/>
      <w:divBdr>
        <w:top w:val="none" w:sz="0" w:space="0" w:color="auto"/>
        <w:left w:val="none" w:sz="0" w:space="0" w:color="auto"/>
        <w:bottom w:val="none" w:sz="0" w:space="0" w:color="auto"/>
        <w:right w:val="none" w:sz="0" w:space="0" w:color="auto"/>
      </w:divBdr>
    </w:div>
    <w:div w:id="880046815">
      <w:bodyDiv w:val="1"/>
      <w:marLeft w:val="0"/>
      <w:marRight w:val="0"/>
      <w:marTop w:val="0"/>
      <w:marBottom w:val="0"/>
      <w:divBdr>
        <w:top w:val="none" w:sz="0" w:space="0" w:color="auto"/>
        <w:left w:val="none" w:sz="0" w:space="0" w:color="auto"/>
        <w:bottom w:val="none" w:sz="0" w:space="0" w:color="auto"/>
        <w:right w:val="none" w:sz="0" w:space="0" w:color="auto"/>
      </w:divBdr>
    </w:div>
    <w:div w:id="895749145">
      <w:bodyDiv w:val="1"/>
      <w:marLeft w:val="0"/>
      <w:marRight w:val="0"/>
      <w:marTop w:val="0"/>
      <w:marBottom w:val="0"/>
      <w:divBdr>
        <w:top w:val="none" w:sz="0" w:space="0" w:color="auto"/>
        <w:left w:val="none" w:sz="0" w:space="0" w:color="auto"/>
        <w:bottom w:val="none" w:sz="0" w:space="0" w:color="auto"/>
        <w:right w:val="none" w:sz="0" w:space="0" w:color="auto"/>
      </w:divBdr>
    </w:div>
    <w:div w:id="942348580">
      <w:bodyDiv w:val="1"/>
      <w:marLeft w:val="0"/>
      <w:marRight w:val="0"/>
      <w:marTop w:val="0"/>
      <w:marBottom w:val="0"/>
      <w:divBdr>
        <w:top w:val="none" w:sz="0" w:space="0" w:color="auto"/>
        <w:left w:val="none" w:sz="0" w:space="0" w:color="auto"/>
        <w:bottom w:val="none" w:sz="0" w:space="0" w:color="auto"/>
        <w:right w:val="none" w:sz="0" w:space="0" w:color="auto"/>
      </w:divBdr>
      <w:divsChild>
        <w:div w:id="1201747980">
          <w:marLeft w:val="0"/>
          <w:marRight w:val="0"/>
          <w:marTop w:val="0"/>
          <w:marBottom w:val="0"/>
          <w:divBdr>
            <w:top w:val="none" w:sz="0" w:space="0" w:color="auto"/>
            <w:left w:val="none" w:sz="0" w:space="0" w:color="auto"/>
            <w:bottom w:val="none" w:sz="0" w:space="0" w:color="auto"/>
            <w:right w:val="none" w:sz="0" w:space="0" w:color="auto"/>
          </w:divBdr>
          <w:divsChild>
            <w:div w:id="579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10828">
      <w:bodyDiv w:val="1"/>
      <w:marLeft w:val="0"/>
      <w:marRight w:val="0"/>
      <w:marTop w:val="0"/>
      <w:marBottom w:val="0"/>
      <w:divBdr>
        <w:top w:val="none" w:sz="0" w:space="0" w:color="auto"/>
        <w:left w:val="none" w:sz="0" w:space="0" w:color="auto"/>
        <w:bottom w:val="none" w:sz="0" w:space="0" w:color="auto"/>
        <w:right w:val="none" w:sz="0" w:space="0" w:color="auto"/>
      </w:divBdr>
    </w:div>
    <w:div w:id="1063216516">
      <w:bodyDiv w:val="1"/>
      <w:marLeft w:val="0"/>
      <w:marRight w:val="0"/>
      <w:marTop w:val="0"/>
      <w:marBottom w:val="0"/>
      <w:divBdr>
        <w:top w:val="none" w:sz="0" w:space="0" w:color="auto"/>
        <w:left w:val="none" w:sz="0" w:space="0" w:color="auto"/>
        <w:bottom w:val="none" w:sz="0" w:space="0" w:color="auto"/>
        <w:right w:val="none" w:sz="0" w:space="0" w:color="auto"/>
      </w:divBdr>
    </w:div>
    <w:div w:id="1078668258">
      <w:bodyDiv w:val="1"/>
      <w:marLeft w:val="0"/>
      <w:marRight w:val="0"/>
      <w:marTop w:val="0"/>
      <w:marBottom w:val="0"/>
      <w:divBdr>
        <w:top w:val="none" w:sz="0" w:space="0" w:color="auto"/>
        <w:left w:val="none" w:sz="0" w:space="0" w:color="auto"/>
        <w:bottom w:val="none" w:sz="0" w:space="0" w:color="auto"/>
        <w:right w:val="none" w:sz="0" w:space="0" w:color="auto"/>
      </w:divBdr>
    </w:div>
    <w:div w:id="1079251292">
      <w:bodyDiv w:val="1"/>
      <w:marLeft w:val="0"/>
      <w:marRight w:val="0"/>
      <w:marTop w:val="0"/>
      <w:marBottom w:val="0"/>
      <w:divBdr>
        <w:top w:val="none" w:sz="0" w:space="0" w:color="auto"/>
        <w:left w:val="none" w:sz="0" w:space="0" w:color="auto"/>
        <w:bottom w:val="none" w:sz="0" w:space="0" w:color="auto"/>
        <w:right w:val="none" w:sz="0" w:space="0" w:color="auto"/>
      </w:divBdr>
    </w:div>
    <w:div w:id="1098331129">
      <w:bodyDiv w:val="1"/>
      <w:marLeft w:val="0"/>
      <w:marRight w:val="0"/>
      <w:marTop w:val="0"/>
      <w:marBottom w:val="0"/>
      <w:divBdr>
        <w:top w:val="none" w:sz="0" w:space="0" w:color="auto"/>
        <w:left w:val="none" w:sz="0" w:space="0" w:color="auto"/>
        <w:bottom w:val="none" w:sz="0" w:space="0" w:color="auto"/>
        <w:right w:val="none" w:sz="0" w:space="0" w:color="auto"/>
      </w:divBdr>
    </w:div>
    <w:div w:id="1101417644">
      <w:bodyDiv w:val="1"/>
      <w:marLeft w:val="0"/>
      <w:marRight w:val="0"/>
      <w:marTop w:val="0"/>
      <w:marBottom w:val="0"/>
      <w:divBdr>
        <w:top w:val="none" w:sz="0" w:space="0" w:color="auto"/>
        <w:left w:val="none" w:sz="0" w:space="0" w:color="auto"/>
        <w:bottom w:val="none" w:sz="0" w:space="0" w:color="auto"/>
        <w:right w:val="none" w:sz="0" w:space="0" w:color="auto"/>
      </w:divBdr>
    </w:div>
    <w:div w:id="1243296262">
      <w:bodyDiv w:val="1"/>
      <w:marLeft w:val="0"/>
      <w:marRight w:val="0"/>
      <w:marTop w:val="0"/>
      <w:marBottom w:val="0"/>
      <w:divBdr>
        <w:top w:val="none" w:sz="0" w:space="0" w:color="auto"/>
        <w:left w:val="none" w:sz="0" w:space="0" w:color="auto"/>
        <w:bottom w:val="none" w:sz="0" w:space="0" w:color="auto"/>
        <w:right w:val="none" w:sz="0" w:space="0" w:color="auto"/>
      </w:divBdr>
    </w:div>
    <w:div w:id="1413967331">
      <w:bodyDiv w:val="1"/>
      <w:marLeft w:val="0"/>
      <w:marRight w:val="0"/>
      <w:marTop w:val="0"/>
      <w:marBottom w:val="0"/>
      <w:divBdr>
        <w:top w:val="none" w:sz="0" w:space="0" w:color="auto"/>
        <w:left w:val="none" w:sz="0" w:space="0" w:color="auto"/>
        <w:bottom w:val="none" w:sz="0" w:space="0" w:color="auto"/>
        <w:right w:val="none" w:sz="0" w:space="0" w:color="auto"/>
      </w:divBdr>
    </w:div>
    <w:div w:id="1562790267">
      <w:bodyDiv w:val="1"/>
      <w:marLeft w:val="0"/>
      <w:marRight w:val="0"/>
      <w:marTop w:val="0"/>
      <w:marBottom w:val="0"/>
      <w:divBdr>
        <w:top w:val="none" w:sz="0" w:space="0" w:color="auto"/>
        <w:left w:val="none" w:sz="0" w:space="0" w:color="auto"/>
        <w:bottom w:val="none" w:sz="0" w:space="0" w:color="auto"/>
        <w:right w:val="none" w:sz="0" w:space="0" w:color="auto"/>
      </w:divBdr>
    </w:div>
    <w:div w:id="20390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kesj@kasu.edu.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omePC\Document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mePC\Document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mePC\Documents\Analy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r>
              <a:rPr lang="en-US"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Rental Growth Rate for Self-Contain in Fadikpe, Tundun Fulani and Bosso Estate</a:t>
            </a:r>
            <a:endParaRPr lang="en-US"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Sheet1!$C$22</c:f>
              <c:strCache>
                <c:ptCount val="1"/>
                <c:pt idx="0">
                  <c:v>Fadikpe</c:v>
                </c:pt>
              </c:strCache>
            </c:strRef>
          </c:tx>
          <c:spPr>
            <a:ln w="28575" cap="rnd">
              <a:solidFill>
                <a:srgbClr val="00B050"/>
              </a:solidFill>
              <a:round/>
            </a:ln>
            <a:effectLst/>
          </c:spPr>
          <c:marker>
            <c:symbol val="none"/>
          </c:marker>
          <c:cat>
            <c:numRef>
              <c:f>Sheet1!$B$23:$B$35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Sheet1!$C$23:$C$35</c:f>
              <c:numCache>
                <c:formatCode>#,##0.00</c:formatCode>
                <c:ptCount val="13"/>
                <c:pt idx="0" formatCode="#,##0">
                  <c:v>0</c:v>
                </c:pt>
                <c:pt idx="1">
                  <c:v>0</c:v>
                </c:pt>
                <c:pt idx="2">
                  <c:v>27.906976744186046</c:v>
                </c:pt>
                <c:pt idx="3">
                  <c:v>7.7927272727272729</c:v>
                </c:pt>
                <c:pt idx="4">
                  <c:v>3.6146813750295181</c:v>
                </c:pt>
                <c:pt idx="5">
                  <c:v>10.464113041071807</c:v>
                </c:pt>
                <c:pt idx="6">
                  <c:v>-3.2892700826738586</c:v>
                </c:pt>
                <c:pt idx="7">
                  <c:v>16.19047619047619</c:v>
                </c:pt>
                <c:pt idx="8">
                  <c:v>7.3770491803278686</c:v>
                </c:pt>
                <c:pt idx="9">
                  <c:v>2.2900763358778624</c:v>
                </c:pt>
                <c:pt idx="10">
                  <c:v>2.5611940298507463</c:v>
                </c:pt>
                <c:pt idx="11">
                  <c:v>0.66592933232434948</c:v>
                </c:pt>
                <c:pt idx="12">
                  <c:v>2.1719268622711554</c:v>
                </c:pt>
              </c:numCache>
            </c:numRef>
          </c:val>
          <c:smooth val="0"/>
          <c:extLst xmlns:c16r2="http://schemas.microsoft.com/office/drawing/2015/06/chart">
            <c:ext xmlns:c16="http://schemas.microsoft.com/office/drawing/2014/chart" uri="{C3380CC4-5D6E-409C-BE32-E72D297353CC}">
              <c16:uniqueId val="{00000000-C16D-4875-8AD1-0AFD0C507287}"/>
            </c:ext>
          </c:extLst>
        </c:ser>
        <c:ser>
          <c:idx val="1"/>
          <c:order val="1"/>
          <c:tx>
            <c:strRef>
              <c:f>Sheet1!$D$22</c:f>
              <c:strCache>
                <c:ptCount val="1"/>
                <c:pt idx="0">
                  <c:v>Tundun Fulani</c:v>
                </c:pt>
              </c:strCache>
            </c:strRef>
          </c:tx>
          <c:spPr>
            <a:ln w="28575" cap="rnd">
              <a:solidFill>
                <a:srgbClr val="FF0000"/>
              </a:solidFill>
              <a:round/>
            </a:ln>
            <a:effectLst/>
          </c:spPr>
          <c:marker>
            <c:symbol val="none"/>
          </c:marker>
          <c:cat>
            <c:numRef>
              <c:f>Sheet1!$B$23:$B$35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Sheet1!$D$23:$D$35</c:f>
              <c:numCache>
                <c:formatCode>#,##0.00</c:formatCode>
                <c:ptCount val="13"/>
                <c:pt idx="0" formatCode="#,##0">
                  <c:v>0</c:v>
                </c:pt>
                <c:pt idx="1">
                  <c:v>0</c:v>
                </c:pt>
                <c:pt idx="2">
                  <c:v>5.2631578947368416</c:v>
                </c:pt>
                <c:pt idx="3">
                  <c:v>39.284999999999997</c:v>
                </c:pt>
                <c:pt idx="4">
                  <c:v>12.820834978640915</c:v>
                </c:pt>
                <c:pt idx="5">
                  <c:v>1.1359116725265284</c:v>
                </c:pt>
                <c:pt idx="6">
                  <c:v>14.607289487344858</c:v>
                </c:pt>
                <c:pt idx="7">
                  <c:v>0.9800019215723953</c:v>
                </c:pt>
                <c:pt idx="8">
                  <c:v>17.476995011621426</c:v>
                </c:pt>
                <c:pt idx="9">
                  <c:v>2.4783348181744556</c:v>
                </c:pt>
                <c:pt idx="10">
                  <c:v>7.7485858802542591</c:v>
                </c:pt>
                <c:pt idx="11">
                  <c:v>1.6231112601378963</c:v>
                </c:pt>
                <c:pt idx="12">
                  <c:v>0.48977655877834264</c:v>
                </c:pt>
              </c:numCache>
            </c:numRef>
          </c:val>
          <c:smooth val="0"/>
          <c:extLst xmlns:c16r2="http://schemas.microsoft.com/office/drawing/2015/06/chart">
            <c:ext xmlns:c16="http://schemas.microsoft.com/office/drawing/2014/chart" uri="{C3380CC4-5D6E-409C-BE32-E72D297353CC}">
              <c16:uniqueId val="{00000001-C16D-4875-8AD1-0AFD0C507287}"/>
            </c:ext>
          </c:extLst>
        </c:ser>
        <c:ser>
          <c:idx val="2"/>
          <c:order val="2"/>
          <c:tx>
            <c:strRef>
              <c:f>Sheet1!$E$22</c:f>
              <c:strCache>
                <c:ptCount val="1"/>
                <c:pt idx="0">
                  <c:v>Bosso Estate </c:v>
                </c:pt>
              </c:strCache>
            </c:strRef>
          </c:tx>
          <c:spPr>
            <a:ln w="28575" cap="rnd">
              <a:solidFill>
                <a:srgbClr val="0070C0"/>
              </a:solidFill>
              <a:round/>
            </a:ln>
            <a:effectLst/>
          </c:spPr>
          <c:marker>
            <c:symbol val="none"/>
          </c:marker>
          <c:cat>
            <c:numRef>
              <c:f>Sheet1!$B$23:$B$35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Sheet1!$E$23:$E$35</c:f>
              <c:numCache>
                <c:formatCode>#,##0.00</c:formatCode>
                <c:ptCount val="13"/>
                <c:pt idx="0" formatCode="#,##0">
                  <c:v>0</c:v>
                </c:pt>
                <c:pt idx="1">
                  <c:v>5.8823529411764701</c:v>
                </c:pt>
                <c:pt idx="2">
                  <c:v>12.847222222222221</c:v>
                </c:pt>
                <c:pt idx="3">
                  <c:v>6.1538461538461542</c:v>
                </c:pt>
                <c:pt idx="4">
                  <c:v>4.3478260869565215</c:v>
                </c:pt>
                <c:pt idx="5">
                  <c:v>13.888888888888889</c:v>
                </c:pt>
                <c:pt idx="6">
                  <c:v>4.8780487804878048</c:v>
                </c:pt>
                <c:pt idx="7">
                  <c:v>0</c:v>
                </c:pt>
                <c:pt idx="8">
                  <c:v>24.418604651162788</c:v>
                </c:pt>
                <c:pt idx="9">
                  <c:v>2.8037383177570092</c:v>
                </c:pt>
                <c:pt idx="10">
                  <c:v>0.69309090909090909</c:v>
                </c:pt>
                <c:pt idx="11">
                  <c:v>0.96494839403985477</c:v>
                </c:pt>
                <c:pt idx="12">
                  <c:v>1.1109600898497021</c:v>
                </c:pt>
              </c:numCache>
            </c:numRef>
          </c:val>
          <c:smooth val="0"/>
          <c:extLst xmlns:c16r2="http://schemas.microsoft.com/office/drawing/2015/06/chart">
            <c:ext xmlns:c16="http://schemas.microsoft.com/office/drawing/2014/chart" uri="{C3380CC4-5D6E-409C-BE32-E72D297353CC}">
              <c16:uniqueId val="{00000002-C16D-4875-8AD1-0AFD0C507287}"/>
            </c:ext>
          </c:extLst>
        </c:ser>
        <c:dLbls>
          <c:showLegendKey val="0"/>
          <c:showVal val="0"/>
          <c:showCatName val="0"/>
          <c:showSerName val="0"/>
          <c:showPercent val="0"/>
          <c:showBubbleSize val="0"/>
        </c:dLbls>
        <c:smooth val="0"/>
        <c:axId val="395118392"/>
        <c:axId val="395112120"/>
      </c:lineChart>
      <c:catAx>
        <c:axId val="3951183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Years</a:t>
                </a:r>
                <a:endParaRPr lang="en-US"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2120"/>
        <c:crosses val="autoZero"/>
        <c:auto val="1"/>
        <c:lblAlgn val="ctr"/>
        <c:lblOffset val="100"/>
        <c:noMultiLvlLbl val="0"/>
      </c:catAx>
      <c:valAx>
        <c:axId val="395112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Rental Growth Rate (%)</a:t>
                </a:r>
                <a:endParaRPr lang="en-US" sz="1000" b="0" i="0" u="none" strike="noStrike" kern="1200" baseline="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8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Rental Growth Rate for 1Bedroom in Fadikpe, Tundun Fulani and Bosso Estate</a:t>
            </a:r>
            <a:endParaRPr lang="en-US"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Sheet1!$H$22</c:f>
              <c:strCache>
                <c:ptCount val="1"/>
                <c:pt idx="0">
                  <c:v>Fadikpe (N)</c:v>
                </c:pt>
              </c:strCache>
            </c:strRef>
          </c:tx>
          <c:spPr>
            <a:ln w="28575" cap="rnd">
              <a:solidFill>
                <a:srgbClr val="00B050"/>
              </a:solidFill>
              <a:round/>
            </a:ln>
            <a:effectLst/>
          </c:spPr>
          <c:marker>
            <c:symbol val="none"/>
          </c:marker>
          <c:cat>
            <c:numRef>
              <c:f>Sheet1!$G$23:$G$35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Sheet1!$H$23:$H$35</c:f>
              <c:numCache>
                <c:formatCode>#,##0.00</c:formatCode>
                <c:ptCount val="13"/>
                <c:pt idx="0" formatCode="#,##0">
                  <c:v>0</c:v>
                </c:pt>
                <c:pt idx="1">
                  <c:v>0</c:v>
                </c:pt>
                <c:pt idx="2">
                  <c:v>18.721917808219178</c:v>
                </c:pt>
                <c:pt idx="3">
                  <c:v>5.4945942515605708</c:v>
                </c:pt>
                <c:pt idx="4">
                  <c:v>4.6866967811088385</c:v>
                </c:pt>
                <c:pt idx="5">
                  <c:v>2.9849342833859205</c:v>
                </c:pt>
                <c:pt idx="6">
                  <c:v>11.594688092846781</c:v>
                </c:pt>
                <c:pt idx="7">
                  <c:v>4.5454545454545459</c:v>
                </c:pt>
                <c:pt idx="8">
                  <c:v>8.695652173913043</c:v>
                </c:pt>
                <c:pt idx="9">
                  <c:v>8</c:v>
                </c:pt>
                <c:pt idx="10">
                  <c:v>4.7666666666666666</c:v>
                </c:pt>
                <c:pt idx="11">
                  <c:v>7.7137907872874463</c:v>
                </c:pt>
                <c:pt idx="12">
                  <c:v>10.062686665135056</c:v>
                </c:pt>
              </c:numCache>
            </c:numRef>
          </c:val>
          <c:smooth val="0"/>
          <c:extLst xmlns:c16r2="http://schemas.microsoft.com/office/drawing/2015/06/chart">
            <c:ext xmlns:c16="http://schemas.microsoft.com/office/drawing/2014/chart" uri="{C3380CC4-5D6E-409C-BE32-E72D297353CC}">
              <c16:uniqueId val="{00000000-537F-49A3-9B25-E3F4F3B5040A}"/>
            </c:ext>
          </c:extLst>
        </c:ser>
        <c:ser>
          <c:idx val="1"/>
          <c:order val="1"/>
          <c:tx>
            <c:strRef>
              <c:f>Sheet1!$I$22</c:f>
              <c:strCache>
                <c:ptCount val="1"/>
                <c:pt idx="0">
                  <c:v>Tundun Fulani (N)</c:v>
                </c:pt>
              </c:strCache>
            </c:strRef>
          </c:tx>
          <c:spPr>
            <a:ln w="28575" cap="rnd">
              <a:solidFill>
                <a:srgbClr val="FF0000"/>
              </a:solidFill>
              <a:round/>
            </a:ln>
            <a:effectLst/>
          </c:spPr>
          <c:marker>
            <c:symbol val="none"/>
          </c:marker>
          <c:cat>
            <c:numRef>
              <c:f>Sheet1!$G$23:$G$35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Sheet1!$I$23:$I$35</c:f>
              <c:numCache>
                <c:formatCode>#,##0.00</c:formatCode>
                <c:ptCount val="13"/>
                <c:pt idx="0" formatCode="#,##0">
                  <c:v>0</c:v>
                </c:pt>
                <c:pt idx="1">
                  <c:v>0</c:v>
                </c:pt>
                <c:pt idx="2">
                  <c:v>5.1470588235294112</c:v>
                </c:pt>
                <c:pt idx="3">
                  <c:v>10.88951048951049</c:v>
                </c:pt>
                <c:pt idx="4">
                  <c:v>24.323335771762984</c:v>
                </c:pt>
                <c:pt idx="5">
                  <c:v>0</c:v>
                </c:pt>
                <c:pt idx="6">
                  <c:v>11.594688092846781</c:v>
                </c:pt>
                <c:pt idx="7">
                  <c:v>3.8963636363636365</c:v>
                </c:pt>
                <c:pt idx="8">
                  <c:v>15.00008749978125</c:v>
                </c:pt>
                <c:pt idx="9">
                  <c:v>2.1737972593567632</c:v>
                </c:pt>
                <c:pt idx="10">
                  <c:v>5.3371163040078642</c:v>
                </c:pt>
                <c:pt idx="11">
                  <c:v>8.5618544675616644</c:v>
                </c:pt>
                <c:pt idx="12">
                  <c:v>8.6120444895939148</c:v>
                </c:pt>
              </c:numCache>
            </c:numRef>
          </c:val>
          <c:smooth val="0"/>
          <c:extLst xmlns:c16r2="http://schemas.microsoft.com/office/drawing/2015/06/chart">
            <c:ext xmlns:c16="http://schemas.microsoft.com/office/drawing/2014/chart" uri="{C3380CC4-5D6E-409C-BE32-E72D297353CC}">
              <c16:uniqueId val="{00000001-537F-49A3-9B25-E3F4F3B5040A}"/>
            </c:ext>
          </c:extLst>
        </c:ser>
        <c:ser>
          <c:idx val="2"/>
          <c:order val="2"/>
          <c:tx>
            <c:strRef>
              <c:f>Sheet1!$J$22</c:f>
              <c:strCache>
                <c:ptCount val="1"/>
                <c:pt idx="0">
                  <c:v>Bosso Estate (N)</c:v>
                </c:pt>
              </c:strCache>
            </c:strRef>
          </c:tx>
          <c:spPr>
            <a:ln w="28575" cap="rnd">
              <a:solidFill>
                <a:srgbClr val="0070C0"/>
              </a:solidFill>
              <a:round/>
            </a:ln>
            <a:effectLst/>
          </c:spPr>
          <c:marker>
            <c:symbol val="none"/>
          </c:marker>
          <c:cat>
            <c:numRef>
              <c:f>Sheet1!$G$23:$G$35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Sheet1!$J$23:$J$35</c:f>
              <c:numCache>
                <c:formatCode>#,##0.00</c:formatCode>
                <c:ptCount val="13"/>
                <c:pt idx="0" formatCode="#,##0">
                  <c:v>0</c:v>
                </c:pt>
                <c:pt idx="1">
                  <c:v>0</c:v>
                </c:pt>
                <c:pt idx="2">
                  <c:v>-0.66953125000000002</c:v>
                </c:pt>
                <c:pt idx="3">
                  <c:v>6.1796559779146314</c:v>
                </c:pt>
                <c:pt idx="4">
                  <c:v>25.925925925925924</c:v>
                </c:pt>
                <c:pt idx="5">
                  <c:v>6.6176470588235299</c:v>
                </c:pt>
                <c:pt idx="6">
                  <c:v>5.5172413793103452</c:v>
                </c:pt>
                <c:pt idx="7">
                  <c:v>4.5751633986928102</c:v>
                </c:pt>
                <c:pt idx="8">
                  <c:v>5.625</c:v>
                </c:pt>
                <c:pt idx="9">
                  <c:v>11.834319526627219</c:v>
                </c:pt>
                <c:pt idx="10">
                  <c:v>4.7420105820105825</c:v>
                </c:pt>
                <c:pt idx="11">
                  <c:v>2.4695598760168598</c:v>
                </c:pt>
                <c:pt idx="12">
                  <c:v>6.0450221640295938</c:v>
                </c:pt>
              </c:numCache>
            </c:numRef>
          </c:val>
          <c:smooth val="0"/>
          <c:extLst xmlns:c16r2="http://schemas.microsoft.com/office/drawing/2015/06/chart">
            <c:ext xmlns:c16="http://schemas.microsoft.com/office/drawing/2014/chart" uri="{C3380CC4-5D6E-409C-BE32-E72D297353CC}">
              <c16:uniqueId val="{00000002-537F-49A3-9B25-E3F4F3B5040A}"/>
            </c:ext>
          </c:extLst>
        </c:ser>
        <c:dLbls>
          <c:showLegendKey val="0"/>
          <c:showVal val="0"/>
          <c:showCatName val="0"/>
          <c:showSerName val="0"/>
          <c:showPercent val="0"/>
          <c:showBubbleSize val="0"/>
        </c:dLbls>
        <c:smooth val="0"/>
        <c:axId val="395116040"/>
        <c:axId val="395111728"/>
      </c:lineChart>
      <c:catAx>
        <c:axId val="395116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Years</a:t>
                </a:r>
                <a:endParaRPr lang="en-US" sz="12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1728"/>
        <c:crosses val="autoZero"/>
        <c:auto val="1"/>
        <c:lblAlgn val="ctr"/>
        <c:lblOffset val="100"/>
        <c:noMultiLvlLbl val="0"/>
      </c:catAx>
      <c:valAx>
        <c:axId val="39511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Rental Growth Rate (%)</a:t>
                </a:r>
                <a:endParaRPr lang="en-US" sz="1000" b="0" i="0" u="none" strike="noStrike" kern="1200" baseline="0">
                  <a:solidFill>
                    <a:sysClr val="windowText" lastClr="000000"/>
                  </a:solidFill>
                  <a:effectLst/>
                  <a:latin typeface="Times New Roman" panose="02020603050405020304" pitchFamily="18" charset="0"/>
                  <a:cs typeface="Times New Roman" panose="02020603050405020304" pitchFamily="18" charset="0"/>
                </a:endParaRPr>
              </a:p>
              <a:p>
                <a:pPr>
                  <a:defRPr/>
                </a:pPr>
                <a:endParaRPr 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6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Rental Growth Rate for 2Bedroom in Fadikpe, Tundun Fulani and Bosso Estate</a:t>
            </a:r>
            <a:endParaRPr lang="en-US" sz="14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Sheet1!$M$22</c:f>
              <c:strCache>
                <c:ptCount val="1"/>
                <c:pt idx="0">
                  <c:v>Fadikpe (N)</c:v>
                </c:pt>
              </c:strCache>
            </c:strRef>
          </c:tx>
          <c:spPr>
            <a:ln w="28575" cap="rnd">
              <a:solidFill>
                <a:srgbClr val="00B050"/>
              </a:solidFill>
              <a:round/>
            </a:ln>
            <a:effectLst/>
          </c:spPr>
          <c:marker>
            <c:symbol val="none"/>
          </c:marker>
          <c:cat>
            <c:numRef>
              <c:f>Sheet1!$L$23:$L$35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Sheet1!$M$23:$M$35</c:f>
              <c:numCache>
                <c:formatCode>#,##0.00</c:formatCode>
                <c:ptCount val="13"/>
                <c:pt idx="0" formatCode="#,##0">
                  <c:v>0</c:v>
                </c:pt>
                <c:pt idx="1">
                  <c:v>0</c:v>
                </c:pt>
                <c:pt idx="2">
                  <c:v>-6.1654866641824508</c:v>
                </c:pt>
                <c:pt idx="3">
                  <c:v>14.423406990597087</c:v>
                </c:pt>
                <c:pt idx="4">
                  <c:v>9.5588235294117645</c:v>
                </c:pt>
                <c:pt idx="5">
                  <c:v>3.3557046979865772</c:v>
                </c:pt>
                <c:pt idx="6">
                  <c:v>1.948051948051948</c:v>
                </c:pt>
                <c:pt idx="7">
                  <c:v>4.4585987261146496</c:v>
                </c:pt>
                <c:pt idx="8">
                  <c:v>9.7560975609756095</c:v>
                </c:pt>
                <c:pt idx="9">
                  <c:v>6.1111111111111107</c:v>
                </c:pt>
                <c:pt idx="10">
                  <c:v>1.504502617801047</c:v>
                </c:pt>
                <c:pt idx="11">
                  <c:v>4.7692929826443624</c:v>
                </c:pt>
                <c:pt idx="12">
                  <c:v>4.6002363135092557</c:v>
                </c:pt>
              </c:numCache>
            </c:numRef>
          </c:val>
          <c:smooth val="0"/>
          <c:extLst xmlns:c16r2="http://schemas.microsoft.com/office/drawing/2015/06/chart">
            <c:ext xmlns:c16="http://schemas.microsoft.com/office/drawing/2014/chart" uri="{C3380CC4-5D6E-409C-BE32-E72D297353CC}">
              <c16:uniqueId val="{00000000-DFC0-4CEA-8CD5-3FFAFC0C9092}"/>
            </c:ext>
          </c:extLst>
        </c:ser>
        <c:ser>
          <c:idx val="1"/>
          <c:order val="1"/>
          <c:tx>
            <c:strRef>
              <c:f>Sheet1!$N$22</c:f>
              <c:strCache>
                <c:ptCount val="1"/>
                <c:pt idx="0">
                  <c:v>Tundun Fulani (N)</c:v>
                </c:pt>
              </c:strCache>
            </c:strRef>
          </c:tx>
          <c:spPr>
            <a:ln w="28575" cap="rnd">
              <a:solidFill>
                <a:srgbClr val="FF0000"/>
              </a:solidFill>
              <a:round/>
            </a:ln>
            <a:effectLst/>
          </c:spPr>
          <c:marker>
            <c:symbol val="none"/>
          </c:marker>
          <c:cat>
            <c:numRef>
              <c:f>Sheet1!$L$23:$L$35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Sheet1!$N$23:$N$35</c:f>
              <c:numCache>
                <c:formatCode>#,##0.00</c:formatCode>
                <c:ptCount val="13"/>
                <c:pt idx="0" formatCode="#,##0">
                  <c:v>0</c:v>
                </c:pt>
                <c:pt idx="1">
                  <c:v>0</c:v>
                </c:pt>
                <c:pt idx="2">
                  <c:v>11.545447820690901</c:v>
                </c:pt>
                <c:pt idx="3">
                  <c:v>9.6054939063029607</c:v>
                </c:pt>
                <c:pt idx="4">
                  <c:v>6.7226890756302522</c:v>
                </c:pt>
                <c:pt idx="5">
                  <c:v>7.8740157480314963</c:v>
                </c:pt>
                <c:pt idx="6">
                  <c:v>4.3795620437956204</c:v>
                </c:pt>
                <c:pt idx="7">
                  <c:v>9.0909090909090917</c:v>
                </c:pt>
                <c:pt idx="8">
                  <c:v>12.179487179487179</c:v>
                </c:pt>
                <c:pt idx="9">
                  <c:v>1.7142857142857144</c:v>
                </c:pt>
                <c:pt idx="10">
                  <c:v>5.3721348314606736</c:v>
                </c:pt>
                <c:pt idx="11">
                  <c:v>4.3121649115174474</c:v>
                </c:pt>
                <c:pt idx="12">
                  <c:v>9.5325130947853935</c:v>
                </c:pt>
              </c:numCache>
            </c:numRef>
          </c:val>
          <c:smooth val="0"/>
          <c:extLst xmlns:c16r2="http://schemas.microsoft.com/office/drawing/2015/06/chart">
            <c:ext xmlns:c16="http://schemas.microsoft.com/office/drawing/2014/chart" uri="{C3380CC4-5D6E-409C-BE32-E72D297353CC}">
              <c16:uniqueId val="{00000001-DFC0-4CEA-8CD5-3FFAFC0C9092}"/>
            </c:ext>
          </c:extLst>
        </c:ser>
        <c:ser>
          <c:idx val="2"/>
          <c:order val="2"/>
          <c:tx>
            <c:strRef>
              <c:f>Sheet1!$O$22</c:f>
              <c:strCache>
                <c:ptCount val="1"/>
                <c:pt idx="0">
                  <c:v>Bosso Estate (N)</c:v>
                </c:pt>
              </c:strCache>
            </c:strRef>
          </c:tx>
          <c:spPr>
            <a:ln w="28575" cap="rnd">
              <a:solidFill>
                <a:srgbClr val="0070C0"/>
              </a:solidFill>
              <a:round/>
            </a:ln>
            <a:effectLst/>
          </c:spPr>
          <c:marker>
            <c:symbol val="none"/>
          </c:marker>
          <c:cat>
            <c:numRef>
              <c:f>Sheet1!$L$23:$L$35</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Sheet1!$O$23:$O$35</c:f>
              <c:numCache>
                <c:formatCode>#,##0.00</c:formatCode>
                <c:ptCount val="13"/>
                <c:pt idx="0" formatCode="#,##0">
                  <c:v>0</c:v>
                </c:pt>
                <c:pt idx="1">
                  <c:v>2.9999940000120002</c:v>
                </c:pt>
                <c:pt idx="2">
                  <c:v>5.6865908998234955</c:v>
                </c:pt>
                <c:pt idx="3">
                  <c:v>1.2792883166417717</c:v>
                </c:pt>
                <c:pt idx="4">
                  <c:v>13.076462585034013</c:v>
                </c:pt>
                <c:pt idx="5">
                  <c:v>3.2082318628536228</c:v>
                </c:pt>
                <c:pt idx="6">
                  <c:v>4.6632220999421765</c:v>
                </c:pt>
                <c:pt idx="7">
                  <c:v>3.9604533870364098</c:v>
                </c:pt>
                <c:pt idx="8">
                  <c:v>15.714451020644315</c:v>
                </c:pt>
                <c:pt idx="9">
                  <c:v>3.2922222222222222</c:v>
                </c:pt>
                <c:pt idx="10">
                  <c:v>5.6205156890375738</c:v>
                </c:pt>
                <c:pt idx="11">
                  <c:v>5.9511685066742714</c:v>
                </c:pt>
                <c:pt idx="12">
                  <c:v>5.8469563657103309</c:v>
                </c:pt>
              </c:numCache>
            </c:numRef>
          </c:val>
          <c:smooth val="0"/>
          <c:extLst xmlns:c16r2="http://schemas.microsoft.com/office/drawing/2015/06/chart">
            <c:ext xmlns:c16="http://schemas.microsoft.com/office/drawing/2014/chart" uri="{C3380CC4-5D6E-409C-BE32-E72D297353CC}">
              <c16:uniqueId val="{00000002-DFC0-4CEA-8CD5-3FFAFC0C9092}"/>
            </c:ext>
          </c:extLst>
        </c:ser>
        <c:dLbls>
          <c:showLegendKey val="0"/>
          <c:showVal val="0"/>
          <c:showCatName val="0"/>
          <c:showSerName val="0"/>
          <c:showPercent val="0"/>
          <c:showBubbleSize val="0"/>
        </c:dLbls>
        <c:smooth val="0"/>
        <c:axId val="395118784"/>
        <c:axId val="395114080"/>
      </c:lineChart>
      <c:catAx>
        <c:axId val="3951187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Years</a:t>
                </a:r>
                <a:endParaRPr lang="en-US"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4080"/>
        <c:crosses val="autoZero"/>
        <c:auto val="1"/>
        <c:lblAlgn val="ctr"/>
        <c:lblOffset val="100"/>
        <c:noMultiLvlLbl val="0"/>
      </c:catAx>
      <c:valAx>
        <c:axId val="39511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Rental Growth Rate (%)</a:t>
                </a:r>
                <a:endParaRPr lang="en-US" sz="1000" b="0" i="0" u="none" strike="noStrike" kern="1200" baseline="0">
                  <a:solidFill>
                    <a:sysClr val="windowText" lastClr="000000"/>
                  </a:solidFill>
                  <a:effectLst/>
                  <a:latin typeface="Times New Roman" panose="02020603050405020304" pitchFamily="18" charset="0"/>
                  <a:cs typeface="Times New Roman" panose="02020603050405020304" pitchFamily="18" charset="0"/>
                </a:endParaRPr>
              </a:p>
              <a:p>
                <a:pPr>
                  <a:defRPr/>
                </a:pPr>
                <a:endParaRPr 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1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2026-05-08T08:28:00Z</dcterms:created>
  <dcterms:modified xsi:type="dcterms:W3CDTF">2026-05-08T08:28:00Z</dcterms:modified>
</cp:coreProperties>
</file>