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3029E" w:rsidRDefault="0063029E">
      <w:r w:rsidRPr="0063029E">
        <w:rPr>
          <w:noProof/>
        </w:rPr>
        <w:drawing>
          <wp:inline distT="0" distB="0" distL="0" distR="0">
            <wp:extent cx="5760085" cy="8229600"/>
            <wp:effectExtent l="0" t="0" r="0" b="0"/>
            <wp:docPr id="1652373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085" cy="8229600"/>
                    </a:xfrm>
                    <a:prstGeom prst="rect">
                      <a:avLst/>
                    </a:prstGeom>
                    <a:noFill/>
                    <a:ln>
                      <a:noFill/>
                    </a:ln>
                  </pic:spPr>
                </pic:pic>
              </a:graphicData>
            </a:graphic>
          </wp:inline>
        </w:drawing>
      </w:r>
    </w:p>
    <w:p w:rsidR="0063029E" w:rsidRDefault="0063029E">
      <w:r w:rsidRPr="0063029E">
        <w:rPr>
          <w:noProof/>
        </w:rPr>
        <w:lastRenderedPageBreak/>
        <w:drawing>
          <wp:inline distT="0" distB="0" distL="0" distR="0">
            <wp:extent cx="5943600" cy="8159750"/>
            <wp:effectExtent l="0" t="0" r="0" b="0"/>
            <wp:docPr id="1285178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8159750"/>
                    </a:xfrm>
                    <a:prstGeom prst="rect">
                      <a:avLst/>
                    </a:prstGeom>
                    <a:noFill/>
                    <a:ln>
                      <a:noFill/>
                    </a:ln>
                  </pic:spPr>
                </pic:pic>
              </a:graphicData>
            </a:graphic>
          </wp:inline>
        </w:drawing>
      </w:r>
    </w:p>
    <w:p w:rsidR="0063029E" w:rsidRDefault="0063029E">
      <w:r w:rsidRPr="0063029E">
        <w:rPr>
          <w:noProof/>
        </w:rPr>
        <w:lastRenderedPageBreak/>
        <w:drawing>
          <wp:inline distT="0" distB="0" distL="0" distR="0">
            <wp:extent cx="5943600" cy="6735445"/>
            <wp:effectExtent l="0" t="0" r="0" b="8255"/>
            <wp:docPr id="9995109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6735445"/>
                    </a:xfrm>
                    <a:prstGeom prst="rect">
                      <a:avLst/>
                    </a:prstGeom>
                    <a:noFill/>
                    <a:ln>
                      <a:noFill/>
                    </a:ln>
                  </pic:spPr>
                </pic:pic>
              </a:graphicData>
            </a:graphic>
          </wp:inline>
        </w:drawing>
      </w:r>
    </w:p>
    <w:p w:rsidR="0063029E" w:rsidRDefault="0063029E"/>
    <w:p w:rsidR="0063029E" w:rsidRDefault="0063029E"/>
    <w:p w:rsidR="0063029E" w:rsidRDefault="0063029E">
      <w:r w:rsidRPr="0063029E">
        <w:rPr>
          <w:noProof/>
        </w:rPr>
        <w:lastRenderedPageBreak/>
        <w:drawing>
          <wp:inline distT="0" distB="0" distL="0" distR="0">
            <wp:extent cx="5855335" cy="8229600"/>
            <wp:effectExtent l="0" t="0" r="0" b="0"/>
            <wp:docPr id="1413245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5335" cy="8229600"/>
                    </a:xfrm>
                    <a:prstGeom prst="rect">
                      <a:avLst/>
                    </a:prstGeom>
                    <a:noFill/>
                    <a:ln>
                      <a:noFill/>
                    </a:ln>
                  </pic:spPr>
                </pic:pic>
              </a:graphicData>
            </a:graphic>
          </wp:inline>
        </w:drawing>
      </w:r>
    </w:p>
    <w:p w:rsidR="0063029E" w:rsidRDefault="0063029E">
      <w:r w:rsidRPr="0063029E">
        <w:rPr>
          <w:noProof/>
        </w:rPr>
        <w:lastRenderedPageBreak/>
        <w:drawing>
          <wp:inline distT="0" distB="0" distL="0" distR="0">
            <wp:extent cx="5743575" cy="8229600"/>
            <wp:effectExtent l="0" t="0" r="9525" b="0"/>
            <wp:docPr id="18790191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3575" cy="8229600"/>
                    </a:xfrm>
                    <a:prstGeom prst="rect">
                      <a:avLst/>
                    </a:prstGeom>
                    <a:noFill/>
                    <a:ln>
                      <a:noFill/>
                    </a:ln>
                  </pic:spPr>
                </pic:pic>
              </a:graphicData>
            </a:graphic>
          </wp:inline>
        </w:drawing>
      </w:r>
    </w:p>
    <w:p w:rsidR="0063029E" w:rsidRDefault="0063029E" w:rsidP="0063029E">
      <w:pPr>
        <w:pStyle w:val="Default"/>
        <w:rPr>
          <w:sz w:val="26"/>
          <w:szCs w:val="26"/>
        </w:rPr>
      </w:pPr>
      <w:r>
        <w:rPr>
          <w:sz w:val="26"/>
          <w:szCs w:val="26"/>
        </w:rPr>
        <w:lastRenderedPageBreak/>
        <w:t xml:space="preserve">Effect of Different Processing Methods on Phytochemicals and Proximate Composition of Leaves of </w:t>
      </w:r>
      <w:r>
        <w:rPr>
          <w:i/>
          <w:iCs/>
          <w:sz w:val="26"/>
          <w:szCs w:val="26"/>
        </w:rPr>
        <w:t xml:space="preserve">Pterocarpus mildbraedii, Adansonia digitata </w:t>
      </w:r>
      <w:r>
        <w:rPr>
          <w:sz w:val="26"/>
          <w:szCs w:val="26"/>
        </w:rPr>
        <w:t xml:space="preserve">and </w:t>
      </w:r>
      <w:r>
        <w:rPr>
          <w:i/>
          <w:iCs/>
          <w:sz w:val="26"/>
          <w:szCs w:val="26"/>
        </w:rPr>
        <w:t xml:space="preserve">Jatropha </w:t>
      </w:r>
      <w:proofErr w:type="spellStart"/>
      <w:r>
        <w:rPr>
          <w:i/>
          <w:iCs/>
          <w:sz w:val="26"/>
          <w:szCs w:val="26"/>
        </w:rPr>
        <w:t>tanjorensis</w:t>
      </w:r>
      <w:proofErr w:type="spellEnd"/>
      <w:r>
        <w:rPr>
          <w:i/>
          <w:iCs/>
          <w:sz w:val="26"/>
          <w:szCs w:val="26"/>
        </w:rPr>
        <w:t xml:space="preserve"> </w:t>
      </w:r>
    </w:p>
    <w:p w:rsidR="0063029E" w:rsidRDefault="0063029E" w:rsidP="0063029E">
      <w:pPr>
        <w:pStyle w:val="Default"/>
        <w:rPr>
          <w:sz w:val="16"/>
          <w:szCs w:val="16"/>
        </w:rPr>
      </w:pPr>
      <w:r>
        <w:rPr>
          <w:rFonts w:ascii="Times New Roman" w:hAnsi="Times New Roman" w:cs="Times New Roman"/>
          <w:sz w:val="23"/>
          <w:szCs w:val="23"/>
        </w:rPr>
        <w:t>Rabiat Unekwu Hamzah</w:t>
      </w:r>
      <w:r>
        <w:rPr>
          <w:rFonts w:ascii="Times New Roman" w:hAnsi="Times New Roman" w:cs="Times New Roman"/>
          <w:sz w:val="16"/>
          <w:szCs w:val="16"/>
        </w:rPr>
        <w:t>1, 2*</w:t>
      </w:r>
      <w:r>
        <w:rPr>
          <w:rFonts w:ascii="Times New Roman" w:hAnsi="Times New Roman" w:cs="Times New Roman"/>
          <w:sz w:val="23"/>
          <w:szCs w:val="23"/>
        </w:rPr>
        <w:t>, Musa Bola Busari</w:t>
      </w:r>
      <w:r>
        <w:rPr>
          <w:rFonts w:ascii="Times New Roman" w:hAnsi="Times New Roman" w:cs="Times New Roman"/>
          <w:sz w:val="16"/>
          <w:szCs w:val="16"/>
        </w:rPr>
        <w:t>1</w:t>
      </w:r>
      <w:r>
        <w:rPr>
          <w:rFonts w:ascii="Times New Roman" w:hAnsi="Times New Roman" w:cs="Times New Roman"/>
          <w:sz w:val="23"/>
          <w:szCs w:val="23"/>
        </w:rPr>
        <w:t>, Hadiza Lami Muhammad</w:t>
      </w:r>
      <w:r>
        <w:rPr>
          <w:rFonts w:ascii="Times New Roman" w:hAnsi="Times New Roman" w:cs="Times New Roman"/>
          <w:sz w:val="16"/>
          <w:szCs w:val="16"/>
        </w:rPr>
        <w:t>1,2</w:t>
      </w:r>
      <w:r>
        <w:rPr>
          <w:rFonts w:ascii="Times New Roman" w:hAnsi="Times New Roman" w:cs="Times New Roman"/>
          <w:sz w:val="23"/>
          <w:szCs w:val="23"/>
        </w:rPr>
        <w:t xml:space="preserve">, and </w:t>
      </w:r>
      <w:proofErr w:type="spellStart"/>
      <w:r>
        <w:rPr>
          <w:rFonts w:ascii="Times New Roman" w:hAnsi="Times New Roman" w:cs="Times New Roman"/>
          <w:sz w:val="23"/>
          <w:szCs w:val="23"/>
        </w:rPr>
        <w:t>Rahinat</w:t>
      </w:r>
      <w:proofErr w:type="spellEnd"/>
      <w:r>
        <w:rPr>
          <w:rFonts w:ascii="Times New Roman" w:hAnsi="Times New Roman" w:cs="Times New Roman"/>
          <w:sz w:val="23"/>
          <w:szCs w:val="23"/>
        </w:rPr>
        <w:t xml:space="preserve"> Garba</w:t>
      </w:r>
      <w:r>
        <w:rPr>
          <w:rFonts w:ascii="Times New Roman" w:hAnsi="Times New Roman" w:cs="Times New Roman"/>
          <w:sz w:val="16"/>
          <w:szCs w:val="16"/>
        </w:rPr>
        <w:t xml:space="preserve">1 </w:t>
      </w:r>
    </w:p>
    <w:p w:rsidR="0063029E" w:rsidRDefault="0063029E" w:rsidP="0063029E">
      <w:pPr>
        <w:pStyle w:val="Default"/>
        <w:rPr>
          <w:sz w:val="23"/>
          <w:szCs w:val="23"/>
        </w:rPr>
      </w:pPr>
      <w:r>
        <w:rPr>
          <w:rFonts w:ascii="Times New Roman" w:hAnsi="Times New Roman" w:cs="Times New Roman"/>
          <w:i/>
          <w:iCs/>
          <w:sz w:val="16"/>
          <w:szCs w:val="16"/>
        </w:rPr>
        <w:t>1</w:t>
      </w:r>
      <w:r>
        <w:rPr>
          <w:rFonts w:ascii="Times New Roman" w:hAnsi="Times New Roman" w:cs="Times New Roman"/>
          <w:i/>
          <w:iCs/>
          <w:sz w:val="23"/>
          <w:szCs w:val="23"/>
        </w:rPr>
        <w:t xml:space="preserve">Department of Biochemistry, Federal University of Technology, Minna, Nigeria </w:t>
      </w:r>
    </w:p>
    <w:p w:rsidR="0063029E" w:rsidRDefault="0063029E" w:rsidP="0063029E">
      <w:pPr>
        <w:pStyle w:val="Default"/>
        <w:rPr>
          <w:sz w:val="23"/>
          <w:szCs w:val="23"/>
        </w:rPr>
      </w:pPr>
      <w:r>
        <w:rPr>
          <w:rFonts w:ascii="Times New Roman" w:hAnsi="Times New Roman" w:cs="Times New Roman"/>
          <w:i/>
          <w:iCs/>
          <w:sz w:val="16"/>
          <w:szCs w:val="16"/>
        </w:rPr>
        <w:t>2</w:t>
      </w:r>
      <w:r>
        <w:rPr>
          <w:rFonts w:ascii="Times New Roman" w:hAnsi="Times New Roman" w:cs="Times New Roman"/>
          <w:i/>
          <w:iCs/>
          <w:sz w:val="23"/>
          <w:szCs w:val="23"/>
        </w:rPr>
        <w:t xml:space="preserve">Africa Centre of Excellence for Mycotoxin and Food Safety, Federal University of Technology, Minna, Nigeria </w:t>
      </w:r>
    </w:p>
    <w:p w:rsidR="0063029E" w:rsidRDefault="0063029E" w:rsidP="0063029E">
      <w:pPr>
        <w:pStyle w:val="Default"/>
        <w:rPr>
          <w:rFonts w:ascii="Times New Roman" w:hAnsi="Times New Roman" w:cs="Times New Roman"/>
          <w:sz w:val="23"/>
          <w:szCs w:val="23"/>
        </w:rPr>
      </w:pPr>
      <w:r>
        <w:rPr>
          <w:rFonts w:ascii="Times New Roman" w:hAnsi="Times New Roman" w:cs="Times New Roman"/>
          <w:sz w:val="23"/>
          <w:szCs w:val="23"/>
        </w:rPr>
        <w:t xml:space="preserve">*Corresponding author: rabiola@futminna.edu.ng </w:t>
      </w:r>
    </w:p>
    <w:p w:rsidR="0063029E" w:rsidRDefault="0063029E" w:rsidP="0063029E">
      <w:pPr>
        <w:pStyle w:val="Default"/>
        <w:rPr>
          <w:rFonts w:ascii="Times New Roman" w:hAnsi="Times New Roman" w:cs="Times New Roman"/>
          <w:sz w:val="23"/>
          <w:szCs w:val="23"/>
        </w:rPr>
      </w:pPr>
      <w:r>
        <w:rPr>
          <w:rFonts w:ascii="Times New Roman" w:hAnsi="Times New Roman" w:cs="Times New Roman"/>
          <w:b/>
          <w:bCs/>
          <w:sz w:val="23"/>
          <w:szCs w:val="23"/>
        </w:rPr>
        <w:t xml:space="preserve">Abstract </w:t>
      </w:r>
    </w:p>
    <w:p w:rsidR="0063029E" w:rsidRDefault="0063029E" w:rsidP="0063029E">
      <w:pPr>
        <w:pStyle w:val="Default"/>
        <w:rPr>
          <w:sz w:val="23"/>
          <w:szCs w:val="23"/>
        </w:rPr>
      </w:pPr>
      <w:r>
        <w:rPr>
          <w:rFonts w:ascii="Times New Roman" w:hAnsi="Times New Roman" w:cs="Times New Roman"/>
          <w:sz w:val="23"/>
          <w:szCs w:val="23"/>
        </w:rPr>
        <w:t xml:space="preserve">Leaves contain a range of phytochemicals minerals and vitamins, but they are easily perishable if not properly handled. Processing transforms perishable leaves into stable foods, improve their shelf life and makes them fit for ingestion. The purpose of this study is to determine how different processing methods affect the phytochemical and proximate constituents of the leaves of </w:t>
      </w:r>
      <w:r>
        <w:rPr>
          <w:rFonts w:ascii="Times New Roman" w:hAnsi="Times New Roman" w:cs="Times New Roman"/>
          <w:i/>
          <w:iCs/>
          <w:sz w:val="23"/>
          <w:szCs w:val="23"/>
        </w:rPr>
        <w:t xml:space="preserve">Pterocarpus mildbraedii, Adansonia digitata </w:t>
      </w:r>
      <w:r>
        <w:rPr>
          <w:rFonts w:ascii="Times New Roman" w:hAnsi="Times New Roman" w:cs="Times New Roman"/>
          <w:sz w:val="23"/>
          <w:szCs w:val="23"/>
        </w:rPr>
        <w:t xml:space="preserve">and </w:t>
      </w:r>
      <w:r>
        <w:rPr>
          <w:rFonts w:ascii="Times New Roman" w:hAnsi="Times New Roman" w:cs="Times New Roman"/>
          <w:i/>
          <w:iCs/>
          <w:sz w:val="23"/>
          <w:szCs w:val="23"/>
        </w:rPr>
        <w:t xml:space="preserve">Jatropha </w:t>
      </w:r>
      <w:proofErr w:type="spellStart"/>
      <w:r>
        <w:rPr>
          <w:rFonts w:ascii="Times New Roman" w:hAnsi="Times New Roman" w:cs="Times New Roman"/>
          <w:i/>
          <w:iCs/>
          <w:sz w:val="23"/>
          <w:szCs w:val="23"/>
        </w:rPr>
        <w:t>tanjorensis</w:t>
      </w:r>
      <w:proofErr w:type="spellEnd"/>
      <w:r>
        <w:rPr>
          <w:rFonts w:ascii="Times New Roman" w:hAnsi="Times New Roman" w:cs="Times New Roman"/>
          <w:i/>
          <w:iCs/>
          <w:sz w:val="23"/>
          <w:szCs w:val="23"/>
        </w:rPr>
        <w:t xml:space="preserve">. </w:t>
      </w:r>
      <w:r>
        <w:rPr>
          <w:rFonts w:ascii="Times New Roman" w:hAnsi="Times New Roman" w:cs="Times New Roman"/>
          <w:sz w:val="23"/>
          <w:szCs w:val="23"/>
        </w:rPr>
        <w:t xml:space="preserve">Standard analytical methods were used to determine the phytochemical contents of the leaves while the official methods of AOAC were used to analyze the leaves for proximate constituents. The results of the phytochemical screening of the leaves of </w:t>
      </w:r>
      <w:r>
        <w:rPr>
          <w:rFonts w:ascii="Times New Roman" w:hAnsi="Times New Roman" w:cs="Times New Roman"/>
          <w:i/>
          <w:iCs/>
          <w:sz w:val="23"/>
          <w:szCs w:val="23"/>
        </w:rPr>
        <w:t xml:space="preserve">P. mildbraedii, A. digitata, J. </w:t>
      </w:r>
      <w:proofErr w:type="spellStart"/>
      <w:r>
        <w:rPr>
          <w:rFonts w:ascii="Times New Roman" w:hAnsi="Times New Roman" w:cs="Times New Roman"/>
          <w:i/>
          <w:iCs/>
          <w:sz w:val="23"/>
          <w:szCs w:val="23"/>
        </w:rPr>
        <w:t>tanjorensis</w:t>
      </w:r>
      <w:proofErr w:type="spellEnd"/>
      <w:r>
        <w:rPr>
          <w:rFonts w:ascii="Times New Roman" w:hAnsi="Times New Roman" w:cs="Times New Roman"/>
          <w:i/>
          <w:iCs/>
          <w:sz w:val="23"/>
          <w:szCs w:val="23"/>
        </w:rPr>
        <w:t xml:space="preserve"> </w:t>
      </w:r>
      <w:r>
        <w:rPr>
          <w:rFonts w:ascii="Times New Roman" w:hAnsi="Times New Roman" w:cs="Times New Roman"/>
          <w:sz w:val="23"/>
          <w:szCs w:val="23"/>
        </w:rPr>
        <w:t xml:space="preserve">indicated the presence of alkaloids, tannins, saponins, phenols and flavonoids. Proximate analysis showed a high crude protein of 24.16 ± 0.60 % and 22.31 ± 0.26 % in the blanched and boiled </w:t>
      </w:r>
      <w:r>
        <w:rPr>
          <w:rFonts w:ascii="Times New Roman" w:hAnsi="Times New Roman" w:cs="Times New Roman"/>
          <w:i/>
          <w:iCs/>
          <w:sz w:val="23"/>
          <w:szCs w:val="23"/>
        </w:rPr>
        <w:t xml:space="preserve">P. mildbraedii </w:t>
      </w:r>
      <w:r>
        <w:rPr>
          <w:rFonts w:ascii="Times New Roman" w:hAnsi="Times New Roman" w:cs="Times New Roman"/>
          <w:sz w:val="23"/>
          <w:szCs w:val="23"/>
        </w:rPr>
        <w:t xml:space="preserve">respectively. Ash content was found to be high in sun-dried </w:t>
      </w:r>
      <w:r>
        <w:rPr>
          <w:rFonts w:ascii="Times New Roman" w:hAnsi="Times New Roman" w:cs="Times New Roman"/>
          <w:i/>
          <w:iCs/>
          <w:sz w:val="23"/>
          <w:szCs w:val="23"/>
        </w:rPr>
        <w:t xml:space="preserve">J. </w:t>
      </w:r>
      <w:proofErr w:type="spellStart"/>
      <w:r>
        <w:rPr>
          <w:rFonts w:ascii="Times New Roman" w:hAnsi="Times New Roman" w:cs="Times New Roman"/>
          <w:i/>
          <w:iCs/>
          <w:sz w:val="23"/>
          <w:szCs w:val="23"/>
        </w:rPr>
        <w:t>tanjorensis</w:t>
      </w:r>
      <w:proofErr w:type="spellEnd"/>
      <w:r>
        <w:rPr>
          <w:rFonts w:ascii="Times New Roman" w:hAnsi="Times New Roman" w:cs="Times New Roman"/>
          <w:sz w:val="23"/>
          <w:szCs w:val="23"/>
        </w:rPr>
        <w:t xml:space="preserve">. Mineral analysis revealed that Ca, Mg and Fe were significantly high in air-dried and boiled </w:t>
      </w:r>
      <w:r>
        <w:rPr>
          <w:rFonts w:ascii="Times New Roman" w:hAnsi="Times New Roman" w:cs="Times New Roman"/>
          <w:i/>
          <w:iCs/>
          <w:sz w:val="23"/>
          <w:szCs w:val="23"/>
        </w:rPr>
        <w:t>A. digitata</w:t>
      </w:r>
      <w:r>
        <w:rPr>
          <w:rFonts w:ascii="Times New Roman" w:hAnsi="Times New Roman" w:cs="Times New Roman"/>
          <w:sz w:val="23"/>
          <w:szCs w:val="23"/>
        </w:rPr>
        <w:t xml:space="preserve">. Vitamin C content was found to be highest amongst other vitamins analyzed in air-dried </w:t>
      </w:r>
      <w:r>
        <w:rPr>
          <w:rFonts w:ascii="Times New Roman" w:hAnsi="Times New Roman" w:cs="Times New Roman"/>
          <w:i/>
          <w:iCs/>
          <w:sz w:val="23"/>
          <w:szCs w:val="23"/>
        </w:rPr>
        <w:t>A. digitata</w:t>
      </w:r>
      <w:r>
        <w:rPr>
          <w:rFonts w:ascii="Times New Roman" w:hAnsi="Times New Roman" w:cs="Times New Roman"/>
          <w:sz w:val="23"/>
          <w:szCs w:val="23"/>
        </w:rPr>
        <w:t xml:space="preserve">. The air-dried and boiled samples of </w:t>
      </w:r>
      <w:r>
        <w:rPr>
          <w:rFonts w:ascii="Times New Roman" w:hAnsi="Times New Roman" w:cs="Times New Roman"/>
          <w:i/>
          <w:iCs/>
          <w:sz w:val="23"/>
          <w:szCs w:val="23"/>
        </w:rPr>
        <w:t xml:space="preserve">A. digitata </w:t>
      </w:r>
      <w:r>
        <w:rPr>
          <w:rFonts w:ascii="Times New Roman" w:hAnsi="Times New Roman" w:cs="Times New Roman"/>
          <w:sz w:val="23"/>
          <w:szCs w:val="23"/>
        </w:rPr>
        <w:t xml:space="preserve">were found to be the two most effective samples in terms of their phytochemical constituents, therefore, air drying and boiling are good processing methods in preserving the nutritional content as well as their phytochemical constituents. </w:t>
      </w:r>
    </w:p>
    <w:p w:rsidR="0063029E" w:rsidRDefault="0063029E" w:rsidP="0063029E">
      <w:pPr>
        <w:pStyle w:val="Default"/>
        <w:rPr>
          <w:sz w:val="23"/>
          <w:szCs w:val="23"/>
        </w:rPr>
      </w:pPr>
      <w:r>
        <w:rPr>
          <w:rFonts w:ascii="Times New Roman" w:hAnsi="Times New Roman" w:cs="Times New Roman"/>
          <w:b/>
          <w:bCs/>
          <w:sz w:val="23"/>
          <w:szCs w:val="23"/>
        </w:rPr>
        <w:t xml:space="preserve">Keywords: </w:t>
      </w:r>
      <w:r>
        <w:rPr>
          <w:rFonts w:ascii="Times New Roman" w:hAnsi="Times New Roman" w:cs="Times New Roman"/>
          <w:i/>
          <w:iCs/>
          <w:sz w:val="23"/>
          <w:szCs w:val="23"/>
        </w:rPr>
        <w:t xml:space="preserve">Pterocarpus mildbraedii; Adansonia digitata; Jatropha </w:t>
      </w:r>
      <w:proofErr w:type="spellStart"/>
      <w:r>
        <w:rPr>
          <w:rFonts w:ascii="Times New Roman" w:hAnsi="Times New Roman" w:cs="Times New Roman"/>
          <w:i/>
          <w:iCs/>
          <w:sz w:val="23"/>
          <w:szCs w:val="23"/>
        </w:rPr>
        <w:t>tanjorensis</w:t>
      </w:r>
      <w:proofErr w:type="spellEnd"/>
      <w:r>
        <w:rPr>
          <w:rFonts w:ascii="Times New Roman" w:hAnsi="Times New Roman" w:cs="Times New Roman"/>
          <w:i/>
          <w:iCs/>
          <w:sz w:val="23"/>
          <w:szCs w:val="23"/>
        </w:rPr>
        <w:t xml:space="preserve">; </w:t>
      </w:r>
      <w:r>
        <w:rPr>
          <w:rFonts w:ascii="Times New Roman" w:hAnsi="Times New Roman" w:cs="Times New Roman"/>
          <w:sz w:val="23"/>
          <w:szCs w:val="23"/>
        </w:rPr>
        <w:t xml:space="preserve">minerals; </w:t>
      </w:r>
    </w:p>
    <w:p w:rsidR="0063029E" w:rsidRDefault="0063029E" w:rsidP="0063029E">
      <w:r>
        <w:rPr>
          <w:sz w:val="23"/>
          <w:szCs w:val="23"/>
        </w:rPr>
        <w:t>Proximate composition.</w:t>
      </w:r>
    </w:p>
    <w:sectPr w:rsidR="006302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altName w:val="Calibri"/>
    <w:panose1 w:val="020F0502020204030204"/>
    <w:charset w:val="00"/>
    <w:family w:val="swiss"/>
    <w:pitch w:val="variable"/>
    <w:sig w:usb0="E4002EFF" w:usb1="C000247B" w:usb2="00000009" w:usb3="00000000" w:csb0="000001FF" w:csb1="00000000"/>
  </w:font>
  <w:font w:name="Times New Roman">
    <w:altName w:val="Times New Roman P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29E"/>
    <w:rsid w:val="000F0AF2"/>
    <w:rsid w:val="006302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50663"/>
  <w15:chartTrackingRefBased/>
  <w15:docId w15:val="{E65C3395-5306-4D9E-BF32-51FEDE8A6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029E"/>
    <w:pPr>
      <w:autoSpaceDE w:val="0"/>
      <w:autoSpaceDN w:val="0"/>
      <w:adjustRightInd w:val="0"/>
      <w:spacing w:after="0" w:line="240" w:lineRule="auto"/>
    </w:pPr>
    <w:rPr>
      <w:rFonts w:ascii="Calibri" w:hAnsi="Calibri" w:cs="Calibri"/>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Pages>
  <Words>320</Words>
  <Characters>1826</Characters>
  <Application>Microsoft Office Word</Application>
  <DocSecurity>0</DocSecurity>
  <Lines>15</Lines>
  <Paragraphs>4</Paragraphs>
  <ScaleCrop>false</ScaleCrop>
  <Company/>
  <LinksUpToDate>false</LinksUpToDate>
  <CharactersWithSpaces>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2024-05-14T07:26:00Z</dcterms:created>
  <dcterms:modified xsi:type="dcterms:W3CDTF">2024-05-14T07:37:00Z</dcterms:modified>
</cp:coreProperties>
</file>