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E9C21" w14:textId="77777777" w:rsidR="001E4E5F" w:rsidRDefault="001E4E5F" w:rsidP="008632CA">
      <w:pPr>
        <w:pStyle w:val="Heading2"/>
        <w:jc w:val="center"/>
        <w:rPr>
          <w:sz w:val="34"/>
        </w:rPr>
      </w:pPr>
      <w:bookmarkStart w:id="0" w:name="firm"/>
      <w:r>
        <w:rPr>
          <w:noProof/>
          <w:lang w:val="en-US"/>
        </w:rPr>
        <w:drawing>
          <wp:inline distT="0" distB="0" distL="0" distR="0" wp14:anchorId="0DABFAC7" wp14:editId="19C06961">
            <wp:extent cx="5274310" cy="4762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476250"/>
                    </a:xfrm>
                    <a:prstGeom prst="rect">
                      <a:avLst/>
                    </a:prstGeom>
                    <a:noFill/>
                    <a:ln>
                      <a:noFill/>
                    </a:ln>
                  </pic:spPr>
                </pic:pic>
              </a:graphicData>
            </a:graphic>
          </wp:inline>
        </w:drawing>
      </w:r>
    </w:p>
    <w:p w14:paraId="5FC8574F" w14:textId="77777777" w:rsidR="001E4E5F" w:rsidRDefault="001E4E5F" w:rsidP="008632CA">
      <w:pPr>
        <w:pStyle w:val="Heading2"/>
        <w:jc w:val="center"/>
        <w:rPr>
          <w:sz w:val="34"/>
        </w:rPr>
      </w:pPr>
    </w:p>
    <w:p w14:paraId="23CA49D1" w14:textId="77777777" w:rsidR="001E4E5F" w:rsidRDefault="001E4E5F" w:rsidP="008632CA">
      <w:pPr>
        <w:pStyle w:val="Heading2"/>
        <w:jc w:val="center"/>
        <w:rPr>
          <w:sz w:val="34"/>
        </w:rPr>
      </w:pPr>
    </w:p>
    <w:p w14:paraId="227EA1C8" w14:textId="77777777" w:rsidR="00926165" w:rsidRDefault="001E4E5F" w:rsidP="008632CA">
      <w:pPr>
        <w:pStyle w:val="Heading2"/>
        <w:jc w:val="center"/>
        <w:rPr>
          <w:sz w:val="34"/>
        </w:rPr>
      </w:pPr>
      <w:r w:rsidRPr="00780C93">
        <w:rPr>
          <w:noProof/>
          <w:sz w:val="34"/>
          <w:lang w:val="en-US"/>
        </w:rPr>
        <w:drawing>
          <wp:inline distT="0" distB="0" distL="0" distR="0" wp14:anchorId="059773DA" wp14:editId="1E441BDC">
            <wp:extent cx="581025" cy="1400175"/>
            <wp:effectExtent l="19050" t="0" r="9525" b="0"/>
            <wp:docPr id="2" name="Picture 1" descr="logo"/>
            <wp:cNvGraphicFramePr/>
            <a:graphic xmlns:a="http://schemas.openxmlformats.org/drawingml/2006/main">
              <a:graphicData uri="http://schemas.openxmlformats.org/drawingml/2006/picture">
                <pic:pic xmlns:pic="http://schemas.openxmlformats.org/drawingml/2006/picture">
                  <pic:nvPicPr>
                    <pic:cNvPr id="34" name="Picture 33" descr="logo"/>
                    <pic:cNvPicPr>
                      <a:picLocks noChangeAspect="1" noChangeArrowheads="1"/>
                    </pic:cNvPicPr>
                  </pic:nvPicPr>
                  <pic:blipFill>
                    <a:blip r:embed="rId9" cstate="print"/>
                    <a:srcRect l="224" t="-1132" r="96045" b="14502"/>
                    <a:stretch>
                      <a:fillRect/>
                    </a:stretch>
                  </pic:blipFill>
                  <pic:spPr bwMode="auto">
                    <a:xfrm>
                      <a:off x="0" y="0"/>
                      <a:ext cx="581025" cy="1400175"/>
                    </a:xfrm>
                    <a:prstGeom prst="rect">
                      <a:avLst/>
                    </a:prstGeom>
                    <a:noFill/>
                    <a:ln w="9525">
                      <a:noFill/>
                      <a:miter lim="800000"/>
                      <a:headEnd/>
                      <a:tailEnd/>
                    </a:ln>
                  </pic:spPr>
                </pic:pic>
              </a:graphicData>
            </a:graphic>
          </wp:inline>
        </w:drawing>
      </w:r>
    </w:p>
    <w:p w14:paraId="7FDF12CD" w14:textId="7688033D" w:rsidR="00C43C9E" w:rsidRPr="00C43C9E" w:rsidRDefault="00C43C9E" w:rsidP="00C43C9E">
      <w:pPr>
        <w:jc w:val="center"/>
        <w:rPr>
          <w:rFonts w:eastAsia="Calibri"/>
          <w:b/>
          <w:bCs/>
          <w:sz w:val="34"/>
          <w:szCs w:val="34"/>
        </w:rPr>
      </w:pPr>
      <w:r w:rsidRPr="00C43C9E">
        <w:rPr>
          <w:rFonts w:eastAsia="Calibri"/>
          <w:b/>
          <w:sz w:val="34"/>
          <w:szCs w:val="34"/>
        </w:rPr>
        <w:t xml:space="preserve">Project Managers’ Performance on Sustainable </w:t>
      </w:r>
      <w:r w:rsidRPr="00C43C9E">
        <w:rPr>
          <w:rFonts w:eastAsia="Calibri"/>
          <w:b/>
          <w:bCs/>
          <w:sz w:val="34"/>
          <w:szCs w:val="34"/>
        </w:rPr>
        <w:t>Construction of Residential Estates in Abuja, Nigeria.</w:t>
      </w:r>
    </w:p>
    <w:p w14:paraId="6F113ABD" w14:textId="1845BBDD" w:rsidR="00932A7E" w:rsidRDefault="00932A7E" w:rsidP="008632CA">
      <w:pPr>
        <w:pStyle w:val="Heading2"/>
        <w:jc w:val="center"/>
        <w:rPr>
          <w:sz w:val="34"/>
        </w:rPr>
      </w:pPr>
    </w:p>
    <w:p w14:paraId="4AAD26F3" w14:textId="77777777" w:rsidR="000E0EAC" w:rsidRDefault="000E0EAC" w:rsidP="008632CA">
      <w:pPr>
        <w:pStyle w:val="BodyText"/>
      </w:pPr>
    </w:p>
    <w:p w14:paraId="6FBC18C9" w14:textId="77777777" w:rsidR="000E0EAC" w:rsidRDefault="000E0EAC" w:rsidP="008632CA">
      <w:pPr>
        <w:pStyle w:val="BodyText"/>
      </w:pPr>
    </w:p>
    <w:p w14:paraId="1E0FC611" w14:textId="77777777" w:rsidR="000E0EAC" w:rsidRDefault="000E0EAC" w:rsidP="000E0EAC">
      <w:pPr>
        <w:pStyle w:val="BodyText"/>
        <w:jc w:val="center"/>
      </w:pPr>
    </w:p>
    <w:p w14:paraId="5E2E3525" w14:textId="77777777" w:rsidR="000E0EAC" w:rsidRDefault="000E0EAC" w:rsidP="000E0EAC">
      <w:pPr>
        <w:pStyle w:val="BodyText"/>
        <w:jc w:val="center"/>
      </w:pPr>
    </w:p>
    <w:p w14:paraId="2DB9A469" w14:textId="77777777" w:rsidR="000E0EAC" w:rsidRDefault="000E0EAC" w:rsidP="000E0EAC">
      <w:pPr>
        <w:pStyle w:val="BodyText"/>
        <w:jc w:val="center"/>
      </w:pPr>
    </w:p>
    <w:p w14:paraId="45E50D10" w14:textId="77777777" w:rsidR="000E0EAC" w:rsidRDefault="000E0EAC" w:rsidP="000E0EAC">
      <w:pPr>
        <w:pStyle w:val="BodyText"/>
        <w:jc w:val="center"/>
      </w:pPr>
    </w:p>
    <w:p w14:paraId="7F32EC23" w14:textId="77777777" w:rsidR="000E0EAC" w:rsidRDefault="000E0EAC" w:rsidP="000E0EAC">
      <w:pPr>
        <w:pStyle w:val="BodyText"/>
        <w:jc w:val="center"/>
      </w:pPr>
    </w:p>
    <w:p w14:paraId="5F99E5F0" w14:textId="77777777" w:rsidR="000E0EAC" w:rsidRPr="008632CA" w:rsidRDefault="000E0EAC" w:rsidP="000E0EAC">
      <w:pPr>
        <w:pStyle w:val="BodyText"/>
        <w:jc w:val="center"/>
      </w:pPr>
      <w:r>
        <w:t>Presented by</w:t>
      </w:r>
    </w:p>
    <w:p w14:paraId="2E16FF55" w14:textId="77777777" w:rsidR="00932A7E" w:rsidRDefault="00932A7E" w:rsidP="008632CA">
      <w:pPr>
        <w:pStyle w:val="Author"/>
        <w:jc w:val="center"/>
      </w:pPr>
    </w:p>
    <w:p w14:paraId="2186BCED" w14:textId="77777777" w:rsidR="00C43C9E" w:rsidRPr="00AB7A44" w:rsidRDefault="00C43C9E" w:rsidP="00C43C9E">
      <w:pPr>
        <w:spacing w:line="276" w:lineRule="auto"/>
        <w:jc w:val="center"/>
        <w:rPr>
          <w:rFonts w:eastAsia="Calibri"/>
          <w:b/>
          <w:sz w:val="24"/>
          <w:szCs w:val="24"/>
          <w:lang w:val="en-US"/>
        </w:rPr>
      </w:pPr>
      <w:r w:rsidRPr="00AB7A44">
        <w:rPr>
          <w:rFonts w:eastAsia="Calibri"/>
          <w:b/>
          <w:sz w:val="24"/>
          <w:szCs w:val="24"/>
        </w:rPr>
        <w:t>Usman</w:t>
      </w:r>
      <w:r>
        <w:rPr>
          <w:rFonts w:eastAsia="Calibri"/>
          <w:b/>
          <w:sz w:val="24"/>
          <w:szCs w:val="24"/>
        </w:rPr>
        <w:t xml:space="preserve"> </w:t>
      </w:r>
      <w:r w:rsidRPr="00AB7A44">
        <w:rPr>
          <w:rFonts w:eastAsia="Calibri"/>
          <w:b/>
          <w:sz w:val="24"/>
          <w:szCs w:val="24"/>
        </w:rPr>
        <w:t>BELGORE</w:t>
      </w:r>
      <w:r w:rsidRPr="00AB7A44">
        <w:rPr>
          <w:rFonts w:eastAsia="Calibri"/>
          <w:b/>
          <w:sz w:val="24"/>
          <w:szCs w:val="24"/>
          <w:vertAlign w:val="superscript"/>
          <w:lang w:val="en-US"/>
        </w:rPr>
        <w:t>1</w:t>
      </w:r>
      <w:r w:rsidRPr="00AB7A44">
        <w:rPr>
          <w:rFonts w:eastAsia="Calibri"/>
          <w:b/>
          <w:sz w:val="24"/>
          <w:szCs w:val="24"/>
          <w:lang w:val="en-US"/>
        </w:rPr>
        <w:t xml:space="preserve"> and Joseph K. MAKINDE</w:t>
      </w:r>
      <w:r w:rsidRPr="00AB7A44">
        <w:rPr>
          <w:rFonts w:eastAsia="Calibri"/>
          <w:b/>
          <w:sz w:val="24"/>
          <w:szCs w:val="24"/>
          <w:vertAlign w:val="superscript"/>
          <w:lang w:val="en-US"/>
        </w:rPr>
        <w:t>2</w:t>
      </w:r>
    </w:p>
    <w:p w14:paraId="26B66B4F" w14:textId="77777777" w:rsidR="007274C5" w:rsidRPr="007274C5" w:rsidRDefault="007274C5" w:rsidP="007274C5"/>
    <w:p w14:paraId="42F2C260" w14:textId="39547965" w:rsidR="00C43C9E" w:rsidRPr="009D5E6A" w:rsidRDefault="00C43C9E" w:rsidP="00C43C9E">
      <w:pPr>
        <w:rPr>
          <w:rFonts w:eastAsia="Calibri"/>
          <w:i/>
          <w:iCs/>
          <w:lang w:val="en-US"/>
        </w:rPr>
      </w:pPr>
      <w:r w:rsidRPr="009D5E6A">
        <w:rPr>
          <w:rFonts w:eastAsia="Calibri"/>
          <w:i/>
          <w:iCs/>
          <w:vertAlign w:val="superscript"/>
          <w:lang w:val="en-US"/>
        </w:rPr>
        <w:t>1</w:t>
      </w:r>
      <w:r w:rsidRPr="009D5E6A">
        <w:rPr>
          <w:rFonts w:eastAsia="Calibri"/>
          <w:i/>
          <w:iCs/>
          <w:lang w:val="en-US"/>
        </w:rPr>
        <w:t xml:space="preserve"> Dept of Project Management, Federal University of Technology Minna, Niger State, Nigeria</w:t>
      </w:r>
      <w:r w:rsidR="009D5E6A">
        <w:rPr>
          <w:rFonts w:eastAsia="Calibri"/>
          <w:i/>
          <w:iCs/>
          <w:lang w:val="en-US"/>
        </w:rPr>
        <w:t>.</w:t>
      </w:r>
    </w:p>
    <w:p w14:paraId="00AF7E22" w14:textId="687C925D" w:rsidR="009D79A1" w:rsidRPr="009D5E6A" w:rsidRDefault="00C43C9E" w:rsidP="009D79A1">
      <w:pPr>
        <w:pStyle w:val="Address"/>
        <w:spacing w:after="120"/>
        <w:jc w:val="center"/>
        <w:rPr>
          <w:iCs/>
        </w:rPr>
      </w:pPr>
      <w:r w:rsidRPr="009D5E6A">
        <w:rPr>
          <w:rFonts w:eastAsia="Calibri"/>
          <w:iCs/>
          <w:vertAlign w:val="superscript"/>
          <w:lang w:val="en-US"/>
        </w:rPr>
        <w:t>2</w:t>
      </w:r>
      <w:r w:rsidRPr="009D5E6A">
        <w:rPr>
          <w:rFonts w:eastAsia="Calibri"/>
          <w:iCs/>
          <w:lang w:val="en-US"/>
        </w:rPr>
        <w:t xml:space="preserve"> Dept of Project Management, Federal University of Technology Minna, Niger State, Nigeria.</w:t>
      </w:r>
    </w:p>
    <w:p w14:paraId="678690DA" w14:textId="77777777" w:rsidR="00932A7E" w:rsidRPr="009D5E6A" w:rsidRDefault="00932A7E" w:rsidP="009D79A1">
      <w:pPr>
        <w:pStyle w:val="Address"/>
        <w:spacing w:after="120"/>
        <w:jc w:val="center"/>
        <w:rPr>
          <w:iCs/>
          <w:sz w:val="28"/>
        </w:rPr>
      </w:pPr>
    </w:p>
    <w:p w14:paraId="306FE55F" w14:textId="77777777" w:rsidR="00093A04" w:rsidRDefault="00093A04" w:rsidP="00093A04"/>
    <w:p w14:paraId="4FBF3B36" w14:textId="77777777" w:rsidR="00093A04" w:rsidRDefault="00093A04" w:rsidP="00093A04"/>
    <w:p w14:paraId="764F6E51" w14:textId="77777777" w:rsidR="00093A04" w:rsidRDefault="00093A04" w:rsidP="00093A04"/>
    <w:p w14:paraId="60480240" w14:textId="77777777" w:rsidR="00093A04" w:rsidRDefault="00093A04" w:rsidP="00093A04"/>
    <w:p w14:paraId="458B2F96" w14:textId="77777777" w:rsidR="00926165" w:rsidRDefault="00926165" w:rsidP="00093A04"/>
    <w:p w14:paraId="07AD5B46" w14:textId="77777777" w:rsidR="00093A04" w:rsidRDefault="00093A04" w:rsidP="00093A04"/>
    <w:p w14:paraId="20932E60" w14:textId="77777777" w:rsidR="00093A04" w:rsidRDefault="00093A04" w:rsidP="00093A04"/>
    <w:p w14:paraId="4966D737" w14:textId="77777777" w:rsidR="00093A04" w:rsidRDefault="00093A04" w:rsidP="00093A04"/>
    <w:p w14:paraId="095B379E" w14:textId="77777777" w:rsidR="00093A04" w:rsidRDefault="00093A04" w:rsidP="00093A04"/>
    <w:p w14:paraId="0B716BB0" w14:textId="77777777" w:rsidR="00093A04" w:rsidRDefault="00093A04" w:rsidP="00093A04"/>
    <w:p w14:paraId="193CF6C3" w14:textId="77777777" w:rsidR="00093A04" w:rsidRDefault="00093A04" w:rsidP="00093A04"/>
    <w:p w14:paraId="52D356AE" w14:textId="77777777" w:rsidR="00093A04" w:rsidRDefault="00093A04" w:rsidP="00093A04"/>
    <w:p w14:paraId="10B121C3" w14:textId="77777777" w:rsidR="00093A04" w:rsidRDefault="00093A04" w:rsidP="00093A04"/>
    <w:p w14:paraId="7668F36E" w14:textId="77777777" w:rsidR="00093A04" w:rsidRDefault="00093A04" w:rsidP="00093A04"/>
    <w:p w14:paraId="334FA8A4" w14:textId="279AB955" w:rsidR="00093A04" w:rsidRDefault="00093A04" w:rsidP="00093A04">
      <w:pPr>
        <w:jc w:val="center"/>
        <w:rPr>
          <w:sz w:val="24"/>
        </w:rPr>
      </w:pPr>
      <w:r w:rsidRPr="00D75991">
        <w:rPr>
          <w:sz w:val="24"/>
        </w:rPr>
        <w:lastRenderedPageBreak/>
        <w:t xml:space="preserve">Being </w:t>
      </w:r>
      <w:r w:rsidR="007274C5">
        <w:rPr>
          <w:sz w:val="24"/>
        </w:rPr>
        <w:t xml:space="preserve">text of </w:t>
      </w:r>
      <w:r w:rsidRPr="00D75991">
        <w:rPr>
          <w:sz w:val="24"/>
        </w:rPr>
        <w:t xml:space="preserve">a Seminar Paper Presented at the </w:t>
      </w:r>
      <w:r w:rsidR="009D5E6A">
        <w:rPr>
          <w:sz w:val="24"/>
        </w:rPr>
        <w:t xml:space="preserve">5th Research Conference of the Nigerian Institute of </w:t>
      </w:r>
      <w:proofErr w:type="spellStart"/>
      <w:r w:rsidR="009D5E6A">
        <w:rPr>
          <w:sz w:val="24"/>
        </w:rPr>
        <w:t>Quantitiy</w:t>
      </w:r>
      <w:proofErr w:type="spellEnd"/>
      <w:r w:rsidR="009D5E6A">
        <w:rPr>
          <w:sz w:val="24"/>
        </w:rPr>
        <w:t xml:space="preserve"> Surveyors (RECON 5)</w:t>
      </w:r>
      <w:r w:rsidR="000159FB" w:rsidRPr="00D75991">
        <w:rPr>
          <w:sz w:val="24"/>
        </w:rPr>
        <w:t xml:space="preserve"> under the Theme </w:t>
      </w:r>
      <w:r w:rsidR="00F661AE">
        <w:rPr>
          <w:sz w:val="24"/>
        </w:rPr>
        <w:t>‘</w:t>
      </w:r>
      <w:r w:rsidR="009D5E6A">
        <w:rPr>
          <w:sz w:val="24"/>
        </w:rPr>
        <w:t>‘</w:t>
      </w:r>
      <w:r w:rsidR="00F661AE">
        <w:rPr>
          <w:sz w:val="24"/>
        </w:rPr>
        <w:t>Confluence of Research, Theory and Practice in the Built Environment’</w:t>
      </w:r>
      <w:r w:rsidR="009D5E6A">
        <w:rPr>
          <w:sz w:val="24"/>
        </w:rPr>
        <w:t>’</w:t>
      </w:r>
    </w:p>
    <w:p w14:paraId="120561CA" w14:textId="77777777" w:rsidR="00C51A56" w:rsidRDefault="00C51A56" w:rsidP="00093A04">
      <w:pPr>
        <w:jc w:val="center"/>
        <w:rPr>
          <w:sz w:val="24"/>
        </w:rPr>
      </w:pPr>
    </w:p>
    <w:p w14:paraId="73853D6C" w14:textId="77777777" w:rsidR="00C51A56" w:rsidRDefault="00C51A56" w:rsidP="00093A04">
      <w:pPr>
        <w:jc w:val="center"/>
        <w:rPr>
          <w:sz w:val="24"/>
        </w:rPr>
      </w:pPr>
    </w:p>
    <w:p w14:paraId="59925D88" w14:textId="603B329C" w:rsidR="00C51A56" w:rsidRDefault="00F661AE" w:rsidP="00093A04">
      <w:pPr>
        <w:jc w:val="center"/>
        <w:rPr>
          <w:sz w:val="24"/>
        </w:rPr>
      </w:pPr>
      <w:r>
        <w:rPr>
          <w:sz w:val="24"/>
        </w:rPr>
        <w:t>10</w:t>
      </w:r>
      <w:r w:rsidR="00AB6472">
        <w:rPr>
          <w:sz w:val="24"/>
        </w:rPr>
        <w:t>th</w:t>
      </w:r>
      <w:r>
        <w:rPr>
          <w:sz w:val="24"/>
        </w:rPr>
        <w:t xml:space="preserve"> – 12</w:t>
      </w:r>
      <w:r w:rsidR="00AB6472">
        <w:rPr>
          <w:sz w:val="24"/>
        </w:rPr>
        <w:t>th</w:t>
      </w:r>
      <w:r>
        <w:rPr>
          <w:sz w:val="24"/>
        </w:rPr>
        <w:t xml:space="preserve"> November, 2020</w:t>
      </w:r>
      <w:r w:rsidR="001F2955">
        <w:rPr>
          <w:sz w:val="24"/>
        </w:rPr>
        <w:t>.</w:t>
      </w:r>
    </w:p>
    <w:p w14:paraId="5FEC1B0B" w14:textId="7FD66250" w:rsidR="001F2955" w:rsidRDefault="001F2955" w:rsidP="00093A04">
      <w:pPr>
        <w:jc w:val="center"/>
      </w:pPr>
    </w:p>
    <w:p w14:paraId="5E8697CA" w14:textId="77777777" w:rsidR="001F2955" w:rsidRPr="00093A04" w:rsidRDefault="001F2955" w:rsidP="00093A04">
      <w:pPr>
        <w:jc w:val="center"/>
      </w:pPr>
    </w:p>
    <w:p w14:paraId="5F1B09A3" w14:textId="6C79FC9E" w:rsidR="00932A7E" w:rsidRDefault="00932A7E" w:rsidP="001F2955">
      <w:pPr>
        <w:pStyle w:val="Heading6"/>
        <w:spacing w:before="240"/>
      </w:pPr>
      <w:r>
        <w:t>ABSTRACT</w:t>
      </w:r>
    </w:p>
    <w:p w14:paraId="1E1F362F" w14:textId="129A7B76" w:rsidR="00F661AE" w:rsidRPr="00F661AE" w:rsidRDefault="00F661AE" w:rsidP="001F2955">
      <w:pPr>
        <w:pStyle w:val="Abstract"/>
        <w:spacing w:before="240"/>
        <w:rPr>
          <w:i/>
        </w:rPr>
      </w:pPr>
      <w:proofErr w:type="spellStart"/>
      <w:r w:rsidRPr="00F661AE">
        <w:rPr>
          <w:iCs/>
        </w:rPr>
        <w:t>Encouraged</w:t>
      </w:r>
      <w:proofErr w:type="spellEnd"/>
      <w:r w:rsidRPr="00F661AE">
        <w:rPr>
          <w:iCs/>
        </w:rPr>
        <w:t xml:space="preserve"> by the support given to the sustainability agenda globally by the United Nations, Nigeria along with many other countries is slowly focusing on achieving a sustainable built environment. This paper assessed the performance of project managers on sustainable construction of residential estates in Abuja, Nigeria by examining project managers’ perception of their own competence, and the performance of project managers on the sustainable construction of residential estates. Data collected from 26 Project Managers using close-ended-design questionnaires were </w:t>
      </w:r>
      <w:proofErr w:type="spellStart"/>
      <w:r w:rsidRPr="00F661AE">
        <w:rPr>
          <w:iCs/>
        </w:rPr>
        <w:t>analyzed</w:t>
      </w:r>
      <w:proofErr w:type="spellEnd"/>
      <w:r w:rsidRPr="00F661AE">
        <w:rPr>
          <w:iCs/>
        </w:rPr>
        <w:t xml:space="preserve"> through descriptive statistical methods (Mean Score and Relative Importance Index). Historical project data was also obtained on 22 residential estate projects, and was analysed using Percentage analysis. Findings from data analysis revealed that Project Managers rated themselves high in ten competencies and </w:t>
      </w:r>
      <w:r w:rsidRPr="00F661AE">
        <w:rPr>
          <w:bCs/>
          <w:iCs/>
        </w:rPr>
        <w:t xml:space="preserve">moderate in six competencies that include Budgeting, Risk management, and Emotional intelligence. </w:t>
      </w:r>
      <w:r w:rsidRPr="00F661AE">
        <w:rPr>
          <w:iCs/>
        </w:rPr>
        <w:t xml:space="preserve">The competencies of Project Managers </w:t>
      </w:r>
      <w:r w:rsidRPr="00F661AE">
        <w:rPr>
          <w:bCs/>
          <w:iCs/>
        </w:rPr>
        <w:t xml:space="preserve">had the </w:t>
      </w:r>
      <w:r w:rsidRPr="00F661AE">
        <w:rPr>
          <w:iCs/>
        </w:rPr>
        <w:t xml:space="preserve">strongest influence on </w:t>
      </w:r>
      <w:r w:rsidRPr="00F661AE">
        <w:rPr>
          <w:bCs/>
          <w:iCs/>
        </w:rPr>
        <w:t>project quality performance. All three of the traditional ‘iron triangle’ of project performance indices (cost; quality; time) were highly influenced by technical competencies such as Budgeting and Procurement management. it was recommended that Project Managers participate in Continuing Professional Development (CPD) in order to hone their competencies in areas such as Budgeting, Risk management, and Emotional intelligence where some weakness has been identified in this study</w:t>
      </w:r>
      <w:r w:rsidRPr="00F661AE">
        <w:rPr>
          <w:bCs/>
          <w:i/>
        </w:rPr>
        <w:t xml:space="preserve">. </w:t>
      </w:r>
    </w:p>
    <w:p w14:paraId="5DFC2D77" w14:textId="2F36E922" w:rsidR="00932A7E" w:rsidRDefault="00932A7E" w:rsidP="00F661AE">
      <w:pPr>
        <w:pStyle w:val="Abstract"/>
        <w:jc w:val="both"/>
      </w:pPr>
      <w:r>
        <w:t xml:space="preserve"> </w:t>
      </w:r>
      <w:r w:rsidRPr="000F3308">
        <w:rPr>
          <w:b/>
        </w:rPr>
        <w:t>Keywords:</w:t>
      </w:r>
      <w:r>
        <w:t xml:space="preserve"> </w:t>
      </w:r>
      <w:r w:rsidR="00F661AE" w:rsidRPr="00F661AE">
        <w:t>construction, performance, project manager, residential and sustainability</w:t>
      </w:r>
      <w:r w:rsidR="00F661AE">
        <w:t xml:space="preserve">.  </w:t>
      </w:r>
      <w:r w:rsidR="00EB7ED0">
        <w:fldChar w:fldCharType="begin"/>
      </w:r>
      <w:r>
        <w:instrText xml:space="preserve"> XE "keyword 2" \f “k”</w:instrText>
      </w:r>
      <w:r w:rsidR="00EB7ED0">
        <w:fldChar w:fldCharType="end"/>
      </w:r>
    </w:p>
    <w:bookmarkEnd w:id="0"/>
    <w:p w14:paraId="2E69176E" w14:textId="337A0C1E" w:rsidR="00932A7E" w:rsidRDefault="00932A7E" w:rsidP="002F07B6">
      <w:pPr>
        <w:pStyle w:val="Heading3"/>
        <w:tabs>
          <w:tab w:val="left" w:pos="7050"/>
        </w:tabs>
        <w:spacing w:after="60"/>
        <w:ind w:left="0" w:firstLine="0"/>
        <w:jc w:val="both"/>
      </w:pPr>
      <w:r>
        <w:t xml:space="preserve">INTRODUCTION </w:t>
      </w:r>
      <w:r>
        <w:tab/>
      </w:r>
    </w:p>
    <w:p w14:paraId="08FA5577" w14:textId="77777777" w:rsidR="00F661AE" w:rsidRPr="001917F5" w:rsidRDefault="00F661AE" w:rsidP="00F661AE">
      <w:pPr>
        <w:spacing w:line="360" w:lineRule="auto"/>
        <w:jc w:val="both"/>
        <w:rPr>
          <w:rFonts w:eastAsia="Calibri"/>
          <w:sz w:val="24"/>
          <w:szCs w:val="24"/>
        </w:rPr>
      </w:pPr>
      <w:r w:rsidRPr="001917F5">
        <w:rPr>
          <w:rFonts w:eastAsia="Calibri"/>
          <w:sz w:val="24"/>
          <w:szCs w:val="24"/>
        </w:rPr>
        <w:t>Nigeria, like many other countries globally is beginning to focus on achieving a sustainable built environment (</w:t>
      </w:r>
      <w:proofErr w:type="spellStart"/>
      <w:r w:rsidRPr="001917F5">
        <w:rPr>
          <w:rFonts w:eastAsia="Calibri"/>
          <w:sz w:val="24"/>
          <w:szCs w:val="24"/>
        </w:rPr>
        <w:t>Dimuna</w:t>
      </w:r>
      <w:proofErr w:type="spellEnd"/>
      <w:r w:rsidRPr="001917F5">
        <w:rPr>
          <w:rFonts w:eastAsia="Calibri"/>
          <w:sz w:val="24"/>
          <w:szCs w:val="24"/>
        </w:rPr>
        <w:t xml:space="preserve"> and </w:t>
      </w:r>
      <w:proofErr w:type="spellStart"/>
      <w:r w:rsidRPr="001917F5">
        <w:rPr>
          <w:rFonts w:eastAsia="Calibri"/>
          <w:sz w:val="24"/>
          <w:szCs w:val="24"/>
        </w:rPr>
        <w:t>Omatsone</w:t>
      </w:r>
      <w:proofErr w:type="spellEnd"/>
      <w:r w:rsidRPr="001917F5">
        <w:rPr>
          <w:rFonts w:eastAsia="Calibri"/>
          <w:sz w:val="24"/>
          <w:szCs w:val="24"/>
        </w:rPr>
        <w:t xml:space="preserve">, 2010; Akande </w:t>
      </w:r>
      <w:r w:rsidRPr="001917F5">
        <w:rPr>
          <w:rFonts w:eastAsia="Calibri"/>
          <w:i/>
          <w:iCs/>
          <w:sz w:val="24"/>
          <w:szCs w:val="24"/>
        </w:rPr>
        <w:t>et al.</w:t>
      </w:r>
      <w:r w:rsidRPr="001917F5">
        <w:rPr>
          <w:rFonts w:eastAsia="Calibri"/>
          <w:sz w:val="24"/>
          <w:szCs w:val="24"/>
        </w:rPr>
        <w:t xml:space="preserve">, 2015). With the support given to the sustainability agenda by the United Nations, construction professionals have to work towards attaining a high level of satisfaction of occupants’ safety and comfort within the constraints of the sustainable development (SD) agenda requirements. A globally accepted definition of sustainable development provided in the Brundtland Report is ‘meeting the needs of the present without compromising the ability of future generations to meet their own needs’ (WCED, 1987). </w:t>
      </w:r>
    </w:p>
    <w:p w14:paraId="06AD6A62" w14:textId="77777777" w:rsidR="00F661AE" w:rsidRPr="001917F5" w:rsidRDefault="00F661AE" w:rsidP="00F661AE">
      <w:pPr>
        <w:spacing w:line="360" w:lineRule="auto"/>
        <w:jc w:val="both"/>
        <w:rPr>
          <w:rFonts w:eastAsia="Calibri"/>
          <w:sz w:val="24"/>
          <w:szCs w:val="24"/>
        </w:rPr>
      </w:pPr>
      <w:r w:rsidRPr="001917F5">
        <w:rPr>
          <w:rFonts w:eastAsia="Calibri"/>
          <w:sz w:val="24"/>
          <w:szCs w:val="24"/>
        </w:rPr>
        <w:t xml:space="preserve">Sustainable development is now a major part of the mission statement of many global organisations, national institutions, corporate companies, states and localities (Kates </w:t>
      </w:r>
      <w:r w:rsidRPr="001917F5">
        <w:rPr>
          <w:rFonts w:eastAsia="Calibri"/>
          <w:i/>
          <w:iCs/>
          <w:sz w:val="24"/>
          <w:szCs w:val="24"/>
        </w:rPr>
        <w:t>et al.</w:t>
      </w:r>
      <w:r w:rsidRPr="001917F5">
        <w:rPr>
          <w:rFonts w:eastAsia="Calibri"/>
          <w:sz w:val="24"/>
          <w:szCs w:val="24"/>
        </w:rPr>
        <w:t xml:space="preserve">, 2005). Buildings play a major role in the degradation of the natural environment (Mora </w:t>
      </w:r>
      <w:r w:rsidRPr="001917F5">
        <w:rPr>
          <w:rFonts w:eastAsia="Calibri"/>
          <w:i/>
          <w:iCs/>
          <w:sz w:val="24"/>
          <w:szCs w:val="24"/>
        </w:rPr>
        <w:t xml:space="preserve">et al., </w:t>
      </w:r>
      <w:r>
        <w:rPr>
          <w:rFonts w:eastAsia="Calibri"/>
          <w:sz w:val="24"/>
          <w:szCs w:val="24"/>
        </w:rPr>
        <w:t xml:space="preserve">2011), through </w:t>
      </w:r>
      <w:r w:rsidRPr="001917F5">
        <w:rPr>
          <w:rFonts w:eastAsia="Calibri"/>
          <w:sz w:val="24"/>
          <w:szCs w:val="24"/>
        </w:rPr>
        <w:t xml:space="preserve">the consumption of major amounts of energy, water, and </w:t>
      </w:r>
      <w:r w:rsidRPr="001917F5">
        <w:rPr>
          <w:rFonts w:eastAsia="Calibri"/>
          <w:sz w:val="24"/>
          <w:szCs w:val="24"/>
        </w:rPr>
        <w:lastRenderedPageBreak/>
        <w:t xml:space="preserve">land usage. </w:t>
      </w:r>
      <w:r>
        <w:rPr>
          <w:rFonts w:eastAsia="Calibri"/>
          <w:sz w:val="24"/>
          <w:szCs w:val="24"/>
        </w:rPr>
        <w:t xml:space="preserve">The </w:t>
      </w:r>
      <w:r w:rsidRPr="001917F5">
        <w:rPr>
          <w:rFonts w:eastAsia="Calibri"/>
          <w:sz w:val="24"/>
          <w:szCs w:val="24"/>
        </w:rPr>
        <w:t xml:space="preserve">high percentage of non-renewable resources consumed </w:t>
      </w:r>
      <w:r>
        <w:rPr>
          <w:rFonts w:eastAsia="Calibri"/>
          <w:sz w:val="24"/>
          <w:szCs w:val="24"/>
        </w:rPr>
        <w:t>by it makes</w:t>
      </w:r>
      <w:r w:rsidRPr="001917F5">
        <w:rPr>
          <w:rFonts w:eastAsia="Calibri"/>
          <w:sz w:val="24"/>
          <w:szCs w:val="24"/>
        </w:rPr>
        <w:t xml:space="preserve"> </w:t>
      </w:r>
      <w:r>
        <w:rPr>
          <w:rFonts w:eastAsia="Calibri"/>
          <w:sz w:val="24"/>
          <w:szCs w:val="24"/>
        </w:rPr>
        <w:t xml:space="preserve">the </w:t>
      </w:r>
      <w:r w:rsidRPr="001917F5">
        <w:rPr>
          <w:rFonts w:eastAsia="Calibri"/>
          <w:sz w:val="24"/>
          <w:szCs w:val="24"/>
        </w:rPr>
        <w:t xml:space="preserve">building industry one of the least sustainable industries (Edwards, 2010). The built environment accounts for 40% of waste and greenhouse gases generated (CIOB, 2004). Buildings use as much as 45% of generated energy for air-conditioning and heating (Reed </w:t>
      </w:r>
      <w:r w:rsidRPr="001917F5">
        <w:rPr>
          <w:rFonts w:eastAsia="Calibri"/>
          <w:i/>
          <w:iCs/>
          <w:sz w:val="24"/>
          <w:szCs w:val="24"/>
        </w:rPr>
        <w:t>et al.</w:t>
      </w:r>
      <w:r>
        <w:rPr>
          <w:rFonts w:eastAsia="Calibri"/>
          <w:sz w:val="24"/>
          <w:szCs w:val="24"/>
        </w:rPr>
        <w:t>, 2011);</w:t>
      </w:r>
      <w:r w:rsidRPr="001917F5">
        <w:rPr>
          <w:rFonts w:eastAsia="Calibri"/>
          <w:sz w:val="24"/>
          <w:szCs w:val="24"/>
        </w:rPr>
        <w:t xml:space="preserve"> one-sixth of the world’s fresh water usage, and one-quarter of wood harvested (Emmanuel, 2004). </w:t>
      </w:r>
    </w:p>
    <w:p w14:paraId="45D6F543" w14:textId="77777777" w:rsidR="00F661AE" w:rsidRPr="001917F5" w:rsidRDefault="00F661AE" w:rsidP="00F661AE">
      <w:pPr>
        <w:spacing w:line="360" w:lineRule="auto"/>
        <w:jc w:val="both"/>
        <w:rPr>
          <w:rFonts w:eastAsia="Calibri"/>
          <w:sz w:val="24"/>
          <w:szCs w:val="24"/>
        </w:rPr>
      </w:pPr>
      <w:r w:rsidRPr="001917F5">
        <w:rPr>
          <w:rFonts w:eastAsia="Calibri"/>
          <w:sz w:val="24"/>
          <w:szCs w:val="24"/>
        </w:rPr>
        <w:t xml:space="preserve">The NCI is </w:t>
      </w:r>
      <w:r>
        <w:rPr>
          <w:rFonts w:eastAsia="Calibri"/>
          <w:sz w:val="24"/>
          <w:szCs w:val="24"/>
        </w:rPr>
        <w:t>bedevilled</w:t>
      </w:r>
      <w:r w:rsidRPr="001917F5">
        <w:rPr>
          <w:rFonts w:eastAsia="Calibri"/>
          <w:sz w:val="24"/>
          <w:szCs w:val="24"/>
        </w:rPr>
        <w:t xml:space="preserve"> with poor design and construction</w:t>
      </w:r>
      <w:r>
        <w:rPr>
          <w:rFonts w:eastAsia="Calibri"/>
          <w:sz w:val="24"/>
          <w:szCs w:val="24"/>
        </w:rPr>
        <w:t xml:space="preserve"> that</w:t>
      </w:r>
      <w:r w:rsidRPr="001917F5">
        <w:rPr>
          <w:rFonts w:eastAsia="Calibri"/>
          <w:sz w:val="24"/>
          <w:szCs w:val="24"/>
        </w:rPr>
        <w:t xml:space="preserve"> use</w:t>
      </w:r>
      <w:r>
        <w:rPr>
          <w:rFonts w:eastAsia="Calibri"/>
          <w:sz w:val="24"/>
          <w:szCs w:val="24"/>
        </w:rPr>
        <w:t>s</w:t>
      </w:r>
      <w:r w:rsidRPr="001917F5">
        <w:rPr>
          <w:rFonts w:eastAsia="Calibri"/>
          <w:sz w:val="24"/>
          <w:szCs w:val="24"/>
        </w:rPr>
        <w:t xml:space="preserve"> harmful </w:t>
      </w:r>
      <w:r>
        <w:rPr>
          <w:rFonts w:eastAsia="Calibri"/>
          <w:sz w:val="24"/>
          <w:szCs w:val="24"/>
        </w:rPr>
        <w:t xml:space="preserve">and </w:t>
      </w:r>
      <w:r w:rsidRPr="001917F5">
        <w:rPr>
          <w:rFonts w:eastAsia="Calibri"/>
          <w:sz w:val="24"/>
          <w:szCs w:val="24"/>
        </w:rPr>
        <w:t xml:space="preserve">non-renewable </w:t>
      </w:r>
      <w:r>
        <w:rPr>
          <w:rFonts w:eastAsia="Calibri"/>
          <w:sz w:val="24"/>
          <w:szCs w:val="24"/>
        </w:rPr>
        <w:t xml:space="preserve">materials </w:t>
      </w:r>
      <w:r w:rsidRPr="001917F5">
        <w:rPr>
          <w:rFonts w:eastAsia="Calibri"/>
          <w:sz w:val="24"/>
          <w:szCs w:val="24"/>
        </w:rPr>
        <w:t>(</w:t>
      </w:r>
      <w:proofErr w:type="spellStart"/>
      <w:r w:rsidRPr="001917F5">
        <w:rPr>
          <w:rFonts w:eastAsia="Calibri"/>
          <w:sz w:val="24"/>
          <w:szCs w:val="24"/>
        </w:rPr>
        <w:t>Abigo</w:t>
      </w:r>
      <w:proofErr w:type="spellEnd"/>
      <w:r w:rsidRPr="001917F5">
        <w:rPr>
          <w:rFonts w:eastAsia="Calibri"/>
          <w:sz w:val="24"/>
          <w:szCs w:val="24"/>
        </w:rPr>
        <w:t xml:space="preserve"> </w:t>
      </w:r>
      <w:r w:rsidRPr="001917F5">
        <w:rPr>
          <w:rFonts w:eastAsia="Calibri"/>
          <w:i/>
          <w:iCs/>
          <w:sz w:val="24"/>
          <w:szCs w:val="24"/>
        </w:rPr>
        <w:t>et al.</w:t>
      </w:r>
      <w:r>
        <w:rPr>
          <w:rFonts w:eastAsia="Calibri"/>
          <w:sz w:val="24"/>
          <w:szCs w:val="24"/>
        </w:rPr>
        <w:t>, 2012), as well as non-</w:t>
      </w:r>
      <w:r w:rsidRPr="001917F5">
        <w:rPr>
          <w:rFonts w:eastAsia="Calibri"/>
          <w:sz w:val="24"/>
          <w:szCs w:val="24"/>
        </w:rPr>
        <w:t>adhere</w:t>
      </w:r>
      <w:r>
        <w:rPr>
          <w:rFonts w:eastAsia="Calibri"/>
          <w:sz w:val="24"/>
          <w:szCs w:val="24"/>
        </w:rPr>
        <w:t>nce</w:t>
      </w:r>
      <w:r w:rsidRPr="001917F5">
        <w:rPr>
          <w:rFonts w:eastAsia="Calibri"/>
          <w:sz w:val="24"/>
          <w:szCs w:val="24"/>
        </w:rPr>
        <w:t xml:space="preserve"> to building practices that </w:t>
      </w:r>
      <w:r>
        <w:rPr>
          <w:rFonts w:eastAsia="Calibri"/>
          <w:sz w:val="24"/>
          <w:szCs w:val="24"/>
        </w:rPr>
        <w:t>result in</w:t>
      </w:r>
      <w:r w:rsidRPr="001917F5">
        <w:rPr>
          <w:rFonts w:eastAsia="Calibri"/>
          <w:sz w:val="24"/>
          <w:szCs w:val="24"/>
        </w:rPr>
        <w:t xml:space="preserve"> functional, healthy, </w:t>
      </w:r>
      <w:r>
        <w:rPr>
          <w:rFonts w:eastAsia="Calibri"/>
          <w:sz w:val="24"/>
          <w:szCs w:val="24"/>
        </w:rPr>
        <w:t>and fit-for-</w:t>
      </w:r>
      <w:r w:rsidRPr="001917F5">
        <w:rPr>
          <w:rFonts w:eastAsia="Calibri"/>
          <w:sz w:val="24"/>
          <w:szCs w:val="24"/>
        </w:rPr>
        <w:t>purpose buildings (</w:t>
      </w:r>
      <w:proofErr w:type="spellStart"/>
      <w:r w:rsidRPr="001917F5">
        <w:rPr>
          <w:rFonts w:eastAsia="Calibri"/>
          <w:sz w:val="24"/>
          <w:szCs w:val="24"/>
        </w:rPr>
        <w:t>Jiboye</w:t>
      </w:r>
      <w:proofErr w:type="spellEnd"/>
      <w:r w:rsidRPr="001917F5">
        <w:rPr>
          <w:rFonts w:eastAsia="Calibri"/>
          <w:sz w:val="24"/>
          <w:szCs w:val="24"/>
        </w:rPr>
        <w:t xml:space="preserve">, 2012). </w:t>
      </w:r>
      <w:proofErr w:type="spellStart"/>
      <w:r>
        <w:rPr>
          <w:rFonts w:eastAsia="Calibri"/>
          <w:sz w:val="24"/>
          <w:szCs w:val="24"/>
        </w:rPr>
        <w:t>Adejimi</w:t>
      </w:r>
      <w:proofErr w:type="spellEnd"/>
      <w:r>
        <w:rPr>
          <w:rFonts w:eastAsia="Calibri"/>
          <w:sz w:val="24"/>
          <w:szCs w:val="24"/>
        </w:rPr>
        <w:t xml:space="preserve"> (2005)</w:t>
      </w:r>
      <w:r w:rsidRPr="001917F5">
        <w:rPr>
          <w:rFonts w:eastAsia="Calibri"/>
          <w:sz w:val="24"/>
          <w:szCs w:val="24"/>
        </w:rPr>
        <w:t xml:space="preserve"> </w:t>
      </w:r>
      <w:r>
        <w:rPr>
          <w:rFonts w:eastAsia="Calibri"/>
          <w:sz w:val="24"/>
          <w:szCs w:val="24"/>
        </w:rPr>
        <w:t>noted that</w:t>
      </w:r>
      <w:r w:rsidRPr="001917F5">
        <w:rPr>
          <w:rFonts w:eastAsia="Calibri"/>
          <w:sz w:val="24"/>
          <w:szCs w:val="24"/>
        </w:rPr>
        <w:t xml:space="preserve"> none of the building professionals in the </w:t>
      </w:r>
      <w:r>
        <w:rPr>
          <w:rFonts w:eastAsia="Calibri"/>
          <w:sz w:val="24"/>
          <w:szCs w:val="24"/>
        </w:rPr>
        <w:t>NCI</w:t>
      </w:r>
      <w:r w:rsidRPr="001917F5">
        <w:rPr>
          <w:rFonts w:eastAsia="Calibri"/>
          <w:sz w:val="24"/>
          <w:szCs w:val="24"/>
        </w:rPr>
        <w:t xml:space="preserve"> takes responsibility for unsustainable and unsatisfactory buildings. The project manager, who only coordinates the process of design and construction, is left in a frustrating position. This paper</w:t>
      </w:r>
      <w:r>
        <w:rPr>
          <w:rFonts w:eastAsia="Calibri"/>
          <w:sz w:val="24"/>
          <w:szCs w:val="24"/>
        </w:rPr>
        <w:t xml:space="preserve"> </w:t>
      </w:r>
      <w:r w:rsidRPr="001917F5">
        <w:rPr>
          <w:rFonts w:eastAsia="Calibri"/>
          <w:sz w:val="24"/>
          <w:szCs w:val="24"/>
        </w:rPr>
        <w:t xml:space="preserve">focuses on the </w:t>
      </w:r>
      <w:r>
        <w:rPr>
          <w:rFonts w:eastAsia="Calibri"/>
          <w:sz w:val="24"/>
          <w:szCs w:val="24"/>
        </w:rPr>
        <w:t xml:space="preserve">competency and performance of the </w:t>
      </w:r>
      <w:r w:rsidRPr="001917F5">
        <w:rPr>
          <w:rFonts w:eastAsia="Calibri"/>
          <w:sz w:val="24"/>
          <w:szCs w:val="24"/>
        </w:rPr>
        <w:t>project manager at the construction stage</w:t>
      </w:r>
      <w:r>
        <w:rPr>
          <w:rFonts w:eastAsia="Calibri"/>
          <w:sz w:val="24"/>
          <w:szCs w:val="24"/>
        </w:rPr>
        <w:t xml:space="preserve">; the aim is </w:t>
      </w:r>
      <w:r w:rsidRPr="001917F5">
        <w:rPr>
          <w:rFonts w:eastAsia="Calibri"/>
          <w:sz w:val="24"/>
          <w:szCs w:val="24"/>
        </w:rPr>
        <w:t>to assess the performance of project managers on sustainable cons</w:t>
      </w:r>
      <w:r>
        <w:rPr>
          <w:rFonts w:eastAsia="Calibri"/>
          <w:sz w:val="24"/>
          <w:szCs w:val="24"/>
        </w:rPr>
        <w:t xml:space="preserve">truction of residential estates </w:t>
      </w:r>
      <w:r w:rsidRPr="001917F5">
        <w:rPr>
          <w:rFonts w:eastAsia="Calibri"/>
          <w:sz w:val="24"/>
          <w:szCs w:val="24"/>
        </w:rPr>
        <w:t>in Abuja, Nigeria, with a view to enhancing sustainability in mass housing delivery. As a means of achieving this aim, this paper examined: (</w:t>
      </w:r>
      <w:proofErr w:type="spellStart"/>
      <w:r w:rsidRPr="001917F5">
        <w:rPr>
          <w:rFonts w:eastAsia="Calibri"/>
          <w:sz w:val="24"/>
          <w:szCs w:val="24"/>
        </w:rPr>
        <w:t>i</w:t>
      </w:r>
      <w:proofErr w:type="spellEnd"/>
      <w:r w:rsidRPr="001917F5">
        <w:rPr>
          <w:rFonts w:eastAsia="Calibri"/>
          <w:sz w:val="24"/>
          <w:szCs w:val="24"/>
        </w:rPr>
        <w:t>) project managers</w:t>
      </w:r>
      <w:r>
        <w:rPr>
          <w:rFonts w:eastAsia="Calibri"/>
          <w:sz w:val="24"/>
          <w:szCs w:val="24"/>
        </w:rPr>
        <w:t>’ perception of their competency</w:t>
      </w:r>
      <w:r w:rsidRPr="001917F5">
        <w:rPr>
          <w:rFonts w:eastAsia="Calibri"/>
          <w:sz w:val="24"/>
          <w:szCs w:val="24"/>
        </w:rPr>
        <w:t>, and (ii) project managers’ performance on the sustainable con</w:t>
      </w:r>
      <w:r>
        <w:rPr>
          <w:rFonts w:eastAsia="Calibri"/>
          <w:sz w:val="24"/>
          <w:szCs w:val="24"/>
        </w:rPr>
        <w:t>struction of residential estate projects</w:t>
      </w:r>
      <w:r w:rsidRPr="001917F5">
        <w:rPr>
          <w:rFonts w:eastAsia="Calibri"/>
          <w:sz w:val="24"/>
          <w:szCs w:val="24"/>
        </w:rPr>
        <w:t xml:space="preserve">. </w:t>
      </w:r>
    </w:p>
    <w:p w14:paraId="628BE600" w14:textId="77777777" w:rsidR="00F661AE" w:rsidRDefault="00F661AE" w:rsidP="00F661AE">
      <w:pPr>
        <w:spacing w:line="360" w:lineRule="auto"/>
        <w:rPr>
          <w:rFonts w:eastAsia="Calibri"/>
          <w:b/>
          <w:sz w:val="24"/>
          <w:szCs w:val="24"/>
        </w:rPr>
      </w:pPr>
    </w:p>
    <w:p w14:paraId="2C0385F6" w14:textId="77777777" w:rsidR="00F661AE" w:rsidRPr="001917F5" w:rsidRDefault="00F661AE" w:rsidP="00F661AE">
      <w:pPr>
        <w:spacing w:line="360" w:lineRule="auto"/>
        <w:rPr>
          <w:rFonts w:eastAsia="Calibri"/>
          <w:b/>
          <w:sz w:val="24"/>
          <w:szCs w:val="24"/>
        </w:rPr>
      </w:pPr>
    </w:p>
    <w:p w14:paraId="1E3700CA" w14:textId="77777777" w:rsidR="00F661AE" w:rsidRPr="001917F5" w:rsidRDefault="00F661AE" w:rsidP="00F661AE">
      <w:pPr>
        <w:spacing w:line="360" w:lineRule="auto"/>
        <w:rPr>
          <w:rFonts w:eastAsia="Calibri"/>
          <w:b/>
          <w:sz w:val="24"/>
          <w:szCs w:val="24"/>
        </w:rPr>
      </w:pPr>
      <w:r w:rsidRPr="001917F5">
        <w:rPr>
          <w:rFonts w:eastAsia="Calibri"/>
          <w:b/>
          <w:sz w:val="24"/>
          <w:szCs w:val="24"/>
        </w:rPr>
        <w:t>LITERATURE REVIEW</w:t>
      </w:r>
    </w:p>
    <w:p w14:paraId="3F2617BB" w14:textId="77777777" w:rsidR="00F661AE" w:rsidRPr="001917F5" w:rsidRDefault="00F661AE" w:rsidP="00F661AE">
      <w:pPr>
        <w:spacing w:line="360" w:lineRule="auto"/>
        <w:jc w:val="both"/>
        <w:rPr>
          <w:rFonts w:eastAsia="Calibri"/>
          <w:b/>
          <w:sz w:val="24"/>
          <w:szCs w:val="24"/>
        </w:rPr>
      </w:pPr>
      <w:r w:rsidRPr="001917F5">
        <w:rPr>
          <w:rFonts w:eastAsia="Calibri"/>
          <w:b/>
          <w:sz w:val="24"/>
          <w:szCs w:val="24"/>
        </w:rPr>
        <w:t xml:space="preserve">Sustainable Construction </w:t>
      </w:r>
    </w:p>
    <w:p w14:paraId="33692C50" w14:textId="77777777" w:rsidR="00F661AE" w:rsidRDefault="00F661AE" w:rsidP="00F661AE">
      <w:pPr>
        <w:spacing w:line="360" w:lineRule="auto"/>
        <w:jc w:val="both"/>
        <w:rPr>
          <w:rFonts w:eastAsia="Calibri"/>
          <w:sz w:val="24"/>
          <w:szCs w:val="24"/>
        </w:rPr>
      </w:pPr>
      <w:r w:rsidRPr="001917F5">
        <w:rPr>
          <w:rFonts w:eastAsia="Calibri"/>
          <w:sz w:val="24"/>
          <w:szCs w:val="24"/>
        </w:rPr>
        <w:t xml:space="preserve">Sustainable development and environmental protection have become a major focus for governments </w:t>
      </w:r>
      <w:r>
        <w:rPr>
          <w:rFonts w:eastAsia="Calibri"/>
          <w:sz w:val="24"/>
          <w:szCs w:val="24"/>
        </w:rPr>
        <w:t>based on</w:t>
      </w:r>
      <w:r w:rsidRPr="001917F5">
        <w:rPr>
          <w:rFonts w:eastAsia="Calibri"/>
          <w:sz w:val="24"/>
          <w:szCs w:val="24"/>
        </w:rPr>
        <w:t xml:space="preserve"> scientific evidence that existing buildings consume a high amount of energy and materials, while also releasing significant quantities of harmful greenhouse gases (</w:t>
      </w:r>
      <w:proofErr w:type="spellStart"/>
      <w:r w:rsidRPr="001917F5">
        <w:rPr>
          <w:rFonts w:eastAsia="Calibri"/>
          <w:sz w:val="24"/>
          <w:szCs w:val="24"/>
        </w:rPr>
        <w:t>Thilakaratne</w:t>
      </w:r>
      <w:proofErr w:type="spellEnd"/>
      <w:r w:rsidRPr="001917F5">
        <w:rPr>
          <w:rFonts w:eastAsia="Calibri"/>
          <w:sz w:val="24"/>
          <w:szCs w:val="24"/>
        </w:rPr>
        <w:t xml:space="preserve"> and Lew, 2011). Efforts to reduce the ecological footprint of the construction industry threw up green building during the green movement of the 1970s to 1980s (Retzlaff, 2010). The underlying principle has been to find alternatives to traditional construction; such new methods of construction must save energy and reduce environmental pollution. Accordingly, green building construction (GBC) is another way of describing sustainable construction</w:t>
      </w:r>
      <w:r>
        <w:rPr>
          <w:rFonts w:eastAsia="Calibri"/>
          <w:sz w:val="24"/>
          <w:szCs w:val="24"/>
        </w:rPr>
        <w:t xml:space="preserve"> (SC)</w:t>
      </w:r>
      <w:r w:rsidRPr="001917F5">
        <w:rPr>
          <w:rFonts w:eastAsia="Calibri"/>
          <w:sz w:val="24"/>
          <w:szCs w:val="24"/>
        </w:rPr>
        <w:t xml:space="preserve">, which is an important means of reducing environmental pollution and </w:t>
      </w:r>
      <w:r>
        <w:rPr>
          <w:rFonts w:eastAsia="Calibri"/>
          <w:sz w:val="24"/>
          <w:szCs w:val="24"/>
        </w:rPr>
        <w:t xml:space="preserve">improving quality of life (Tan </w:t>
      </w:r>
      <w:r w:rsidRPr="00683132">
        <w:rPr>
          <w:rFonts w:eastAsia="Calibri"/>
          <w:i/>
          <w:sz w:val="24"/>
          <w:szCs w:val="24"/>
        </w:rPr>
        <w:t>et al</w:t>
      </w:r>
      <w:r>
        <w:rPr>
          <w:rFonts w:eastAsia="Calibri"/>
          <w:sz w:val="24"/>
          <w:szCs w:val="24"/>
        </w:rPr>
        <w:t>.</w:t>
      </w:r>
      <w:r w:rsidRPr="001917F5">
        <w:rPr>
          <w:rFonts w:eastAsia="Calibri"/>
          <w:sz w:val="24"/>
          <w:szCs w:val="24"/>
        </w:rPr>
        <w:t xml:space="preserve">, 2011). </w:t>
      </w:r>
      <w:r>
        <w:rPr>
          <w:rFonts w:eastAsia="Calibri"/>
          <w:sz w:val="24"/>
          <w:szCs w:val="24"/>
        </w:rPr>
        <w:t>SC</w:t>
      </w:r>
      <w:r w:rsidRPr="001917F5">
        <w:rPr>
          <w:rFonts w:eastAsia="Calibri"/>
          <w:sz w:val="24"/>
          <w:szCs w:val="24"/>
        </w:rPr>
        <w:t xml:space="preserve"> has been touted as a significant measure to mitigate the significant (and mostly negative) impacts of the building stock on the environment, </w:t>
      </w:r>
      <w:r w:rsidRPr="001917F5">
        <w:rPr>
          <w:rFonts w:eastAsia="Calibri"/>
          <w:sz w:val="24"/>
          <w:szCs w:val="24"/>
        </w:rPr>
        <w:lastRenderedPageBreak/>
        <w:t>society, and economy (</w:t>
      </w:r>
      <w:proofErr w:type="spellStart"/>
      <w:r w:rsidRPr="001917F5">
        <w:rPr>
          <w:rFonts w:eastAsia="Calibri"/>
          <w:sz w:val="24"/>
          <w:szCs w:val="24"/>
        </w:rPr>
        <w:t>Zuo</w:t>
      </w:r>
      <w:proofErr w:type="spellEnd"/>
      <w:r w:rsidRPr="001917F5">
        <w:rPr>
          <w:rFonts w:eastAsia="Calibri"/>
          <w:sz w:val="24"/>
          <w:szCs w:val="24"/>
        </w:rPr>
        <w:t xml:space="preserve"> and Zhao, 2014). The theoretical and practical aim of green building or sustainable construction is to design and construct buildings using recycled materials, less water, less energy, and resource </w:t>
      </w:r>
      <w:r>
        <w:rPr>
          <w:rFonts w:eastAsia="Calibri"/>
          <w:sz w:val="24"/>
          <w:szCs w:val="24"/>
        </w:rPr>
        <w:t>efficient techniques (</w:t>
      </w:r>
      <w:proofErr w:type="spellStart"/>
      <w:r>
        <w:rPr>
          <w:rFonts w:eastAsia="Calibri"/>
          <w:sz w:val="24"/>
          <w:szCs w:val="24"/>
        </w:rPr>
        <w:t>Olubunmi</w:t>
      </w:r>
      <w:proofErr w:type="spellEnd"/>
      <w:r>
        <w:rPr>
          <w:rFonts w:eastAsia="Calibri"/>
          <w:sz w:val="24"/>
          <w:szCs w:val="24"/>
        </w:rPr>
        <w:t xml:space="preserve"> </w:t>
      </w:r>
      <w:r w:rsidRPr="00683132">
        <w:rPr>
          <w:rFonts w:eastAsia="Calibri"/>
          <w:i/>
          <w:sz w:val="24"/>
          <w:szCs w:val="24"/>
        </w:rPr>
        <w:t>et al</w:t>
      </w:r>
      <w:r>
        <w:rPr>
          <w:rFonts w:eastAsia="Calibri"/>
          <w:sz w:val="24"/>
          <w:szCs w:val="24"/>
        </w:rPr>
        <w:t xml:space="preserve">., </w:t>
      </w:r>
      <w:r w:rsidRPr="001917F5">
        <w:rPr>
          <w:rFonts w:eastAsia="Calibri"/>
          <w:sz w:val="24"/>
          <w:szCs w:val="24"/>
        </w:rPr>
        <w:t xml:space="preserve">2016). </w:t>
      </w:r>
    </w:p>
    <w:p w14:paraId="64D5C88F" w14:textId="77777777" w:rsidR="00F661AE" w:rsidRPr="001917F5" w:rsidRDefault="00F661AE" w:rsidP="00F661AE">
      <w:pPr>
        <w:spacing w:line="360" w:lineRule="auto"/>
        <w:jc w:val="both"/>
        <w:rPr>
          <w:rFonts w:eastAsia="Calibri"/>
          <w:sz w:val="24"/>
          <w:szCs w:val="24"/>
        </w:rPr>
      </w:pPr>
      <w:r w:rsidRPr="001917F5">
        <w:rPr>
          <w:rFonts w:eastAsia="Calibri"/>
          <w:sz w:val="24"/>
          <w:szCs w:val="24"/>
        </w:rPr>
        <w:t xml:space="preserve">The success of </w:t>
      </w:r>
      <w:r>
        <w:rPr>
          <w:rFonts w:eastAsia="Calibri"/>
          <w:sz w:val="24"/>
          <w:szCs w:val="24"/>
        </w:rPr>
        <w:t xml:space="preserve">SC </w:t>
      </w:r>
      <w:r w:rsidRPr="001917F5">
        <w:rPr>
          <w:rFonts w:eastAsia="Calibri"/>
          <w:sz w:val="24"/>
          <w:szCs w:val="24"/>
        </w:rPr>
        <w:t>projects is measured by a wide range of indicators primarily because of differences in cultural and climatic con</w:t>
      </w:r>
      <w:r>
        <w:rPr>
          <w:rFonts w:eastAsia="Calibri"/>
          <w:sz w:val="24"/>
          <w:szCs w:val="24"/>
        </w:rPr>
        <w:t xml:space="preserve">ditions across the globe. Sang </w:t>
      </w:r>
      <w:r w:rsidRPr="00683132">
        <w:rPr>
          <w:rFonts w:eastAsia="Calibri"/>
          <w:i/>
          <w:sz w:val="24"/>
          <w:szCs w:val="24"/>
        </w:rPr>
        <w:t>et al</w:t>
      </w:r>
      <w:r>
        <w:rPr>
          <w:rFonts w:eastAsia="Calibri"/>
          <w:sz w:val="24"/>
          <w:szCs w:val="24"/>
        </w:rPr>
        <w:t xml:space="preserve">. </w:t>
      </w:r>
      <w:r w:rsidRPr="001917F5">
        <w:rPr>
          <w:rFonts w:eastAsia="Calibri"/>
          <w:sz w:val="24"/>
          <w:szCs w:val="24"/>
        </w:rPr>
        <w:t>(2018) found through literature analysis that the various definitions of the key success indicators all aim at minimal destruction of the environmental system. The United Kingdom in 1990</w:t>
      </w:r>
      <w:r>
        <w:rPr>
          <w:rFonts w:eastAsia="Calibri"/>
          <w:sz w:val="24"/>
          <w:szCs w:val="24"/>
        </w:rPr>
        <w:t xml:space="preserve"> </w:t>
      </w:r>
      <w:r w:rsidRPr="001917F5">
        <w:rPr>
          <w:rFonts w:eastAsia="Calibri"/>
          <w:sz w:val="24"/>
          <w:szCs w:val="24"/>
        </w:rPr>
        <w:t>established the first environmental certification system, the Building Research Establishment Environmental Assessment Method (BREEAM); it covered nine aspects: management, health, and comfort, energy, transportation, water, materials, land use and ecology, garbage, and pollution (Lee and Burnett, 2008). Globally, the most widely used evaluation system for sustainable construction is The Leadership in Energy &amp; Environmental Design (LEED) rating system. LEED consists of seven systems and multiple indicators, namely sustainable building sites, water efficiency, energy and atmosphere, resources and materials, indoor air quality, innovations in design, and regional priority (</w:t>
      </w:r>
      <w:proofErr w:type="spellStart"/>
      <w:r w:rsidRPr="001917F5">
        <w:rPr>
          <w:rFonts w:eastAsia="Calibri"/>
          <w:sz w:val="24"/>
          <w:szCs w:val="24"/>
        </w:rPr>
        <w:t>Suzer</w:t>
      </w:r>
      <w:proofErr w:type="spellEnd"/>
      <w:r w:rsidRPr="001917F5">
        <w:rPr>
          <w:rFonts w:eastAsia="Calibri"/>
          <w:sz w:val="24"/>
          <w:szCs w:val="24"/>
        </w:rPr>
        <w:t xml:space="preserve">, 2015). There are </w:t>
      </w:r>
      <w:r>
        <w:rPr>
          <w:rFonts w:eastAsia="Calibri"/>
          <w:sz w:val="24"/>
          <w:szCs w:val="24"/>
        </w:rPr>
        <w:t>many</w:t>
      </w:r>
      <w:r w:rsidRPr="001917F5">
        <w:rPr>
          <w:rFonts w:eastAsia="Calibri"/>
          <w:sz w:val="24"/>
          <w:szCs w:val="24"/>
        </w:rPr>
        <w:t xml:space="preserve"> </w:t>
      </w:r>
      <w:r>
        <w:rPr>
          <w:rFonts w:eastAsia="Calibri"/>
          <w:sz w:val="24"/>
          <w:szCs w:val="24"/>
        </w:rPr>
        <w:t xml:space="preserve">similar </w:t>
      </w:r>
      <w:r w:rsidRPr="001917F5">
        <w:rPr>
          <w:rFonts w:eastAsia="Calibri"/>
          <w:sz w:val="24"/>
          <w:szCs w:val="24"/>
        </w:rPr>
        <w:t xml:space="preserve">evaluation systems </w:t>
      </w:r>
      <w:r>
        <w:rPr>
          <w:rFonts w:eastAsia="Calibri"/>
          <w:sz w:val="24"/>
          <w:szCs w:val="24"/>
        </w:rPr>
        <w:t>such as</w:t>
      </w:r>
      <w:r w:rsidRPr="001917F5">
        <w:rPr>
          <w:rFonts w:eastAsia="Calibri"/>
          <w:sz w:val="24"/>
          <w:szCs w:val="24"/>
        </w:rPr>
        <w:t xml:space="preserve"> the Comprehensive Assessment System for Built Environment Efficiency (CASBEE) in Japan, the German Sustainable Building Council (DGNB) in Germany, and the Building Environmental Assessment Method (BEAM) in Hong Kong. </w:t>
      </w:r>
    </w:p>
    <w:p w14:paraId="787C0B6F" w14:textId="77777777" w:rsidR="00F661AE" w:rsidRPr="001917F5" w:rsidRDefault="00F661AE" w:rsidP="00F661AE">
      <w:pPr>
        <w:spacing w:line="360" w:lineRule="auto"/>
        <w:jc w:val="both"/>
        <w:rPr>
          <w:rFonts w:eastAsia="Calibri"/>
          <w:sz w:val="24"/>
          <w:szCs w:val="24"/>
        </w:rPr>
      </w:pPr>
      <w:r w:rsidRPr="001917F5">
        <w:rPr>
          <w:rFonts w:eastAsia="Calibri"/>
          <w:sz w:val="24"/>
          <w:szCs w:val="24"/>
        </w:rPr>
        <w:t>Sustainable construction has been studied from different perspective</w:t>
      </w:r>
      <w:r>
        <w:rPr>
          <w:rFonts w:eastAsia="Calibri"/>
          <w:sz w:val="24"/>
          <w:szCs w:val="24"/>
        </w:rPr>
        <w:t>s</w:t>
      </w:r>
      <w:r w:rsidRPr="001917F5">
        <w:rPr>
          <w:rFonts w:eastAsia="Calibri"/>
          <w:sz w:val="24"/>
          <w:szCs w:val="24"/>
        </w:rPr>
        <w:t xml:space="preserve">. </w:t>
      </w:r>
      <w:proofErr w:type="spellStart"/>
      <w:r w:rsidRPr="001917F5">
        <w:rPr>
          <w:rFonts w:eastAsia="Calibri"/>
          <w:sz w:val="24"/>
          <w:szCs w:val="24"/>
        </w:rPr>
        <w:t>Tabassi</w:t>
      </w:r>
      <w:proofErr w:type="spellEnd"/>
      <w:r w:rsidRPr="001917F5">
        <w:rPr>
          <w:rFonts w:eastAsia="Calibri"/>
          <w:sz w:val="24"/>
          <w:szCs w:val="24"/>
        </w:rPr>
        <w:t xml:space="preserve"> </w:t>
      </w:r>
      <w:r w:rsidRPr="00683132">
        <w:rPr>
          <w:rFonts w:eastAsia="Calibri"/>
          <w:i/>
          <w:sz w:val="24"/>
          <w:szCs w:val="24"/>
        </w:rPr>
        <w:t>et al</w:t>
      </w:r>
      <w:r>
        <w:rPr>
          <w:rFonts w:eastAsia="Calibri"/>
          <w:sz w:val="24"/>
          <w:szCs w:val="24"/>
        </w:rPr>
        <w:t>. (</w:t>
      </w:r>
      <w:r w:rsidRPr="001917F5">
        <w:rPr>
          <w:rFonts w:eastAsia="Calibri"/>
          <w:sz w:val="24"/>
          <w:szCs w:val="24"/>
        </w:rPr>
        <w:t>2016</w:t>
      </w:r>
      <w:r>
        <w:rPr>
          <w:rFonts w:eastAsia="Calibri"/>
          <w:sz w:val="24"/>
          <w:szCs w:val="24"/>
        </w:rPr>
        <w:t xml:space="preserve">) </w:t>
      </w:r>
      <w:r w:rsidRPr="001917F5">
        <w:rPr>
          <w:rFonts w:eastAsia="Calibri"/>
          <w:sz w:val="24"/>
          <w:szCs w:val="24"/>
        </w:rPr>
        <w:t>studied project manager leadership i</w:t>
      </w:r>
      <w:r>
        <w:rPr>
          <w:rFonts w:eastAsia="Calibri"/>
          <w:sz w:val="24"/>
          <w:szCs w:val="24"/>
        </w:rPr>
        <w:t>n sustainable building projects and identified</w:t>
      </w:r>
      <w:r w:rsidRPr="001917F5">
        <w:rPr>
          <w:rFonts w:eastAsia="Calibri"/>
          <w:sz w:val="24"/>
          <w:szCs w:val="24"/>
        </w:rPr>
        <w:t xml:space="preserve"> six groups of success indicators: energy efficiency, indoor environmental quality, sustainable site planning and management, materials and resources, water efficiency, and innovation. </w:t>
      </w:r>
      <w:proofErr w:type="spellStart"/>
      <w:r>
        <w:rPr>
          <w:rFonts w:eastAsia="Calibri"/>
          <w:sz w:val="24"/>
          <w:szCs w:val="24"/>
        </w:rPr>
        <w:t>Mattoni</w:t>
      </w:r>
      <w:proofErr w:type="spellEnd"/>
      <w:r>
        <w:rPr>
          <w:rFonts w:eastAsia="Calibri"/>
          <w:sz w:val="24"/>
          <w:szCs w:val="24"/>
        </w:rPr>
        <w:t xml:space="preserve"> </w:t>
      </w:r>
      <w:r w:rsidRPr="00683132">
        <w:rPr>
          <w:rFonts w:eastAsia="Calibri"/>
          <w:i/>
          <w:sz w:val="24"/>
          <w:szCs w:val="24"/>
        </w:rPr>
        <w:t>et al</w:t>
      </w:r>
      <w:r>
        <w:rPr>
          <w:rFonts w:eastAsia="Calibri"/>
          <w:sz w:val="24"/>
          <w:szCs w:val="24"/>
        </w:rPr>
        <w:t xml:space="preserve">. </w:t>
      </w:r>
      <w:r w:rsidRPr="001917F5">
        <w:rPr>
          <w:rFonts w:eastAsia="Calibri"/>
          <w:sz w:val="24"/>
          <w:szCs w:val="24"/>
        </w:rPr>
        <w:t xml:space="preserve">(2018) defined six macro-indicator groups (site, water, energy, comfort and safety, materials and outdoor quality) derived from a comparative study of various evaluation systems. The multiplicity of </w:t>
      </w:r>
      <w:r>
        <w:rPr>
          <w:rFonts w:eastAsia="Calibri"/>
          <w:sz w:val="24"/>
          <w:szCs w:val="24"/>
        </w:rPr>
        <w:t>SC</w:t>
      </w:r>
      <w:r w:rsidRPr="001917F5">
        <w:rPr>
          <w:rFonts w:eastAsia="Calibri"/>
          <w:sz w:val="24"/>
          <w:szCs w:val="24"/>
        </w:rPr>
        <w:t xml:space="preserve"> standards in China was studied by </w:t>
      </w:r>
      <w:r>
        <w:rPr>
          <w:rFonts w:eastAsia="Calibri"/>
          <w:sz w:val="24"/>
          <w:szCs w:val="24"/>
        </w:rPr>
        <w:t xml:space="preserve">Ye </w:t>
      </w:r>
      <w:r w:rsidRPr="00683132">
        <w:rPr>
          <w:rFonts w:eastAsia="Calibri"/>
          <w:i/>
          <w:sz w:val="24"/>
          <w:szCs w:val="24"/>
        </w:rPr>
        <w:t>et al</w:t>
      </w:r>
      <w:r>
        <w:rPr>
          <w:rFonts w:eastAsia="Calibri"/>
          <w:sz w:val="24"/>
          <w:szCs w:val="24"/>
        </w:rPr>
        <w:t xml:space="preserve">. </w:t>
      </w:r>
      <w:r w:rsidRPr="001917F5">
        <w:rPr>
          <w:rFonts w:eastAsia="Calibri"/>
          <w:sz w:val="24"/>
          <w:szCs w:val="24"/>
        </w:rPr>
        <w:t>(2015)</w:t>
      </w:r>
      <w:r>
        <w:rPr>
          <w:rFonts w:eastAsia="Calibri"/>
          <w:sz w:val="24"/>
          <w:szCs w:val="24"/>
        </w:rPr>
        <w:t xml:space="preserve"> and </w:t>
      </w:r>
      <w:r w:rsidRPr="001917F5">
        <w:rPr>
          <w:rFonts w:eastAsia="Calibri"/>
          <w:sz w:val="24"/>
          <w:szCs w:val="24"/>
        </w:rPr>
        <w:t>revealed the existence of 17 national and trade standards and more than 50 local standards.</w:t>
      </w:r>
      <w:r>
        <w:rPr>
          <w:rFonts w:eastAsia="Calibri"/>
          <w:sz w:val="24"/>
          <w:szCs w:val="24"/>
        </w:rPr>
        <w:t xml:space="preserve"> </w:t>
      </w:r>
      <w:r w:rsidRPr="001917F5">
        <w:rPr>
          <w:rFonts w:eastAsia="Calibri"/>
          <w:sz w:val="24"/>
          <w:szCs w:val="24"/>
        </w:rPr>
        <w:t xml:space="preserve">The results of Sang </w:t>
      </w:r>
      <w:r w:rsidRPr="00683132">
        <w:rPr>
          <w:rFonts w:eastAsia="Calibri"/>
          <w:i/>
          <w:sz w:val="24"/>
          <w:szCs w:val="24"/>
        </w:rPr>
        <w:t>et al</w:t>
      </w:r>
      <w:r>
        <w:rPr>
          <w:rFonts w:eastAsia="Calibri"/>
          <w:sz w:val="24"/>
          <w:szCs w:val="24"/>
        </w:rPr>
        <w:t>.</w:t>
      </w:r>
      <w:r w:rsidRPr="001917F5">
        <w:rPr>
          <w:rFonts w:eastAsia="Calibri"/>
          <w:sz w:val="24"/>
          <w:szCs w:val="24"/>
        </w:rPr>
        <w:t xml:space="preserve"> (2018) demonstrated that Leadership and organization, Target management, and Emotional intelligence of project managers are important factors that affect </w:t>
      </w:r>
      <w:r>
        <w:rPr>
          <w:rFonts w:eastAsia="Calibri"/>
          <w:sz w:val="24"/>
          <w:szCs w:val="24"/>
        </w:rPr>
        <w:t>SC</w:t>
      </w:r>
      <w:r w:rsidRPr="001917F5">
        <w:rPr>
          <w:rFonts w:eastAsia="Calibri"/>
          <w:sz w:val="24"/>
          <w:szCs w:val="24"/>
        </w:rPr>
        <w:t xml:space="preserve"> performance.</w:t>
      </w:r>
    </w:p>
    <w:p w14:paraId="6CFEC74B" w14:textId="77777777" w:rsidR="007C6DAC" w:rsidRDefault="007C6DAC" w:rsidP="00F661AE">
      <w:pPr>
        <w:spacing w:line="360" w:lineRule="auto"/>
        <w:jc w:val="both"/>
        <w:rPr>
          <w:rFonts w:eastAsia="Calibri"/>
          <w:b/>
          <w:sz w:val="24"/>
          <w:szCs w:val="24"/>
        </w:rPr>
      </w:pPr>
    </w:p>
    <w:p w14:paraId="2F183652" w14:textId="77777777" w:rsidR="007C6DAC" w:rsidRDefault="007C6DAC" w:rsidP="00F661AE">
      <w:pPr>
        <w:spacing w:line="360" w:lineRule="auto"/>
        <w:jc w:val="both"/>
        <w:rPr>
          <w:rFonts w:eastAsia="Calibri"/>
          <w:b/>
          <w:sz w:val="24"/>
          <w:szCs w:val="24"/>
        </w:rPr>
      </w:pPr>
    </w:p>
    <w:p w14:paraId="49CF9A55" w14:textId="0530757F" w:rsidR="00F661AE" w:rsidRPr="001917F5" w:rsidRDefault="00F661AE" w:rsidP="00F661AE">
      <w:pPr>
        <w:spacing w:line="360" w:lineRule="auto"/>
        <w:jc w:val="both"/>
        <w:rPr>
          <w:rFonts w:eastAsia="Calibri"/>
          <w:b/>
          <w:sz w:val="24"/>
          <w:szCs w:val="24"/>
        </w:rPr>
      </w:pPr>
      <w:r w:rsidRPr="001917F5">
        <w:rPr>
          <w:rFonts w:eastAsia="Calibri"/>
          <w:b/>
          <w:sz w:val="24"/>
          <w:szCs w:val="24"/>
        </w:rPr>
        <w:lastRenderedPageBreak/>
        <w:t>Project Managers’ Competence</w:t>
      </w:r>
    </w:p>
    <w:p w14:paraId="3C609635" w14:textId="77777777" w:rsidR="00F661AE" w:rsidRPr="001917F5" w:rsidRDefault="00F661AE" w:rsidP="00F661AE">
      <w:pPr>
        <w:spacing w:line="360" w:lineRule="auto"/>
        <w:jc w:val="both"/>
        <w:rPr>
          <w:rFonts w:eastAsia="Calibri"/>
          <w:sz w:val="24"/>
          <w:szCs w:val="24"/>
        </w:rPr>
      </w:pPr>
      <w:r w:rsidRPr="001917F5">
        <w:rPr>
          <w:rFonts w:eastAsia="Calibri"/>
          <w:sz w:val="24"/>
          <w:szCs w:val="24"/>
        </w:rPr>
        <w:t xml:space="preserve">A project manager, according to </w:t>
      </w:r>
      <w:proofErr w:type="spellStart"/>
      <w:r w:rsidRPr="001917F5">
        <w:rPr>
          <w:rFonts w:eastAsia="Calibri"/>
          <w:sz w:val="24"/>
          <w:szCs w:val="24"/>
        </w:rPr>
        <w:t>Zwikael</w:t>
      </w:r>
      <w:proofErr w:type="spellEnd"/>
      <w:r>
        <w:rPr>
          <w:rFonts w:eastAsia="Calibri"/>
          <w:sz w:val="24"/>
          <w:szCs w:val="24"/>
        </w:rPr>
        <w:t xml:space="preserve"> and </w:t>
      </w:r>
      <w:proofErr w:type="spellStart"/>
      <w:r>
        <w:rPr>
          <w:rFonts w:eastAsia="Calibri"/>
          <w:sz w:val="24"/>
          <w:szCs w:val="24"/>
        </w:rPr>
        <w:t>Smyrk</w:t>
      </w:r>
      <w:proofErr w:type="spellEnd"/>
      <w:r w:rsidRPr="001917F5">
        <w:rPr>
          <w:rFonts w:eastAsia="Calibri"/>
          <w:sz w:val="24"/>
          <w:szCs w:val="24"/>
        </w:rPr>
        <w:t xml:space="preserve"> (2011), is the person contractually responsible for meeting the project's output tar</w:t>
      </w:r>
      <w:r>
        <w:rPr>
          <w:rFonts w:eastAsia="Calibri"/>
          <w:sz w:val="24"/>
          <w:szCs w:val="24"/>
        </w:rPr>
        <w:t>gets; w</w:t>
      </w:r>
      <w:r w:rsidRPr="001917F5">
        <w:rPr>
          <w:rFonts w:eastAsia="Calibri"/>
          <w:sz w:val="24"/>
          <w:szCs w:val="24"/>
        </w:rPr>
        <w:t>ith</w:t>
      </w:r>
      <w:r>
        <w:rPr>
          <w:rFonts w:eastAsia="Calibri"/>
          <w:sz w:val="24"/>
          <w:szCs w:val="24"/>
        </w:rPr>
        <w:t>in</w:t>
      </w:r>
      <w:r w:rsidRPr="001917F5">
        <w:rPr>
          <w:rFonts w:eastAsia="Calibri"/>
          <w:sz w:val="24"/>
          <w:szCs w:val="24"/>
        </w:rPr>
        <w:t xml:space="preserve"> the construction industry, project managers initiate, plan, execute, monitor and close projects. The five key stages of project management in construction (initiating, planning, executing, monitoring and closing) involve a multiplicity of participants. </w:t>
      </w:r>
      <w:proofErr w:type="gramStart"/>
      <w:r w:rsidRPr="001917F5">
        <w:rPr>
          <w:rFonts w:eastAsia="Calibri"/>
          <w:sz w:val="24"/>
          <w:szCs w:val="24"/>
        </w:rPr>
        <w:t>Thus</w:t>
      </w:r>
      <w:proofErr w:type="gramEnd"/>
      <w:r w:rsidRPr="001917F5">
        <w:rPr>
          <w:rFonts w:eastAsia="Calibri"/>
          <w:sz w:val="24"/>
          <w:szCs w:val="24"/>
        </w:rPr>
        <w:t xml:space="preserve"> the primary role of project managers is coordinating construction activities by the different team members to ensure that they perform the right tasks at the proper time (</w:t>
      </w:r>
      <w:proofErr w:type="spellStart"/>
      <w:r w:rsidRPr="001917F5">
        <w:rPr>
          <w:rFonts w:eastAsia="Calibri"/>
          <w:sz w:val="24"/>
          <w:szCs w:val="24"/>
        </w:rPr>
        <w:t>Gido</w:t>
      </w:r>
      <w:proofErr w:type="spellEnd"/>
      <w:r w:rsidRPr="001917F5">
        <w:rPr>
          <w:rFonts w:eastAsia="Calibri"/>
          <w:sz w:val="24"/>
          <w:szCs w:val="24"/>
        </w:rPr>
        <w:t xml:space="preserve"> </w:t>
      </w:r>
      <w:r>
        <w:rPr>
          <w:rFonts w:eastAsia="Calibri"/>
          <w:sz w:val="24"/>
          <w:szCs w:val="24"/>
        </w:rPr>
        <w:t>and</w:t>
      </w:r>
      <w:r w:rsidRPr="00D937A8">
        <w:rPr>
          <w:rFonts w:eastAsia="Calibri"/>
          <w:sz w:val="24"/>
          <w:szCs w:val="24"/>
        </w:rPr>
        <w:t xml:space="preserve"> </w:t>
      </w:r>
      <w:r>
        <w:rPr>
          <w:rFonts w:eastAsia="Calibri"/>
          <w:sz w:val="24"/>
          <w:szCs w:val="24"/>
        </w:rPr>
        <w:t>Clements</w:t>
      </w:r>
      <w:r w:rsidRPr="001917F5">
        <w:rPr>
          <w:rFonts w:eastAsia="Calibri"/>
          <w:sz w:val="24"/>
          <w:szCs w:val="24"/>
        </w:rPr>
        <w:t>, 2012). Project managers must ensure that people involved with the design and construction process possess the appropriate knowledge and resources needed to accomplish their assigned tasks (Sutton, 2011).</w:t>
      </w:r>
    </w:p>
    <w:p w14:paraId="606F353C" w14:textId="77777777" w:rsidR="00F661AE" w:rsidRPr="001917F5" w:rsidRDefault="00F661AE" w:rsidP="00F661AE">
      <w:pPr>
        <w:spacing w:line="360" w:lineRule="auto"/>
        <w:jc w:val="both"/>
        <w:rPr>
          <w:rFonts w:eastAsia="Calibri"/>
          <w:sz w:val="24"/>
          <w:szCs w:val="24"/>
        </w:rPr>
      </w:pPr>
      <w:r w:rsidRPr="001917F5">
        <w:rPr>
          <w:rFonts w:eastAsia="Calibri"/>
          <w:sz w:val="24"/>
          <w:szCs w:val="24"/>
        </w:rPr>
        <w:t>Competence has been defined as “the ability of an individual, a team, or a company to mobilize and combine resources (i.e., knowledge, skills, and attitudes) in order to implement an activity in a situation” (</w:t>
      </w:r>
      <w:proofErr w:type="spellStart"/>
      <w:r w:rsidRPr="001917F5">
        <w:rPr>
          <w:rFonts w:eastAsia="Calibri"/>
          <w:sz w:val="24"/>
          <w:szCs w:val="24"/>
        </w:rPr>
        <w:t>Loufrani-Fedida</w:t>
      </w:r>
      <w:proofErr w:type="spellEnd"/>
      <w:r w:rsidRPr="001917F5">
        <w:rPr>
          <w:rFonts w:eastAsia="Calibri"/>
          <w:sz w:val="24"/>
          <w:szCs w:val="24"/>
        </w:rPr>
        <w:t xml:space="preserve"> and </w:t>
      </w:r>
      <w:proofErr w:type="spellStart"/>
      <w:r w:rsidRPr="001917F5">
        <w:rPr>
          <w:rFonts w:eastAsia="Calibri"/>
          <w:sz w:val="24"/>
          <w:szCs w:val="24"/>
        </w:rPr>
        <w:t>Missonier</w:t>
      </w:r>
      <w:proofErr w:type="spellEnd"/>
      <w:r w:rsidRPr="001917F5">
        <w:rPr>
          <w:rFonts w:eastAsia="Calibri"/>
          <w:sz w:val="24"/>
          <w:szCs w:val="24"/>
        </w:rPr>
        <w:t xml:space="preserve">, 2015, p. 1121). </w:t>
      </w:r>
      <w:r>
        <w:rPr>
          <w:rFonts w:eastAsia="Calibri"/>
          <w:sz w:val="24"/>
          <w:szCs w:val="24"/>
        </w:rPr>
        <w:t xml:space="preserve">Although </w:t>
      </w:r>
      <w:r w:rsidRPr="001917F5">
        <w:rPr>
          <w:rFonts w:eastAsia="Calibri"/>
          <w:sz w:val="24"/>
          <w:szCs w:val="24"/>
        </w:rPr>
        <w:t>project ma</w:t>
      </w:r>
      <w:r>
        <w:rPr>
          <w:rFonts w:eastAsia="Calibri"/>
          <w:sz w:val="24"/>
          <w:szCs w:val="24"/>
        </w:rPr>
        <w:t>nager leadership competencies are</w:t>
      </w:r>
      <w:r w:rsidRPr="001917F5">
        <w:rPr>
          <w:rFonts w:eastAsia="Calibri"/>
          <w:sz w:val="24"/>
          <w:szCs w:val="24"/>
        </w:rPr>
        <w:t xml:space="preserve"> critical factors of failure or success that can be used to assess project performance (</w:t>
      </w:r>
      <w:proofErr w:type="spellStart"/>
      <w:r w:rsidRPr="001917F5">
        <w:rPr>
          <w:rFonts w:eastAsia="Calibri"/>
          <w:sz w:val="24"/>
          <w:szCs w:val="24"/>
        </w:rPr>
        <w:t>Anantat</w:t>
      </w:r>
      <w:r>
        <w:rPr>
          <w:rFonts w:eastAsia="Calibri"/>
          <w:sz w:val="24"/>
          <w:szCs w:val="24"/>
        </w:rPr>
        <w:t>mula</w:t>
      </w:r>
      <w:proofErr w:type="spellEnd"/>
      <w:r>
        <w:rPr>
          <w:rFonts w:eastAsia="Calibri"/>
          <w:sz w:val="24"/>
          <w:szCs w:val="24"/>
        </w:rPr>
        <w:t xml:space="preserve">, 2010; Nixon </w:t>
      </w:r>
      <w:r w:rsidRPr="00683132">
        <w:rPr>
          <w:rFonts w:eastAsia="Calibri"/>
          <w:i/>
          <w:sz w:val="24"/>
          <w:szCs w:val="24"/>
        </w:rPr>
        <w:t>et al</w:t>
      </w:r>
      <w:r>
        <w:rPr>
          <w:rFonts w:eastAsia="Calibri"/>
          <w:sz w:val="24"/>
          <w:szCs w:val="24"/>
        </w:rPr>
        <w:t>., 2012), this is an</w:t>
      </w:r>
      <w:r w:rsidRPr="001917F5">
        <w:rPr>
          <w:rFonts w:eastAsia="Calibri"/>
          <w:sz w:val="24"/>
          <w:szCs w:val="24"/>
        </w:rPr>
        <w:t xml:space="preserve"> area in which limited research has been conducted (</w:t>
      </w:r>
      <w:proofErr w:type="spellStart"/>
      <w:r w:rsidRPr="001917F5">
        <w:rPr>
          <w:rFonts w:eastAsia="Calibri"/>
          <w:sz w:val="24"/>
          <w:szCs w:val="24"/>
        </w:rPr>
        <w:t>Anantatmula</w:t>
      </w:r>
      <w:proofErr w:type="spellEnd"/>
      <w:r w:rsidRPr="001917F5">
        <w:rPr>
          <w:rFonts w:eastAsia="Calibri"/>
          <w:sz w:val="24"/>
          <w:szCs w:val="24"/>
        </w:rPr>
        <w:t xml:space="preserve">, 2010; Fung, 2014). </w:t>
      </w:r>
      <w:proofErr w:type="spellStart"/>
      <w:r>
        <w:rPr>
          <w:rFonts w:eastAsia="Calibri"/>
          <w:sz w:val="24"/>
          <w:szCs w:val="24"/>
        </w:rPr>
        <w:t>Jabar</w:t>
      </w:r>
      <w:proofErr w:type="spellEnd"/>
      <w:r>
        <w:rPr>
          <w:rFonts w:eastAsia="Calibri"/>
          <w:sz w:val="24"/>
          <w:szCs w:val="24"/>
        </w:rPr>
        <w:t xml:space="preserve"> </w:t>
      </w:r>
      <w:r w:rsidRPr="00683132">
        <w:rPr>
          <w:rFonts w:eastAsia="Calibri"/>
          <w:i/>
          <w:sz w:val="24"/>
          <w:szCs w:val="24"/>
        </w:rPr>
        <w:t>et al</w:t>
      </w:r>
      <w:r>
        <w:rPr>
          <w:rFonts w:eastAsia="Calibri"/>
          <w:sz w:val="24"/>
          <w:szCs w:val="24"/>
        </w:rPr>
        <w:t xml:space="preserve">. </w:t>
      </w:r>
      <w:r w:rsidRPr="001917F5">
        <w:rPr>
          <w:rFonts w:eastAsia="Calibri"/>
          <w:sz w:val="24"/>
          <w:szCs w:val="24"/>
        </w:rPr>
        <w:t>(2018) found that project managers on Malaysian industrialized building system (IBS) construction projects have to undertake extra roles which required additional competency as compared to the generic construction projects.</w:t>
      </w:r>
    </w:p>
    <w:p w14:paraId="255A31AA" w14:textId="77777777" w:rsidR="00F661AE" w:rsidRPr="001917F5" w:rsidRDefault="00F661AE" w:rsidP="00F661AE">
      <w:pPr>
        <w:spacing w:line="360" w:lineRule="auto"/>
        <w:jc w:val="both"/>
        <w:rPr>
          <w:rFonts w:eastAsia="Calibri"/>
          <w:sz w:val="24"/>
          <w:szCs w:val="24"/>
        </w:rPr>
      </w:pPr>
      <w:r w:rsidRPr="001917F5">
        <w:rPr>
          <w:rFonts w:eastAsia="Calibri"/>
          <w:sz w:val="24"/>
          <w:szCs w:val="24"/>
        </w:rPr>
        <w:t xml:space="preserve">Quite a number of frameworks for the evaluation of competency can be identified in project management. Examples include the International Project Management Association (IPMA) ‘Competence Baseline’ and the ‘Guide to the Project Management Body of Knowledge (PMBOK)’, developed by the Project Management Institute (PMI, 2013). The Competence Baseline of IPMA classified 46 competency elements into contextual, behavioural, and technical groups of competencies. On the other hand, the PMBOK identified project management competences in ten knowledge areas (PMI, 2013). </w:t>
      </w:r>
      <w:proofErr w:type="gramStart"/>
      <w:r w:rsidRPr="001917F5">
        <w:rPr>
          <w:rFonts w:eastAsia="Calibri"/>
          <w:sz w:val="24"/>
          <w:szCs w:val="24"/>
        </w:rPr>
        <w:t>However</w:t>
      </w:r>
      <w:proofErr w:type="gramEnd"/>
      <w:r w:rsidRPr="001917F5">
        <w:rPr>
          <w:rFonts w:eastAsia="Calibri"/>
          <w:sz w:val="24"/>
          <w:szCs w:val="24"/>
        </w:rPr>
        <w:t xml:space="preserve"> these competency models do not reflect leadership competencies required to improve pro</w:t>
      </w:r>
      <w:r>
        <w:rPr>
          <w:rFonts w:eastAsia="Calibri"/>
          <w:sz w:val="24"/>
          <w:szCs w:val="24"/>
        </w:rPr>
        <w:t xml:space="preserve">ject performance (Hollenbeck </w:t>
      </w:r>
      <w:r w:rsidRPr="00683132">
        <w:rPr>
          <w:rFonts w:eastAsia="Calibri"/>
          <w:i/>
          <w:sz w:val="24"/>
          <w:szCs w:val="24"/>
        </w:rPr>
        <w:t>et al</w:t>
      </w:r>
      <w:r w:rsidRPr="001917F5">
        <w:rPr>
          <w:rFonts w:eastAsia="Calibri"/>
          <w:sz w:val="24"/>
          <w:szCs w:val="24"/>
        </w:rPr>
        <w:t xml:space="preserve">., 2006). </w:t>
      </w:r>
    </w:p>
    <w:p w14:paraId="10300BB2" w14:textId="77777777" w:rsidR="00F661AE" w:rsidRPr="001917F5" w:rsidRDefault="00F661AE" w:rsidP="00F661AE">
      <w:pPr>
        <w:spacing w:line="360" w:lineRule="auto"/>
        <w:jc w:val="both"/>
        <w:rPr>
          <w:rFonts w:eastAsia="Calibri"/>
          <w:b/>
          <w:sz w:val="24"/>
          <w:szCs w:val="24"/>
        </w:rPr>
      </w:pPr>
      <w:r w:rsidRPr="001917F5">
        <w:rPr>
          <w:rFonts w:eastAsia="Calibri"/>
          <w:b/>
          <w:sz w:val="24"/>
          <w:szCs w:val="24"/>
        </w:rPr>
        <w:t>Performance of Project Managers</w:t>
      </w:r>
    </w:p>
    <w:p w14:paraId="1E3D6357" w14:textId="77777777" w:rsidR="00F661AE" w:rsidRPr="001917F5" w:rsidRDefault="00F661AE" w:rsidP="00F661AE">
      <w:pPr>
        <w:spacing w:line="360" w:lineRule="auto"/>
        <w:jc w:val="both"/>
        <w:rPr>
          <w:rFonts w:eastAsia="Calibri"/>
          <w:sz w:val="24"/>
          <w:szCs w:val="24"/>
        </w:rPr>
      </w:pPr>
      <w:r w:rsidRPr="001917F5">
        <w:rPr>
          <w:rFonts w:eastAsia="Calibri"/>
          <w:sz w:val="24"/>
          <w:szCs w:val="24"/>
        </w:rPr>
        <w:t>Performance of projects in the construction industry has bee</w:t>
      </w:r>
      <w:r>
        <w:rPr>
          <w:rFonts w:eastAsia="Calibri"/>
          <w:sz w:val="24"/>
          <w:szCs w:val="24"/>
        </w:rPr>
        <w:t>n measured in a variety of ways;</w:t>
      </w:r>
      <w:r w:rsidRPr="001917F5">
        <w:rPr>
          <w:rFonts w:eastAsia="Calibri"/>
          <w:sz w:val="24"/>
          <w:szCs w:val="24"/>
        </w:rPr>
        <w:t xml:space="preserve"> compliance with cost, schedule and quality targets has been used </w:t>
      </w:r>
      <w:r>
        <w:rPr>
          <w:rFonts w:eastAsia="Calibri"/>
          <w:sz w:val="24"/>
          <w:szCs w:val="24"/>
        </w:rPr>
        <w:t>t</w:t>
      </w:r>
      <w:r w:rsidRPr="001917F5">
        <w:rPr>
          <w:rFonts w:eastAsia="Calibri"/>
          <w:sz w:val="24"/>
          <w:szCs w:val="24"/>
        </w:rPr>
        <w:t>raditionally (Meng, 2012). Although project management processes have a significant impact on p</w:t>
      </w:r>
      <w:r>
        <w:rPr>
          <w:rFonts w:eastAsia="Calibri"/>
          <w:sz w:val="24"/>
          <w:szCs w:val="24"/>
        </w:rPr>
        <w:t>roject time and cost (</w:t>
      </w:r>
      <w:proofErr w:type="spellStart"/>
      <w:r>
        <w:rPr>
          <w:rFonts w:eastAsia="Calibri"/>
          <w:sz w:val="24"/>
          <w:szCs w:val="24"/>
        </w:rPr>
        <w:t>Almahmoud</w:t>
      </w:r>
      <w:proofErr w:type="spellEnd"/>
      <w:r w:rsidRPr="001917F5">
        <w:rPr>
          <w:rFonts w:eastAsia="Calibri"/>
          <w:sz w:val="24"/>
          <w:szCs w:val="24"/>
        </w:rPr>
        <w:t xml:space="preserve"> </w:t>
      </w:r>
      <w:r w:rsidRPr="00683132">
        <w:rPr>
          <w:rFonts w:eastAsia="Calibri"/>
          <w:i/>
          <w:sz w:val="24"/>
          <w:szCs w:val="24"/>
        </w:rPr>
        <w:t>et al</w:t>
      </w:r>
      <w:r>
        <w:rPr>
          <w:rFonts w:eastAsia="Calibri"/>
          <w:sz w:val="24"/>
          <w:szCs w:val="24"/>
        </w:rPr>
        <w:t>.</w:t>
      </w:r>
      <w:r w:rsidRPr="001917F5">
        <w:rPr>
          <w:rFonts w:eastAsia="Calibri"/>
          <w:sz w:val="24"/>
          <w:szCs w:val="24"/>
        </w:rPr>
        <w:t>, 2012), these metrics alone are no</w:t>
      </w:r>
      <w:r>
        <w:rPr>
          <w:rFonts w:eastAsia="Calibri"/>
          <w:sz w:val="24"/>
          <w:szCs w:val="24"/>
        </w:rPr>
        <w:t xml:space="preserve"> longer</w:t>
      </w:r>
      <w:r w:rsidRPr="001917F5">
        <w:rPr>
          <w:rFonts w:eastAsia="Calibri"/>
          <w:sz w:val="24"/>
          <w:szCs w:val="24"/>
        </w:rPr>
        <w:t xml:space="preserve"> </w:t>
      </w:r>
      <w:r w:rsidRPr="001917F5">
        <w:rPr>
          <w:rFonts w:eastAsia="Calibri"/>
          <w:sz w:val="24"/>
          <w:szCs w:val="24"/>
        </w:rPr>
        <w:lastRenderedPageBreak/>
        <w:t xml:space="preserve">sufficient to assess project performance (Nixon </w:t>
      </w:r>
      <w:r w:rsidRPr="00683132">
        <w:rPr>
          <w:rFonts w:eastAsia="Calibri"/>
          <w:i/>
          <w:sz w:val="24"/>
          <w:szCs w:val="24"/>
        </w:rPr>
        <w:t>et al</w:t>
      </w:r>
      <w:r w:rsidRPr="001917F5">
        <w:rPr>
          <w:rFonts w:eastAsia="Calibri"/>
          <w:sz w:val="24"/>
          <w:szCs w:val="24"/>
        </w:rPr>
        <w:t>., 2012). Project performance encompasses other dimensions such as quality performance and stakeholder satisfaction, which must be considered in order to fully measure project performance</w:t>
      </w:r>
      <w:r>
        <w:rPr>
          <w:rFonts w:eastAsia="Calibri"/>
          <w:sz w:val="24"/>
          <w:szCs w:val="24"/>
        </w:rPr>
        <w:t xml:space="preserve"> (</w:t>
      </w:r>
      <w:proofErr w:type="spellStart"/>
      <w:r>
        <w:rPr>
          <w:rFonts w:eastAsia="Calibri"/>
          <w:sz w:val="24"/>
          <w:szCs w:val="24"/>
        </w:rPr>
        <w:t>Almahmoud</w:t>
      </w:r>
      <w:proofErr w:type="spellEnd"/>
      <w:r>
        <w:rPr>
          <w:rFonts w:eastAsia="Calibri"/>
          <w:sz w:val="24"/>
          <w:szCs w:val="24"/>
        </w:rPr>
        <w:t xml:space="preserve"> </w:t>
      </w:r>
      <w:r w:rsidRPr="00683132">
        <w:rPr>
          <w:rFonts w:eastAsia="Calibri"/>
          <w:i/>
          <w:sz w:val="24"/>
          <w:szCs w:val="24"/>
        </w:rPr>
        <w:t>et al</w:t>
      </w:r>
      <w:r>
        <w:rPr>
          <w:rFonts w:eastAsia="Calibri"/>
          <w:sz w:val="24"/>
          <w:szCs w:val="24"/>
        </w:rPr>
        <w:t xml:space="preserve">., 2012; Yang </w:t>
      </w:r>
      <w:r w:rsidRPr="00683132">
        <w:rPr>
          <w:rFonts w:eastAsia="Calibri"/>
          <w:i/>
          <w:sz w:val="24"/>
          <w:szCs w:val="24"/>
        </w:rPr>
        <w:t>et al</w:t>
      </w:r>
      <w:r>
        <w:rPr>
          <w:rFonts w:eastAsia="Calibri"/>
          <w:sz w:val="24"/>
          <w:szCs w:val="24"/>
        </w:rPr>
        <w:t>,</w:t>
      </w:r>
      <w:r w:rsidRPr="001917F5">
        <w:rPr>
          <w:rFonts w:eastAsia="Calibri"/>
          <w:sz w:val="24"/>
          <w:szCs w:val="24"/>
        </w:rPr>
        <w:t xml:space="preserve"> 2014;</w:t>
      </w:r>
      <w:r w:rsidRPr="00464F73">
        <w:rPr>
          <w:rFonts w:eastAsia="Calibri"/>
          <w:sz w:val="24"/>
          <w:szCs w:val="24"/>
        </w:rPr>
        <w:t xml:space="preserve"> </w:t>
      </w:r>
      <w:proofErr w:type="spellStart"/>
      <w:r w:rsidRPr="001917F5">
        <w:rPr>
          <w:rFonts w:eastAsia="Calibri"/>
          <w:sz w:val="24"/>
          <w:szCs w:val="24"/>
        </w:rPr>
        <w:t>Berssaneti</w:t>
      </w:r>
      <w:proofErr w:type="spellEnd"/>
      <w:r w:rsidRPr="001917F5">
        <w:rPr>
          <w:rFonts w:eastAsia="Calibri"/>
          <w:sz w:val="24"/>
          <w:szCs w:val="24"/>
        </w:rPr>
        <w:t xml:space="preserve"> </w:t>
      </w:r>
      <w:r>
        <w:rPr>
          <w:rFonts w:eastAsia="Calibri"/>
          <w:sz w:val="24"/>
          <w:szCs w:val="24"/>
        </w:rPr>
        <w:t>and</w:t>
      </w:r>
      <w:r w:rsidRPr="00D937A8">
        <w:rPr>
          <w:rFonts w:eastAsia="Calibri"/>
          <w:sz w:val="24"/>
          <w:szCs w:val="24"/>
        </w:rPr>
        <w:t xml:space="preserve"> </w:t>
      </w:r>
      <w:r w:rsidRPr="001917F5">
        <w:rPr>
          <w:rFonts w:eastAsia="Calibri"/>
          <w:sz w:val="24"/>
          <w:szCs w:val="24"/>
        </w:rPr>
        <w:t xml:space="preserve">Carvalho, 2015). </w:t>
      </w:r>
      <w:r>
        <w:rPr>
          <w:rFonts w:eastAsia="Calibri"/>
          <w:sz w:val="24"/>
          <w:szCs w:val="24"/>
        </w:rPr>
        <w:t>There is e</w:t>
      </w:r>
      <w:r w:rsidRPr="001917F5">
        <w:rPr>
          <w:rFonts w:eastAsia="Calibri"/>
          <w:sz w:val="24"/>
          <w:szCs w:val="24"/>
        </w:rPr>
        <w:t xml:space="preserve">vidence </w:t>
      </w:r>
      <w:r>
        <w:rPr>
          <w:rFonts w:eastAsia="Calibri"/>
          <w:sz w:val="24"/>
          <w:szCs w:val="24"/>
        </w:rPr>
        <w:t xml:space="preserve">of </w:t>
      </w:r>
      <w:r w:rsidRPr="001917F5">
        <w:rPr>
          <w:rFonts w:eastAsia="Calibri"/>
          <w:sz w:val="24"/>
          <w:szCs w:val="24"/>
        </w:rPr>
        <w:t>the influence of project manager</w:t>
      </w:r>
      <w:r>
        <w:rPr>
          <w:rFonts w:eastAsia="Calibri"/>
          <w:sz w:val="24"/>
          <w:szCs w:val="24"/>
        </w:rPr>
        <w:t>s</w:t>
      </w:r>
      <w:r w:rsidRPr="001917F5">
        <w:rPr>
          <w:rFonts w:eastAsia="Calibri"/>
          <w:sz w:val="24"/>
          <w:szCs w:val="24"/>
        </w:rPr>
        <w:t>’ leadership com</w:t>
      </w:r>
      <w:r>
        <w:rPr>
          <w:rFonts w:eastAsia="Calibri"/>
          <w:sz w:val="24"/>
          <w:szCs w:val="24"/>
        </w:rPr>
        <w:t xml:space="preserve">petence on project performance; </w:t>
      </w:r>
      <w:r w:rsidRPr="001917F5">
        <w:rPr>
          <w:rFonts w:eastAsia="Calibri"/>
          <w:sz w:val="24"/>
          <w:szCs w:val="24"/>
        </w:rPr>
        <w:t xml:space="preserve">Ahmed and </w:t>
      </w:r>
      <w:proofErr w:type="spellStart"/>
      <w:r w:rsidRPr="001917F5">
        <w:rPr>
          <w:rFonts w:eastAsia="Calibri"/>
          <w:sz w:val="24"/>
          <w:szCs w:val="24"/>
        </w:rPr>
        <w:t>Anantatmula</w:t>
      </w:r>
      <w:proofErr w:type="spellEnd"/>
      <w:r w:rsidRPr="001917F5">
        <w:rPr>
          <w:rFonts w:eastAsia="Calibri"/>
          <w:sz w:val="24"/>
          <w:szCs w:val="24"/>
        </w:rPr>
        <w:t xml:space="preserve"> (2017) demonstrated that all five leadership competencies of project managers are significantly related to achievement of project performance in terms of schedule, cost, and quality as well as stakeholder satisfaction.</w:t>
      </w:r>
    </w:p>
    <w:p w14:paraId="3418B282" w14:textId="77777777" w:rsidR="00F661AE" w:rsidRPr="001917F5" w:rsidRDefault="00F661AE" w:rsidP="00F661AE">
      <w:pPr>
        <w:spacing w:line="360" w:lineRule="auto"/>
        <w:jc w:val="both"/>
        <w:rPr>
          <w:rFonts w:eastAsia="Calibri"/>
          <w:b/>
          <w:sz w:val="24"/>
          <w:szCs w:val="24"/>
        </w:rPr>
      </w:pPr>
    </w:p>
    <w:p w14:paraId="3284FE05" w14:textId="77777777" w:rsidR="00F661AE" w:rsidRPr="001917F5" w:rsidRDefault="00F661AE" w:rsidP="00F661AE">
      <w:pPr>
        <w:spacing w:line="360" w:lineRule="auto"/>
        <w:jc w:val="both"/>
        <w:rPr>
          <w:rFonts w:eastAsia="Calibri"/>
          <w:b/>
          <w:sz w:val="24"/>
          <w:szCs w:val="24"/>
        </w:rPr>
      </w:pPr>
      <w:r w:rsidRPr="001917F5">
        <w:rPr>
          <w:rFonts w:eastAsia="Calibri"/>
          <w:b/>
          <w:sz w:val="24"/>
          <w:szCs w:val="24"/>
        </w:rPr>
        <w:t>METHODOLOGY</w:t>
      </w:r>
    </w:p>
    <w:p w14:paraId="3311C2A9" w14:textId="77777777" w:rsidR="00F661AE" w:rsidRDefault="00F661AE" w:rsidP="00F661AE">
      <w:pPr>
        <w:spacing w:line="360" w:lineRule="auto"/>
        <w:jc w:val="both"/>
        <w:rPr>
          <w:rFonts w:eastAsia="Calibri"/>
          <w:color w:val="000000"/>
          <w:sz w:val="24"/>
          <w:szCs w:val="24"/>
        </w:rPr>
      </w:pPr>
      <w:r w:rsidRPr="001917F5">
        <w:rPr>
          <w:rFonts w:eastAsia="Calibri"/>
          <w:color w:val="000000"/>
          <w:sz w:val="24"/>
          <w:szCs w:val="24"/>
        </w:rPr>
        <w:t xml:space="preserve">This study adopted a quantitative research design approach which involved the use of questionnaires and </w:t>
      </w:r>
      <w:r>
        <w:rPr>
          <w:rFonts w:eastAsia="Calibri"/>
          <w:color w:val="000000"/>
          <w:sz w:val="24"/>
          <w:szCs w:val="24"/>
        </w:rPr>
        <w:t xml:space="preserve">historical project </w:t>
      </w:r>
      <w:r w:rsidRPr="001917F5">
        <w:rPr>
          <w:rFonts w:eastAsia="Calibri"/>
          <w:color w:val="000000"/>
          <w:sz w:val="24"/>
          <w:szCs w:val="24"/>
        </w:rPr>
        <w:t>data.</w:t>
      </w:r>
      <w:r>
        <w:rPr>
          <w:rFonts w:eastAsia="Calibri"/>
          <w:color w:val="000000"/>
          <w:sz w:val="24"/>
          <w:szCs w:val="24"/>
        </w:rPr>
        <w:t xml:space="preserve"> </w:t>
      </w:r>
      <w:r>
        <w:rPr>
          <w:color w:val="000000" w:themeColor="text1"/>
          <w:sz w:val="24"/>
          <w:szCs w:val="24"/>
        </w:rPr>
        <w:t>A</w:t>
      </w:r>
      <w:r w:rsidRPr="004F1396">
        <w:rPr>
          <w:color w:val="000000" w:themeColor="text1"/>
          <w:sz w:val="24"/>
          <w:szCs w:val="24"/>
        </w:rPr>
        <w:t xml:space="preserve"> structured questionnaire </w:t>
      </w:r>
      <w:r>
        <w:rPr>
          <w:color w:val="000000" w:themeColor="text1"/>
          <w:sz w:val="24"/>
          <w:szCs w:val="24"/>
        </w:rPr>
        <w:t>was designed in five sections, using Likert-style response options.</w:t>
      </w:r>
      <w:r w:rsidRPr="001917F5">
        <w:rPr>
          <w:rFonts w:eastAsia="Calibri"/>
          <w:color w:val="000000"/>
          <w:sz w:val="24"/>
          <w:szCs w:val="24"/>
        </w:rPr>
        <w:t xml:space="preserve"> </w:t>
      </w:r>
      <w:r w:rsidRPr="001917F5">
        <w:rPr>
          <w:rFonts w:eastAsia="Calibri"/>
          <w:sz w:val="24"/>
          <w:szCs w:val="24"/>
        </w:rPr>
        <w:t xml:space="preserve">Data </w:t>
      </w:r>
      <w:r>
        <w:rPr>
          <w:rFonts w:eastAsia="Calibri"/>
          <w:sz w:val="24"/>
          <w:szCs w:val="24"/>
        </w:rPr>
        <w:t>was</w:t>
      </w:r>
      <w:r w:rsidRPr="001917F5">
        <w:rPr>
          <w:rFonts w:eastAsia="Calibri"/>
          <w:sz w:val="24"/>
          <w:szCs w:val="24"/>
        </w:rPr>
        <w:t xml:space="preserve"> collected through random </w:t>
      </w:r>
      <w:r>
        <w:rPr>
          <w:rFonts w:eastAsia="Calibri"/>
          <w:color w:val="000000"/>
          <w:sz w:val="24"/>
          <w:szCs w:val="24"/>
        </w:rPr>
        <w:t>questionnaire</w:t>
      </w:r>
      <w:r w:rsidRPr="001917F5">
        <w:rPr>
          <w:rFonts w:eastAsia="Calibri"/>
          <w:color w:val="000000"/>
          <w:sz w:val="24"/>
          <w:szCs w:val="24"/>
        </w:rPr>
        <w:t xml:space="preserve"> </w:t>
      </w:r>
      <w:r>
        <w:rPr>
          <w:rFonts w:eastAsia="Calibri"/>
          <w:sz w:val="24"/>
          <w:szCs w:val="24"/>
        </w:rPr>
        <w:t>survey</w:t>
      </w:r>
      <w:r w:rsidRPr="001917F5">
        <w:rPr>
          <w:rFonts w:eastAsia="Calibri"/>
          <w:sz w:val="24"/>
          <w:szCs w:val="24"/>
        </w:rPr>
        <w:t xml:space="preserve"> </w:t>
      </w:r>
      <w:r>
        <w:rPr>
          <w:rFonts w:eastAsia="Calibri"/>
          <w:sz w:val="24"/>
          <w:szCs w:val="24"/>
        </w:rPr>
        <w:t>of</w:t>
      </w:r>
      <w:r w:rsidRPr="001917F5">
        <w:rPr>
          <w:rFonts w:eastAsia="Calibri"/>
          <w:sz w:val="24"/>
          <w:szCs w:val="24"/>
        </w:rPr>
        <w:t xml:space="preserve"> </w:t>
      </w:r>
      <w:r>
        <w:rPr>
          <w:rFonts w:eastAsia="Calibri"/>
          <w:sz w:val="24"/>
          <w:szCs w:val="24"/>
        </w:rPr>
        <w:t xml:space="preserve">28 </w:t>
      </w:r>
      <w:r w:rsidRPr="001917F5">
        <w:rPr>
          <w:rFonts w:eastAsia="Calibri"/>
          <w:sz w:val="24"/>
          <w:szCs w:val="24"/>
        </w:rPr>
        <w:t>recently completed mass housing projects in Abuja</w:t>
      </w:r>
      <w:r>
        <w:rPr>
          <w:rFonts w:eastAsia="Calibri"/>
          <w:sz w:val="24"/>
          <w:szCs w:val="24"/>
        </w:rPr>
        <w:t>; only 26 questionnaires however contained valid data</w:t>
      </w:r>
      <w:r w:rsidRPr="001917F5">
        <w:rPr>
          <w:rFonts w:eastAsia="Calibri"/>
          <w:sz w:val="24"/>
          <w:szCs w:val="24"/>
        </w:rPr>
        <w:t xml:space="preserve">. </w:t>
      </w:r>
      <w:r>
        <w:rPr>
          <w:rFonts w:eastAsia="Calibri"/>
          <w:color w:val="000000"/>
          <w:sz w:val="24"/>
          <w:szCs w:val="24"/>
        </w:rPr>
        <w:t xml:space="preserve">Historical project </w:t>
      </w:r>
      <w:r w:rsidRPr="001917F5">
        <w:rPr>
          <w:rFonts w:eastAsia="Calibri"/>
          <w:color w:val="000000"/>
          <w:sz w:val="24"/>
          <w:szCs w:val="24"/>
        </w:rPr>
        <w:t xml:space="preserve">data </w:t>
      </w:r>
      <w:r>
        <w:rPr>
          <w:rFonts w:eastAsia="Calibri"/>
          <w:color w:val="000000"/>
          <w:sz w:val="24"/>
          <w:szCs w:val="24"/>
        </w:rPr>
        <w:t>on initial and final costs and completion times were obtained for 22 projects.</w:t>
      </w:r>
      <w:r w:rsidRPr="001917F5">
        <w:rPr>
          <w:rFonts w:eastAsia="Calibri"/>
          <w:color w:val="000000"/>
          <w:sz w:val="24"/>
          <w:szCs w:val="24"/>
        </w:rPr>
        <w:t xml:space="preserve"> </w:t>
      </w:r>
      <w:r w:rsidRPr="001917F5">
        <w:rPr>
          <w:rFonts w:eastAsia="Calibri"/>
          <w:sz w:val="24"/>
          <w:szCs w:val="24"/>
        </w:rPr>
        <w:t xml:space="preserve">The study was limited to construction professionals who are </w:t>
      </w:r>
      <w:r>
        <w:rPr>
          <w:rFonts w:eastAsia="Calibri"/>
          <w:sz w:val="24"/>
          <w:szCs w:val="24"/>
        </w:rPr>
        <w:t xml:space="preserve">performing </w:t>
      </w:r>
      <w:r w:rsidRPr="001917F5">
        <w:rPr>
          <w:rFonts w:eastAsia="Calibri"/>
          <w:sz w:val="24"/>
          <w:szCs w:val="24"/>
        </w:rPr>
        <w:t xml:space="preserve">project management </w:t>
      </w:r>
      <w:r>
        <w:rPr>
          <w:rFonts w:eastAsia="Calibri"/>
          <w:sz w:val="24"/>
          <w:szCs w:val="24"/>
        </w:rPr>
        <w:t xml:space="preserve">roles on mass housing projects. They may be </w:t>
      </w:r>
      <w:r w:rsidRPr="001917F5">
        <w:rPr>
          <w:rFonts w:eastAsia="Calibri"/>
          <w:sz w:val="24"/>
          <w:szCs w:val="24"/>
        </w:rPr>
        <w:t xml:space="preserve">registered Project Managers or registered members of allied professions such as Architecture, Building, Civil/Structural/Electrical Engineering and Quantity Surveying. It is believed that they have adequate knowledge about the state of project management practice in Nigeria and can answer the questions of this study.  </w:t>
      </w:r>
      <w:r w:rsidRPr="001917F5">
        <w:rPr>
          <w:rFonts w:eastAsia="Calibri"/>
          <w:color w:val="000000"/>
          <w:sz w:val="24"/>
          <w:szCs w:val="24"/>
        </w:rPr>
        <w:t xml:space="preserve">The </w:t>
      </w:r>
      <w:r>
        <w:rPr>
          <w:rFonts w:eastAsia="Calibri"/>
          <w:color w:val="000000"/>
          <w:sz w:val="24"/>
          <w:szCs w:val="24"/>
        </w:rPr>
        <w:t xml:space="preserve">questionnaire </w:t>
      </w:r>
      <w:r w:rsidRPr="001917F5">
        <w:rPr>
          <w:rFonts w:eastAsia="Calibri"/>
          <w:color w:val="000000"/>
          <w:sz w:val="24"/>
          <w:szCs w:val="24"/>
        </w:rPr>
        <w:t xml:space="preserve">data </w:t>
      </w:r>
      <w:r>
        <w:rPr>
          <w:rFonts w:eastAsia="Calibri"/>
          <w:color w:val="000000"/>
          <w:sz w:val="24"/>
          <w:szCs w:val="24"/>
        </w:rPr>
        <w:t>was</w:t>
      </w:r>
      <w:r w:rsidRPr="001917F5">
        <w:rPr>
          <w:rFonts w:eastAsia="Calibri"/>
          <w:color w:val="000000"/>
          <w:sz w:val="24"/>
          <w:szCs w:val="24"/>
        </w:rPr>
        <w:t xml:space="preserve"> analysed using descriptive statistical method (Mean Score and Relative Importance Index), which allowed the ranking of competencies and performance of Project Managers.</w:t>
      </w:r>
      <w:r>
        <w:rPr>
          <w:rFonts w:eastAsia="Calibri"/>
          <w:color w:val="000000"/>
          <w:sz w:val="24"/>
          <w:szCs w:val="24"/>
        </w:rPr>
        <w:t xml:space="preserve"> </w:t>
      </w:r>
      <w:r>
        <w:rPr>
          <w:sz w:val="24"/>
          <w:szCs w:val="24"/>
        </w:rPr>
        <w:t xml:space="preserve">Historical project data was </w:t>
      </w:r>
      <w:r>
        <w:rPr>
          <w:color w:val="000000" w:themeColor="text1"/>
          <w:sz w:val="24"/>
          <w:szCs w:val="24"/>
        </w:rPr>
        <w:t>analysed using Percentage analysis.</w:t>
      </w:r>
    </w:p>
    <w:p w14:paraId="4B6593C0" w14:textId="77777777" w:rsidR="00F661AE" w:rsidRDefault="00F661AE" w:rsidP="00F661AE">
      <w:pPr>
        <w:spacing w:line="360" w:lineRule="auto"/>
        <w:jc w:val="both"/>
        <w:rPr>
          <w:rFonts w:eastAsia="Calibri"/>
          <w:b/>
          <w:color w:val="000000"/>
          <w:sz w:val="24"/>
          <w:szCs w:val="24"/>
        </w:rPr>
      </w:pPr>
    </w:p>
    <w:p w14:paraId="12E21C19" w14:textId="77777777" w:rsidR="00F661AE" w:rsidRPr="001917F5" w:rsidRDefault="00F661AE" w:rsidP="00F661AE">
      <w:pPr>
        <w:spacing w:line="360" w:lineRule="auto"/>
        <w:jc w:val="both"/>
        <w:rPr>
          <w:rFonts w:eastAsia="Calibri"/>
          <w:b/>
          <w:color w:val="000000"/>
          <w:sz w:val="24"/>
          <w:szCs w:val="24"/>
        </w:rPr>
      </w:pPr>
      <w:r w:rsidRPr="001917F5">
        <w:rPr>
          <w:rFonts w:eastAsia="Calibri"/>
          <w:b/>
          <w:color w:val="000000"/>
          <w:sz w:val="24"/>
          <w:szCs w:val="24"/>
        </w:rPr>
        <w:t>RESULTS AND DISCUSSION</w:t>
      </w:r>
    </w:p>
    <w:p w14:paraId="075C9B6A" w14:textId="77777777" w:rsidR="00F661AE" w:rsidRPr="00C14A54" w:rsidRDefault="00F661AE" w:rsidP="00F661AE">
      <w:pPr>
        <w:spacing w:line="360" w:lineRule="auto"/>
        <w:jc w:val="both"/>
        <w:rPr>
          <w:rFonts w:eastAsia="Calibri"/>
          <w:b/>
          <w:sz w:val="24"/>
          <w:szCs w:val="24"/>
        </w:rPr>
      </w:pPr>
      <w:r w:rsidRPr="00C14A54">
        <w:rPr>
          <w:rFonts w:eastAsia="Calibri"/>
          <w:b/>
          <w:sz w:val="24"/>
          <w:szCs w:val="24"/>
        </w:rPr>
        <w:t xml:space="preserve">Respondent Demographics </w:t>
      </w:r>
    </w:p>
    <w:p w14:paraId="06C2EB0E" w14:textId="77777777" w:rsidR="00F661AE" w:rsidRDefault="00F661AE" w:rsidP="00F661AE">
      <w:pPr>
        <w:spacing w:line="360" w:lineRule="auto"/>
        <w:jc w:val="both"/>
        <w:rPr>
          <w:rFonts w:eastAsia="Calibri"/>
          <w:color w:val="000000"/>
          <w:sz w:val="24"/>
          <w:szCs w:val="24"/>
        </w:rPr>
      </w:pPr>
      <w:r w:rsidRPr="00C14A54">
        <w:rPr>
          <w:rFonts w:eastAsia="Calibri"/>
          <w:color w:val="000000"/>
          <w:sz w:val="24"/>
          <w:szCs w:val="24"/>
        </w:rPr>
        <w:t xml:space="preserve">A breakdown of the demographics of the data collected through questionnaire is provided in Table 4.1. Female respondents constituted just 11.5% of the sample. Male respondents thus dominated the questionnaire survey, and this meant that the results will unavoidably be skewed towards a male point of view. This is unavoidable, as it reflects the current reality of gender imbalance in construction industries the world over. It also shows that the Nigeria Construction Industry (NCI) is not an exception in </w:t>
      </w:r>
      <w:r w:rsidRPr="00C14A54">
        <w:rPr>
          <w:rFonts w:eastAsia="Calibri"/>
          <w:color w:val="000000"/>
          <w:sz w:val="24"/>
          <w:szCs w:val="24"/>
        </w:rPr>
        <w:lastRenderedPageBreak/>
        <w:t>this respect.</w:t>
      </w:r>
      <w:r>
        <w:rPr>
          <w:rFonts w:eastAsia="Calibri"/>
          <w:color w:val="000000"/>
          <w:sz w:val="24"/>
          <w:szCs w:val="24"/>
        </w:rPr>
        <w:t xml:space="preserve"> </w:t>
      </w:r>
      <w:r w:rsidRPr="00C14A54">
        <w:rPr>
          <w:rFonts w:eastAsia="Calibri"/>
          <w:color w:val="000000"/>
          <w:sz w:val="24"/>
          <w:szCs w:val="24"/>
        </w:rPr>
        <w:t>Within the NCI, the job of Project Manager is often performed by people from diverse professional backgrounds. There appears to be no clear-cut legislation on who should perform project management roles on construction projects. Engineers were most plent</w:t>
      </w:r>
      <w:r>
        <w:rPr>
          <w:rFonts w:eastAsia="Calibri"/>
          <w:color w:val="000000"/>
          <w:sz w:val="24"/>
          <w:szCs w:val="24"/>
        </w:rPr>
        <w:t>iful in the sample (some 42.6%). T</w:t>
      </w:r>
      <w:r w:rsidRPr="00C14A54">
        <w:rPr>
          <w:rFonts w:eastAsia="Calibri"/>
          <w:color w:val="000000"/>
          <w:sz w:val="24"/>
          <w:szCs w:val="24"/>
        </w:rPr>
        <w:t xml:space="preserve">his is probably because of the different specialisations </w:t>
      </w:r>
      <w:r>
        <w:rPr>
          <w:rFonts w:eastAsia="Calibri"/>
          <w:color w:val="000000"/>
          <w:sz w:val="24"/>
          <w:szCs w:val="24"/>
        </w:rPr>
        <w:t>s</w:t>
      </w:r>
      <w:r w:rsidRPr="00C14A54">
        <w:rPr>
          <w:rFonts w:eastAsia="Calibri"/>
          <w:color w:val="000000"/>
          <w:sz w:val="24"/>
          <w:szCs w:val="24"/>
        </w:rPr>
        <w:t xml:space="preserve">uch </w:t>
      </w:r>
      <w:r>
        <w:rPr>
          <w:rFonts w:eastAsia="Calibri"/>
          <w:color w:val="000000"/>
          <w:sz w:val="24"/>
          <w:szCs w:val="24"/>
        </w:rPr>
        <w:t xml:space="preserve">as </w:t>
      </w:r>
      <w:r w:rsidRPr="00C14A54">
        <w:rPr>
          <w:rFonts w:eastAsia="Calibri"/>
          <w:color w:val="000000"/>
          <w:sz w:val="24"/>
          <w:szCs w:val="24"/>
        </w:rPr>
        <w:t>civil, mechanical and electrical engineering that were simply grouped together as ‘</w:t>
      </w:r>
      <w:proofErr w:type="gramStart"/>
      <w:r w:rsidRPr="00C14A54">
        <w:rPr>
          <w:rFonts w:eastAsia="Calibri"/>
          <w:color w:val="000000"/>
          <w:sz w:val="24"/>
          <w:szCs w:val="24"/>
        </w:rPr>
        <w:t>engineers’</w:t>
      </w:r>
      <w:proofErr w:type="gramEnd"/>
      <w:r w:rsidRPr="00C14A54">
        <w:rPr>
          <w:rFonts w:eastAsia="Calibri"/>
          <w:color w:val="000000"/>
          <w:sz w:val="24"/>
          <w:szCs w:val="24"/>
        </w:rPr>
        <w:t xml:space="preserve">. </w:t>
      </w:r>
    </w:p>
    <w:p w14:paraId="7EC03EBD" w14:textId="77777777" w:rsidR="00F661AE" w:rsidRPr="008D1D68" w:rsidRDefault="00F661AE" w:rsidP="00F661AE">
      <w:pPr>
        <w:spacing w:line="360" w:lineRule="auto"/>
        <w:jc w:val="both"/>
        <w:rPr>
          <w:rFonts w:eastAsia="Calibri"/>
          <w:color w:val="000000"/>
          <w:sz w:val="24"/>
          <w:szCs w:val="24"/>
        </w:rPr>
      </w:pPr>
      <w:r w:rsidRPr="008D1D68">
        <w:rPr>
          <w:rFonts w:eastAsia="Calibri"/>
          <w:color w:val="000000"/>
          <w:sz w:val="24"/>
          <w:szCs w:val="24"/>
        </w:rPr>
        <w:t>The educational background of the respondents comprised mainly possession of higher national diplomas (HND) and bachelor degrees</w:t>
      </w:r>
      <w:r>
        <w:rPr>
          <w:rFonts w:eastAsia="Calibri"/>
          <w:color w:val="000000"/>
          <w:sz w:val="24"/>
          <w:szCs w:val="24"/>
        </w:rPr>
        <w:t xml:space="preserve"> (</w:t>
      </w:r>
      <w:proofErr w:type="spellStart"/>
      <w:proofErr w:type="gramStart"/>
      <w:r>
        <w:rPr>
          <w:rFonts w:eastAsia="Calibri"/>
          <w:color w:val="000000"/>
          <w:sz w:val="24"/>
          <w:szCs w:val="24"/>
        </w:rPr>
        <w:t>B.Sc</w:t>
      </w:r>
      <w:proofErr w:type="spellEnd"/>
      <w:proofErr w:type="gramEnd"/>
      <w:r>
        <w:rPr>
          <w:rFonts w:eastAsia="Calibri"/>
          <w:color w:val="000000"/>
          <w:sz w:val="24"/>
          <w:szCs w:val="24"/>
        </w:rPr>
        <w:t>)</w:t>
      </w:r>
      <w:r w:rsidRPr="008D1D68">
        <w:rPr>
          <w:rFonts w:eastAsia="Calibri"/>
          <w:color w:val="000000"/>
          <w:sz w:val="24"/>
          <w:szCs w:val="24"/>
        </w:rPr>
        <w:t xml:space="preserve"> in construction disciplines; some 61.5% of the sample fell into this group. The rest 38.5% comprised respondents who had obtained a second, more advanced degree. In this case, such respondents had obtained a </w:t>
      </w:r>
      <w:proofErr w:type="spellStart"/>
      <w:r w:rsidRPr="008D1D68">
        <w:rPr>
          <w:rFonts w:eastAsia="Calibri"/>
          <w:color w:val="000000"/>
          <w:sz w:val="24"/>
          <w:szCs w:val="24"/>
        </w:rPr>
        <w:t>masters</w:t>
      </w:r>
      <w:proofErr w:type="spellEnd"/>
      <w:r w:rsidRPr="008D1D68">
        <w:rPr>
          <w:rFonts w:eastAsia="Calibri"/>
          <w:color w:val="000000"/>
          <w:sz w:val="24"/>
          <w:szCs w:val="24"/>
        </w:rPr>
        <w:t xml:space="preserve"> degree.</w:t>
      </w:r>
      <w:r>
        <w:rPr>
          <w:rFonts w:eastAsia="Calibri"/>
          <w:color w:val="000000"/>
          <w:sz w:val="24"/>
          <w:szCs w:val="24"/>
        </w:rPr>
        <w:t xml:space="preserve"> </w:t>
      </w:r>
      <w:r w:rsidRPr="008D1D68">
        <w:rPr>
          <w:rFonts w:eastAsia="Calibri"/>
          <w:color w:val="000000"/>
          <w:sz w:val="24"/>
          <w:szCs w:val="24"/>
        </w:rPr>
        <w:t xml:space="preserve">It was found that a little over two thirds of the study had worked for less than 16 years. 19.2% of the respondents had worked for between 16 years and 25 years, while the rest 11.5% of the sample had worked for more than 25 years. </w:t>
      </w:r>
    </w:p>
    <w:p w14:paraId="3033E3E1" w14:textId="77777777" w:rsidR="00F661AE" w:rsidRDefault="00F661AE" w:rsidP="00F661AE">
      <w:pPr>
        <w:spacing w:line="360" w:lineRule="auto"/>
        <w:jc w:val="both"/>
        <w:rPr>
          <w:rFonts w:eastAsia="Calibri"/>
          <w:color w:val="000000"/>
          <w:sz w:val="24"/>
          <w:szCs w:val="24"/>
        </w:rPr>
      </w:pPr>
    </w:p>
    <w:p w14:paraId="51B9F518" w14:textId="77777777" w:rsidR="00F661AE" w:rsidRPr="001917F5" w:rsidRDefault="00F661AE" w:rsidP="00F661AE">
      <w:pPr>
        <w:rPr>
          <w:sz w:val="24"/>
          <w:szCs w:val="24"/>
        </w:rPr>
      </w:pPr>
      <w:r w:rsidRPr="001917F5">
        <w:rPr>
          <w:sz w:val="24"/>
          <w:szCs w:val="24"/>
        </w:rPr>
        <w:t>Table 4.1: Demographic analysis of questionnaire survey results</w:t>
      </w:r>
    </w:p>
    <w:tbl>
      <w:tblPr>
        <w:tblW w:w="7747" w:type="dxa"/>
        <w:tblInd w:w="108" w:type="dxa"/>
        <w:tblBorders>
          <w:top w:val="single" w:sz="4" w:space="0" w:color="auto"/>
          <w:bottom w:val="single" w:sz="4" w:space="0" w:color="auto"/>
        </w:tblBorders>
        <w:tblLook w:val="04A0" w:firstRow="1" w:lastRow="0" w:firstColumn="1" w:lastColumn="0" w:noHBand="0" w:noVBand="1"/>
      </w:tblPr>
      <w:tblGrid>
        <w:gridCol w:w="1663"/>
        <w:gridCol w:w="2955"/>
        <w:gridCol w:w="1542"/>
        <w:gridCol w:w="1587"/>
      </w:tblGrid>
      <w:tr w:rsidR="00F661AE" w:rsidRPr="001917F5" w14:paraId="33CE1F97" w14:textId="77777777" w:rsidTr="00F661AE">
        <w:trPr>
          <w:cantSplit/>
          <w:trHeight w:val="144"/>
        </w:trPr>
        <w:tc>
          <w:tcPr>
            <w:tcW w:w="4618" w:type="dxa"/>
            <w:gridSpan w:val="2"/>
            <w:tcBorders>
              <w:top w:val="single" w:sz="4" w:space="0" w:color="auto"/>
              <w:bottom w:val="single" w:sz="4" w:space="0" w:color="auto"/>
            </w:tcBorders>
            <w:shd w:val="clear" w:color="auto" w:fill="auto"/>
            <w:hideMark/>
          </w:tcPr>
          <w:p w14:paraId="65FC890F" w14:textId="77777777" w:rsidR="00F661AE" w:rsidRPr="001917F5" w:rsidRDefault="00F661AE" w:rsidP="00F661AE">
            <w:pPr>
              <w:spacing w:after="60"/>
              <w:rPr>
                <w:b/>
                <w:bCs/>
                <w:color w:val="000000"/>
                <w:lang w:eastAsia="en-GB"/>
              </w:rPr>
            </w:pPr>
            <w:r w:rsidRPr="001917F5">
              <w:rPr>
                <w:b/>
                <w:bCs/>
                <w:color w:val="000000"/>
                <w:lang w:eastAsia="en-GB"/>
              </w:rPr>
              <w:t>Demographic parameters</w:t>
            </w:r>
          </w:p>
        </w:tc>
        <w:tc>
          <w:tcPr>
            <w:tcW w:w="1542" w:type="dxa"/>
            <w:tcBorders>
              <w:top w:val="single" w:sz="4" w:space="0" w:color="auto"/>
              <w:bottom w:val="single" w:sz="4" w:space="0" w:color="auto"/>
            </w:tcBorders>
            <w:shd w:val="clear" w:color="auto" w:fill="auto"/>
            <w:hideMark/>
          </w:tcPr>
          <w:p w14:paraId="24230182" w14:textId="77777777" w:rsidR="00F661AE" w:rsidRPr="001917F5" w:rsidRDefault="00F661AE" w:rsidP="00F661AE">
            <w:pPr>
              <w:spacing w:after="60"/>
              <w:rPr>
                <w:b/>
                <w:bCs/>
                <w:color w:val="000000"/>
                <w:lang w:eastAsia="en-GB"/>
              </w:rPr>
            </w:pPr>
            <w:r w:rsidRPr="001917F5">
              <w:rPr>
                <w:b/>
                <w:bCs/>
                <w:color w:val="000000"/>
                <w:lang w:eastAsia="en-GB"/>
              </w:rPr>
              <w:t>Frequency</w:t>
            </w:r>
          </w:p>
        </w:tc>
        <w:tc>
          <w:tcPr>
            <w:tcW w:w="1587" w:type="dxa"/>
            <w:tcBorders>
              <w:top w:val="single" w:sz="4" w:space="0" w:color="auto"/>
              <w:bottom w:val="single" w:sz="4" w:space="0" w:color="auto"/>
            </w:tcBorders>
            <w:shd w:val="clear" w:color="auto" w:fill="auto"/>
            <w:hideMark/>
          </w:tcPr>
          <w:p w14:paraId="6DFD91C5" w14:textId="77777777" w:rsidR="00F661AE" w:rsidRPr="001917F5" w:rsidRDefault="00F661AE" w:rsidP="00F661AE">
            <w:pPr>
              <w:spacing w:after="60"/>
              <w:rPr>
                <w:b/>
                <w:bCs/>
                <w:color w:val="000000"/>
                <w:lang w:eastAsia="en-GB"/>
              </w:rPr>
            </w:pPr>
            <w:r w:rsidRPr="001917F5">
              <w:rPr>
                <w:b/>
                <w:bCs/>
                <w:color w:val="000000"/>
                <w:lang w:eastAsia="en-GB"/>
              </w:rPr>
              <w:t>Percentage</w:t>
            </w:r>
          </w:p>
        </w:tc>
      </w:tr>
      <w:tr w:rsidR="00F661AE" w:rsidRPr="001917F5" w14:paraId="67CD90B4" w14:textId="77777777" w:rsidTr="00F661AE">
        <w:trPr>
          <w:cantSplit/>
          <w:trHeight w:val="144"/>
        </w:trPr>
        <w:tc>
          <w:tcPr>
            <w:tcW w:w="1663" w:type="dxa"/>
            <w:shd w:val="clear" w:color="auto" w:fill="auto"/>
            <w:hideMark/>
          </w:tcPr>
          <w:p w14:paraId="059EA26D" w14:textId="77777777" w:rsidR="00F661AE" w:rsidRPr="001917F5" w:rsidRDefault="00F661AE" w:rsidP="00F661AE">
            <w:pPr>
              <w:spacing w:after="60"/>
              <w:rPr>
                <w:color w:val="000000"/>
                <w:lang w:eastAsia="en-GB"/>
              </w:rPr>
            </w:pPr>
            <w:r w:rsidRPr="001917F5">
              <w:rPr>
                <w:color w:val="000000"/>
                <w:lang w:eastAsia="en-GB"/>
              </w:rPr>
              <w:t>Gender</w:t>
            </w:r>
          </w:p>
        </w:tc>
        <w:tc>
          <w:tcPr>
            <w:tcW w:w="2955" w:type="dxa"/>
            <w:shd w:val="clear" w:color="auto" w:fill="auto"/>
            <w:hideMark/>
          </w:tcPr>
          <w:p w14:paraId="31C9D669" w14:textId="77777777" w:rsidR="00F661AE" w:rsidRPr="001917F5" w:rsidRDefault="00F661AE" w:rsidP="00F661AE">
            <w:pPr>
              <w:spacing w:after="60"/>
              <w:rPr>
                <w:color w:val="000000"/>
                <w:lang w:eastAsia="en-GB"/>
              </w:rPr>
            </w:pPr>
            <w:r w:rsidRPr="001917F5">
              <w:rPr>
                <w:color w:val="000000"/>
                <w:lang w:eastAsia="en-GB"/>
              </w:rPr>
              <w:t>Female</w:t>
            </w:r>
          </w:p>
        </w:tc>
        <w:tc>
          <w:tcPr>
            <w:tcW w:w="1542" w:type="dxa"/>
            <w:shd w:val="clear" w:color="auto" w:fill="auto"/>
            <w:hideMark/>
          </w:tcPr>
          <w:p w14:paraId="2733576F" w14:textId="77777777" w:rsidR="00F661AE" w:rsidRPr="001917F5" w:rsidRDefault="00F661AE" w:rsidP="00F661AE">
            <w:pPr>
              <w:spacing w:after="60"/>
              <w:rPr>
                <w:color w:val="000000"/>
                <w:lang w:eastAsia="en-GB"/>
              </w:rPr>
            </w:pPr>
            <w:r w:rsidRPr="001917F5">
              <w:rPr>
                <w:color w:val="000000"/>
                <w:lang w:eastAsia="en-GB"/>
              </w:rPr>
              <w:t>3</w:t>
            </w:r>
          </w:p>
        </w:tc>
        <w:tc>
          <w:tcPr>
            <w:tcW w:w="1587" w:type="dxa"/>
            <w:shd w:val="clear" w:color="auto" w:fill="auto"/>
            <w:hideMark/>
          </w:tcPr>
          <w:p w14:paraId="77ADF644" w14:textId="77777777" w:rsidR="00F661AE" w:rsidRPr="001917F5" w:rsidRDefault="00F661AE" w:rsidP="00F661AE">
            <w:pPr>
              <w:spacing w:after="60"/>
              <w:rPr>
                <w:color w:val="000000"/>
                <w:lang w:eastAsia="en-GB"/>
              </w:rPr>
            </w:pPr>
            <w:r w:rsidRPr="001917F5">
              <w:rPr>
                <w:color w:val="000000"/>
                <w:lang w:eastAsia="en-GB"/>
              </w:rPr>
              <w:t>11.5</w:t>
            </w:r>
          </w:p>
        </w:tc>
      </w:tr>
      <w:tr w:rsidR="00F661AE" w:rsidRPr="001917F5" w14:paraId="4582BEE9" w14:textId="77777777" w:rsidTr="00F661AE">
        <w:trPr>
          <w:cantSplit/>
          <w:trHeight w:val="144"/>
        </w:trPr>
        <w:tc>
          <w:tcPr>
            <w:tcW w:w="1663" w:type="dxa"/>
            <w:shd w:val="clear" w:color="auto" w:fill="auto"/>
            <w:hideMark/>
          </w:tcPr>
          <w:p w14:paraId="543528EC" w14:textId="77777777" w:rsidR="00F661AE" w:rsidRPr="001917F5" w:rsidRDefault="00F661AE" w:rsidP="00F661AE">
            <w:pPr>
              <w:spacing w:after="60"/>
              <w:rPr>
                <w:color w:val="000000"/>
                <w:lang w:eastAsia="en-GB"/>
              </w:rPr>
            </w:pPr>
          </w:p>
        </w:tc>
        <w:tc>
          <w:tcPr>
            <w:tcW w:w="2955" w:type="dxa"/>
            <w:shd w:val="clear" w:color="auto" w:fill="auto"/>
            <w:hideMark/>
          </w:tcPr>
          <w:p w14:paraId="166FD648" w14:textId="77777777" w:rsidR="00F661AE" w:rsidRPr="001917F5" w:rsidRDefault="00F661AE" w:rsidP="00F661AE">
            <w:pPr>
              <w:spacing w:after="60"/>
              <w:rPr>
                <w:color w:val="000000"/>
                <w:lang w:eastAsia="en-GB"/>
              </w:rPr>
            </w:pPr>
            <w:r w:rsidRPr="001917F5">
              <w:rPr>
                <w:color w:val="000000"/>
                <w:lang w:eastAsia="en-GB"/>
              </w:rPr>
              <w:t>Male</w:t>
            </w:r>
          </w:p>
        </w:tc>
        <w:tc>
          <w:tcPr>
            <w:tcW w:w="1542" w:type="dxa"/>
            <w:shd w:val="clear" w:color="auto" w:fill="auto"/>
            <w:hideMark/>
          </w:tcPr>
          <w:p w14:paraId="5B7C34E3" w14:textId="77777777" w:rsidR="00F661AE" w:rsidRPr="001917F5" w:rsidRDefault="00F661AE" w:rsidP="00F661AE">
            <w:pPr>
              <w:spacing w:after="60"/>
              <w:rPr>
                <w:color w:val="000000"/>
                <w:lang w:eastAsia="en-GB"/>
              </w:rPr>
            </w:pPr>
            <w:r w:rsidRPr="001917F5">
              <w:rPr>
                <w:color w:val="000000"/>
                <w:lang w:eastAsia="en-GB"/>
              </w:rPr>
              <w:t>23</w:t>
            </w:r>
          </w:p>
        </w:tc>
        <w:tc>
          <w:tcPr>
            <w:tcW w:w="1587" w:type="dxa"/>
            <w:shd w:val="clear" w:color="auto" w:fill="auto"/>
            <w:hideMark/>
          </w:tcPr>
          <w:p w14:paraId="4705D32A" w14:textId="77777777" w:rsidR="00F661AE" w:rsidRPr="001917F5" w:rsidRDefault="00F661AE" w:rsidP="00F661AE">
            <w:pPr>
              <w:spacing w:after="60"/>
              <w:rPr>
                <w:color w:val="000000"/>
                <w:lang w:eastAsia="en-GB"/>
              </w:rPr>
            </w:pPr>
            <w:r w:rsidRPr="001917F5">
              <w:rPr>
                <w:color w:val="000000"/>
                <w:lang w:eastAsia="en-GB"/>
              </w:rPr>
              <w:t>88.5</w:t>
            </w:r>
          </w:p>
        </w:tc>
      </w:tr>
      <w:tr w:rsidR="00F661AE" w:rsidRPr="001917F5" w14:paraId="1105449F" w14:textId="77777777" w:rsidTr="00F661AE">
        <w:trPr>
          <w:cantSplit/>
          <w:trHeight w:val="144"/>
        </w:trPr>
        <w:tc>
          <w:tcPr>
            <w:tcW w:w="1663" w:type="dxa"/>
            <w:shd w:val="clear" w:color="auto" w:fill="auto"/>
            <w:hideMark/>
          </w:tcPr>
          <w:p w14:paraId="43E2C384" w14:textId="77777777" w:rsidR="00F661AE" w:rsidRPr="001917F5" w:rsidRDefault="00F661AE" w:rsidP="00F661AE">
            <w:pPr>
              <w:spacing w:after="60"/>
              <w:rPr>
                <w:color w:val="000000"/>
                <w:lang w:eastAsia="en-GB"/>
              </w:rPr>
            </w:pPr>
            <w:r w:rsidRPr="001917F5">
              <w:rPr>
                <w:color w:val="000000"/>
                <w:lang w:eastAsia="en-GB"/>
              </w:rPr>
              <w:t>Profession</w:t>
            </w:r>
          </w:p>
        </w:tc>
        <w:tc>
          <w:tcPr>
            <w:tcW w:w="2955" w:type="dxa"/>
            <w:shd w:val="clear" w:color="auto" w:fill="auto"/>
            <w:hideMark/>
          </w:tcPr>
          <w:p w14:paraId="6D7374BE" w14:textId="77777777" w:rsidR="00F661AE" w:rsidRPr="001917F5" w:rsidRDefault="00F661AE" w:rsidP="00F661AE">
            <w:pPr>
              <w:spacing w:after="60"/>
              <w:rPr>
                <w:color w:val="000000"/>
                <w:lang w:eastAsia="en-GB"/>
              </w:rPr>
            </w:pPr>
            <w:r w:rsidRPr="001917F5">
              <w:rPr>
                <w:color w:val="000000"/>
                <w:lang w:eastAsia="en-GB"/>
              </w:rPr>
              <w:t>Architect</w:t>
            </w:r>
          </w:p>
        </w:tc>
        <w:tc>
          <w:tcPr>
            <w:tcW w:w="1542" w:type="dxa"/>
            <w:shd w:val="clear" w:color="auto" w:fill="auto"/>
            <w:hideMark/>
          </w:tcPr>
          <w:p w14:paraId="01529C68" w14:textId="77777777" w:rsidR="00F661AE" w:rsidRPr="001917F5" w:rsidRDefault="00F661AE" w:rsidP="00F661AE">
            <w:pPr>
              <w:spacing w:after="60"/>
              <w:rPr>
                <w:color w:val="000000"/>
                <w:lang w:eastAsia="en-GB"/>
              </w:rPr>
            </w:pPr>
            <w:r w:rsidRPr="001917F5">
              <w:rPr>
                <w:color w:val="000000"/>
                <w:lang w:eastAsia="en-GB"/>
              </w:rPr>
              <w:t>4</w:t>
            </w:r>
          </w:p>
        </w:tc>
        <w:tc>
          <w:tcPr>
            <w:tcW w:w="1587" w:type="dxa"/>
            <w:shd w:val="clear" w:color="auto" w:fill="auto"/>
            <w:hideMark/>
          </w:tcPr>
          <w:p w14:paraId="5946ED2A" w14:textId="77777777" w:rsidR="00F661AE" w:rsidRPr="001917F5" w:rsidRDefault="00F661AE" w:rsidP="00F661AE">
            <w:pPr>
              <w:spacing w:after="60"/>
              <w:rPr>
                <w:color w:val="000000"/>
                <w:lang w:eastAsia="en-GB"/>
              </w:rPr>
            </w:pPr>
            <w:r w:rsidRPr="001917F5">
              <w:rPr>
                <w:color w:val="000000"/>
                <w:lang w:eastAsia="en-GB"/>
              </w:rPr>
              <w:t>15.4</w:t>
            </w:r>
          </w:p>
        </w:tc>
      </w:tr>
      <w:tr w:rsidR="00F661AE" w:rsidRPr="001917F5" w14:paraId="17B04278" w14:textId="77777777" w:rsidTr="00F661AE">
        <w:trPr>
          <w:cantSplit/>
          <w:trHeight w:val="144"/>
        </w:trPr>
        <w:tc>
          <w:tcPr>
            <w:tcW w:w="1663" w:type="dxa"/>
            <w:shd w:val="clear" w:color="auto" w:fill="auto"/>
            <w:hideMark/>
          </w:tcPr>
          <w:p w14:paraId="122636F8" w14:textId="77777777" w:rsidR="00F661AE" w:rsidRPr="001917F5" w:rsidRDefault="00F661AE" w:rsidP="00F661AE">
            <w:pPr>
              <w:spacing w:after="60"/>
              <w:rPr>
                <w:color w:val="000000"/>
                <w:lang w:eastAsia="en-GB"/>
              </w:rPr>
            </w:pPr>
          </w:p>
        </w:tc>
        <w:tc>
          <w:tcPr>
            <w:tcW w:w="2955" w:type="dxa"/>
            <w:shd w:val="clear" w:color="auto" w:fill="auto"/>
            <w:hideMark/>
          </w:tcPr>
          <w:p w14:paraId="5F178C34" w14:textId="77777777" w:rsidR="00F661AE" w:rsidRPr="001917F5" w:rsidRDefault="00F661AE" w:rsidP="00F661AE">
            <w:pPr>
              <w:spacing w:after="60"/>
              <w:rPr>
                <w:color w:val="000000"/>
                <w:lang w:eastAsia="en-GB"/>
              </w:rPr>
            </w:pPr>
            <w:r w:rsidRPr="001917F5">
              <w:rPr>
                <w:color w:val="000000"/>
                <w:lang w:eastAsia="en-GB"/>
              </w:rPr>
              <w:t>Builder</w:t>
            </w:r>
          </w:p>
        </w:tc>
        <w:tc>
          <w:tcPr>
            <w:tcW w:w="1542" w:type="dxa"/>
            <w:shd w:val="clear" w:color="auto" w:fill="auto"/>
            <w:hideMark/>
          </w:tcPr>
          <w:p w14:paraId="256A8501" w14:textId="77777777" w:rsidR="00F661AE" w:rsidRPr="001917F5" w:rsidRDefault="00F661AE" w:rsidP="00F661AE">
            <w:pPr>
              <w:spacing w:after="60"/>
              <w:rPr>
                <w:color w:val="000000"/>
                <w:lang w:eastAsia="en-GB"/>
              </w:rPr>
            </w:pPr>
            <w:r w:rsidRPr="001917F5">
              <w:rPr>
                <w:color w:val="000000"/>
                <w:lang w:eastAsia="en-GB"/>
              </w:rPr>
              <w:t>1</w:t>
            </w:r>
          </w:p>
        </w:tc>
        <w:tc>
          <w:tcPr>
            <w:tcW w:w="1587" w:type="dxa"/>
            <w:shd w:val="clear" w:color="auto" w:fill="auto"/>
            <w:hideMark/>
          </w:tcPr>
          <w:p w14:paraId="027D303D" w14:textId="77777777" w:rsidR="00F661AE" w:rsidRPr="001917F5" w:rsidRDefault="00F661AE" w:rsidP="00F661AE">
            <w:pPr>
              <w:spacing w:after="60"/>
              <w:rPr>
                <w:color w:val="000000"/>
                <w:lang w:eastAsia="en-GB"/>
              </w:rPr>
            </w:pPr>
            <w:r w:rsidRPr="001917F5">
              <w:rPr>
                <w:color w:val="000000"/>
                <w:lang w:eastAsia="en-GB"/>
              </w:rPr>
              <w:t>3.8</w:t>
            </w:r>
          </w:p>
        </w:tc>
      </w:tr>
      <w:tr w:rsidR="00F661AE" w:rsidRPr="001917F5" w14:paraId="44EDE05A" w14:textId="77777777" w:rsidTr="00F661AE">
        <w:trPr>
          <w:cantSplit/>
          <w:trHeight w:val="144"/>
        </w:trPr>
        <w:tc>
          <w:tcPr>
            <w:tcW w:w="1663" w:type="dxa"/>
            <w:shd w:val="clear" w:color="auto" w:fill="auto"/>
            <w:hideMark/>
          </w:tcPr>
          <w:p w14:paraId="5FF2B2D0" w14:textId="77777777" w:rsidR="00F661AE" w:rsidRPr="001917F5" w:rsidRDefault="00F661AE" w:rsidP="00F661AE">
            <w:pPr>
              <w:spacing w:after="60"/>
              <w:rPr>
                <w:color w:val="000000"/>
                <w:lang w:eastAsia="en-GB"/>
              </w:rPr>
            </w:pPr>
          </w:p>
        </w:tc>
        <w:tc>
          <w:tcPr>
            <w:tcW w:w="2955" w:type="dxa"/>
            <w:shd w:val="clear" w:color="auto" w:fill="auto"/>
            <w:hideMark/>
          </w:tcPr>
          <w:p w14:paraId="7CC2AF66" w14:textId="77777777" w:rsidR="00F661AE" w:rsidRPr="001917F5" w:rsidRDefault="00F661AE" w:rsidP="00F661AE">
            <w:pPr>
              <w:spacing w:after="60"/>
              <w:rPr>
                <w:color w:val="000000"/>
                <w:lang w:eastAsia="en-GB"/>
              </w:rPr>
            </w:pPr>
            <w:r w:rsidRPr="001917F5">
              <w:rPr>
                <w:color w:val="000000"/>
                <w:lang w:eastAsia="en-GB"/>
              </w:rPr>
              <w:t>Engineer</w:t>
            </w:r>
          </w:p>
        </w:tc>
        <w:tc>
          <w:tcPr>
            <w:tcW w:w="1542" w:type="dxa"/>
            <w:shd w:val="clear" w:color="auto" w:fill="auto"/>
            <w:hideMark/>
          </w:tcPr>
          <w:p w14:paraId="53CFD417" w14:textId="77777777" w:rsidR="00F661AE" w:rsidRPr="001917F5" w:rsidRDefault="00F661AE" w:rsidP="00F661AE">
            <w:pPr>
              <w:spacing w:after="60"/>
              <w:rPr>
                <w:color w:val="000000"/>
                <w:lang w:eastAsia="en-GB"/>
              </w:rPr>
            </w:pPr>
            <w:r w:rsidRPr="001917F5">
              <w:rPr>
                <w:color w:val="000000"/>
                <w:lang w:eastAsia="en-GB"/>
              </w:rPr>
              <w:t>12</w:t>
            </w:r>
          </w:p>
        </w:tc>
        <w:tc>
          <w:tcPr>
            <w:tcW w:w="1587" w:type="dxa"/>
            <w:shd w:val="clear" w:color="auto" w:fill="auto"/>
            <w:hideMark/>
          </w:tcPr>
          <w:p w14:paraId="67084FE5" w14:textId="77777777" w:rsidR="00F661AE" w:rsidRPr="001917F5" w:rsidRDefault="00F661AE" w:rsidP="00F661AE">
            <w:pPr>
              <w:spacing w:after="60"/>
              <w:rPr>
                <w:color w:val="000000"/>
                <w:lang w:eastAsia="en-GB"/>
              </w:rPr>
            </w:pPr>
            <w:r w:rsidRPr="001917F5">
              <w:rPr>
                <w:color w:val="000000"/>
                <w:lang w:eastAsia="en-GB"/>
              </w:rPr>
              <w:t>46.2</w:t>
            </w:r>
          </w:p>
        </w:tc>
      </w:tr>
      <w:tr w:rsidR="00F661AE" w:rsidRPr="001917F5" w14:paraId="12727C83" w14:textId="77777777" w:rsidTr="00F661AE">
        <w:trPr>
          <w:cantSplit/>
          <w:trHeight w:val="144"/>
        </w:trPr>
        <w:tc>
          <w:tcPr>
            <w:tcW w:w="1663" w:type="dxa"/>
            <w:shd w:val="clear" w:color="auto" w:fill="auto"/>
            <w:hideMark/>
          </w:tcPr>
          <w:p w14:paraId="74C4C691" w14:textId="77777777" w:rsidR="00F661AE" w:rsidRPr="001917F5" w:rsidRDefault="00F661AE" w:rsidP="00F661AE">
            <w:pPr>
              <w:spacing w:after="60"/>
              <w:rPr>
                <w:color w:val="000000"/>
                <w:lang w:eastAsia="en-GB"/>
              </w:rPr>
            </w:pPr>
          </w:p>
        </w:tc>
        <w:tc>
          <w:tcPr>
            <w:tcW w:w="2955" w:type="dxa"/>
            <w:shd w:val="clear" w:color="auto" w:fill="auto"/>
            <w:hideMark/>
          </w:tcPr>
          <w:p w14:paraId="3C029BC4" w14:textId="77777777" w:rsidR="00F661AE" w:rsidRPr="001917F5" w:rsidRDefault="00F661AE" w:rsidP="00F661AE">
            <w:pPr>
              <w:spacing w:after="60"/>
              <w:rPr>
                <w:color w:val="000000"/>
                <w:lang w:eastAsia="en-GB"/>
              </w:rPr>
            </w:pPr>
            <w:r w:rsidRPr="001917F5">
              <w:rPr>
                <w:color w:val="000000"/>
                <w:lang w:eastAsia="en-GB"/>
              </w:rPr>
              <w:t>Estate Surveyor</w:t>
            </w:r>
          </w:p>
        </w:tc>
        <w:tc>
          <w:tcPr>
            <w:tcW w:w="1542" w:type="dxa"/>
            <w:shd w:val="clear" w:color="auto" w:fill="auto"/>
            <w:hideMark/>
          </w:tcPr>
          <w:p w14:paraId="4B1E880B" w14:textId="77777777" w:rsidR="00F661AE" w:rsidRPr="001917F5" w:rsidRDefault="00F661AE" w:rsidP="00F661AE">
            <w:pPr>
              <w:spacing w:after="60"/>
              <w:rPr>
                <w:color w:val="000000"/>
                <w:lang w:eastAsia="en-GB"/>
              </w:rPr>
            </w:pPr>
            <w:r w:rsidRPr="001917F5">
              <w:rPr>
                <w:color w:val="000000"/>
                <w:lang w:eastAsia="en-GB"/>
              </w:rPr>
              <w:t>0</w:t>
            </w:r>
          </w:p>
        </w:tc>
        <w:tc>
          <w:tcPr>
            <w:tcW w:w="1587" w:type="dxa"/>
            <w:shd w:val="clear" w:color="auto" w:fill="auto"/>
            <w:hideMark/>
          </w:tcPr>
          <w:p w14:paraId="6D55DFAA" w14:textId="77777777" w:rsidR="00F661AE" w:rsidRPr="001917F5" w:rsidRDefault="00F661AE" w:rsidP="00F661AE">
            <w:pPr>
              <w:spacing w:after="60"/>
              <w:rPr>
                <w:color w:val="000000"/>
                <w:lang w:eastAsia="en-GB"/>
              </w:rPr>
            </w:pPr>
            <w:r w:rsidRPr="001917F5">
              <w:rPr>
                <w:color w:val="000000"/>
                <w:lang w:eastAsia="en-GB"/>
              </w:rPr>
              <w:t>0.0</w:t>
            </w:r>
          </w:p>
        </w:tc>
      </w:tr>
      <w:tr w:rsidR="00F661AE" w:rsidRPr="001917F5" w14:paraId="3E8D92AD" w14:textId="77777777" w:rsidTr="00F661AE">
        <w:trPr>
          <w:cantSplit/>
          <w:trHeight w:val="144"/>
        </w:trPr>
        <w:tc>
          <w:tcPr>
            <w:tcW w:w="1663" w:type="dxa"/>
            <w:shd w:val="clear" w:color="auto" w:fill="auto"/>
            <w:hideMark/>
          </w:tcPr>
          <w:p w14:paraId="4D1F7BE4" w14:textId="77777777" w:rsidR="00F661AE" w:rsidRPr="001917F5" w:rsidRDefault="00F661AE" w:rsidP="00F661AE">
            <w:pPr>
              <w:spacing w:after="60"/>
              <w:rPr>
                <w:color w:val="000000"/>
                <w:lang w:eastAsia="en-GB"/>
              </w:rPr>
            </w:pPr>
          </w:p>
        </w:tc>
        <w:tc>
          <w:tcPr>
            <w:tcW w:w="2955" w:type="dxa"/>
            <w:shd w:val="clear" w:color="auto" w:fill="auto"/>
            <w:hideMark/>
          </w:tcPr>
          <w:p w14:paraId="4BE0AC8C" w14:textId="77777777" w:rsidR="00F661AE" w:rsidRPr="001917F5" w:rsidRDefault="00F661AE" w:rsidP="00F661AE">
            <w:pPr>
              <w:spacing w:after="60"/>
              <w:rPr>
                <w:color w:val="000000"/>
                <w:lang w:eastAsia="en-GB"/>
              </w:rPr>
            </w:pPr>
            <w:r w:rsidRPr="001917F5">
              <w:rPr>
                <w:color w:val="000000"/>
                <w:lang w:eastAsia="en-GB"/>
              </w:rPr>
              <w:t>Quantity Surveyor</w:t>
            </w:r>
          </w:p>
        </w:tc>
        <w:tc>
          <w:tcPr>
            <w:tcW w:w="1542" w:type="dxa"/>
            <w:shd w:val="clear" w:color="auto" w:fill="auto"/>
            <w:hideMark/>
          </w:tcPr>
          <w:p w14:paraId="05486515" w14:textId="77777777" w:rsidR="00F661AE" w:rsidRPr="001917F5" w:rsidRDefault="00F661AE" w:rsidP="00F661AE">
            <w:pPr>
              <w:spacing w:after="60"/>
              <w:rPr>
                <w:color w:val="000000"/>
                <w:lang w:eastAsia="en-GB"/>
              </w:rPr>
            </w:pPr>
            <w:r w:rsidRPr="001917F5">
              <w:rPr>
                <w:color w:val="000000"/>
                <w:lang w:eastAsia="en-GB"/>
              </w:rPr>
              <w:t>5</w:t>
            </w:r>
          </w:p>
        </w:tc>
        <w:tc>
          <w:tcPr>
            <w:tcW w:w="1587" w:type="dxa"/>
            <w:shd w:val="clear" w:color="auto" w:fill="auto"/>
            <w:hideMark/>
          </w:tcPr>
          <w:p w14:paraId="455A9186" w14:textId="77777777" w:rsidR="00F661AE" w:rsidRPr="001917F5" w:rsidRDefault="00F661AE" w:rsidP="00F661AE">
            <w:pPr>
              <w:spacing w:after="60"/>
              <w:rPr>
                <w:color w:val="000000"/>
                <w:lang w:eastAsia="en-GB"/>
              </w:rPr>
            </w:pPr>
            <w:r w:rsidRPr="001917F5">
              <w:rPr>
                <w:color w:val="000000"/>
                <w:lang w:eastAsia="en-GB"/>
              </w:rPr>
              <w:t>19.2</w:t>
            </w:r>
          </w:p>
        </w:tc>
      </w:tr>
      <w:tr w:rsidR="00F661AE" w:rsidRPr="001917F5" w14:paraId="5EEDC42C" w14:textId="77777777" w:rsidTr="00F661AE">
        <w:trPr>
          <w:cantSplit/>
          <w:trHeight w:val="144"/>
        </w:trPr>
        <w:tc>
          <w:tcPr>
            <w:tcW w:w="1663" w:type="dxa"/>
            <w:shd w:val="clear" w:color="auto" w:fill="auto"/>
            <w:hideMark/>
          </w:tcPr>
          <w:p w14:paraId="5840DE3F" w14:textId="77777777" w:rsidR="00F661AE" w:rsidRPr="001917F5" w:rsidRDefault="00F661AE" w:rsidP="00F661AE">
            <w:pPr>
              <w:spacing w:after="60"/>
              <w:rPr>
                <w:color w:val="000000"/>
                <w:lang w:eastAsia="en-GB"/>
              </w:rPr>
            </w:pPr>
          </w:p>
        </w:tc>
        <w:tc>
          <w:tcPr>
            <w:tcW w:w="2955" w:type="dxa"/>
            <w:shd w:val="clear" w:color="auto" w:fill="auto"/>
            <w:hideMark/>
          </w:tcPr>
          <w:p w14:paraId="4B9B0A33" w14:textId="77777777" w:rsidR="00F661AE" w:rsidRPr="001917F5" w:rsidRDefault="00F661AE" w:rsidP="00F661AE">
            <w:pPr>
              <w:spacing w:after="60"/>
              <w:rPr>
                <w:color w:val="000000"/>
                <w:lang w:eastAsia="en-GB"/>
              </w:rPr>
            </w:pPr>
            <w:r w:rsidRPr="001917F5">
              <w:rPr>
                <w:color w:val="000000"/>
                <w:lang w:eastAsia="en-GB"/>
              </w:rPr>
              <w:t>Town Planner</w:t>
            </w:r>
          </w:p>
        </w:tc>
        <w:tc>
          <w:tcPr>
            <w:tcW w:w="1542" w:type="dxa"/>
            <w:shd w:val="clear" w:color="auto" w:fill="auto"/>
            <w:hideMark/>
          </w:tcPr>
          <w:p w14:paraId="15E33546" w14:textId="77777777" w:rsidR="00F661AE" w:rsidRPr="001917F5" w:rsidRDefault="00F661AE" w:rsidP="00F661AE">
            <w:pPr>
              <w:spacing w:after="60"/>
              <w:rPr>
                <w:color w:val="000000"/>
                <w:lang w:eastAsia="en-GB"/>
              </w:rPr>
            </w:pPr>
            <w:r w:rsidRPr="001917F5">
              <w:rPr>
                <w:color w:val="000000"/>
                <w:lang w:eastAsia="en-GB"/>
              </w:rPr>
              <w:t>0</w:t>
            </w:r>
          </w:p>
        </w:tc>
        <w:tc>
          <w:tcPr>
            <w:tcW w:w="1587" w:type="dxa"/>
            <w:shd w:val="clear" w:color="auto" w:fill="auto"/>
            <w:hideMark/>
          </w:tcPr>
          <w:p w14:paraId="487F83BD" w14:textId="77777777" w:rsidR="00F661AE" w:rsidRPr="001917F5" w:rsidRDefault="00F661AE" w:rsidP="00F661AE">
            <w:pPr>
              <w:spacing w:after="60"/>
              <w:rPr>
                <w:color w:val="000000"/>
                <w:lang w:eastAsia="en-GB"/>
              </w:rPr>
            </w:pPr>
            <w:r w:rsidRPr="001917F5">
              <w:rPr>
                <w:color w:val="000000"/>
                <w:lang w:eastAsia="en-GB"/>
              </w:rPr>
              <w:t>0.0</w:t>
            </w:r>
          </w:p>
        </w:tc>
      </w:tr>
      <w:tr w:rsidR="00F661AE" w:rsidRPr="001917F5" w14:paraId="47A44CAA" w14:textId="77777777" w:rsidTr="00F661AE">
        <w:trPr>
          <w:cantSplit/>
          <w:trHeight w:val="144"/>
        </w:trPr>
        <w:tc>
          <w:tcPr>
            <w:tcW w:w="1663" w:type="dxa"/>
            <w:shd w:val="clear" w:color="auto" w:fill="auto"/>
            <w:hideMark/>
          </w:tcPr>
          <w:p w14:paraId="628BB602" w14:textId="77777777" w:rsidR="00F661AE" w:rsidRPr="001917F5" w:rsidRDefault="00F661AE" w:rsidP="00F661AE">
            <w:pPr>
              <w:spacing w:after="60"/>
              <w:rPr>
                <w:color w:val="000000"/>
                <w:lang w:eastAsia="en-GB"/>
              </w:rPr>
            </w:pPr>
          </w:p>
        </w:tc>
        <w:tc>
          <w:tcPr>
            <w:tcW w:w="2955" w:type="dxa"/>
            <w:shd w:val="clear" w:color="auto" w:fill="auto"/>
            <w:hideMark/>
          </w:tcPr>
          <w:p w14:paraId="24D24564" w14:textId="77777777" w:rsidR="00F661AE" w:rsidRPr="001917F5" w:rsidRDefault="00F661AE" w:rsidP="00F661AE">
            <w:pPr>
              <w:spacing w:after="60"/>
              <w:rPr>
                <w:color w:val="000000"/>
                <w:lang w:eastAsia="en-GB"/>
              </w:rPr>
            </w:pPr>
            <w:r w:rsidRPr="001917F5">
              <w:rPr>
                <w:color w:val="000000"/>
                <w:lang w:eastAsia="en-GB"/>
              </w:rPr>
              <w:t>Other (specify)</w:t>
            </w:r>
          </w:p>
        </w:tc>
        <w:tc>
          <w:tcPr>
            <w:tcW w:w="1542" w:type="dxa"/>
            <w:shd w:val="clear" w:color="auto" w:fill="auto"/>
            <w:hideMark/>
          </w:tcPr>
          <w:p w14:paraId="31BCDEED" w14:textId="77777777" w:rsidR="00F661AE" w:rsidRPr="001917F5" w:rsidRDefault="00F661AE" w:rsidP="00F661AE">
            <w:pPr>
              <w:spacing w:after="60"/>
              <w:rPr>
                <w:color w:val="000000"/>
                <w:lang w:eastAsia="en-GB"/>
              </w:rPr>
            </w:pPr>
            <w:r w:rsidRPr="001917F5">
              <w:rPr>
                <w:color w:val="000000"/>
                <w:lang w:eastAsia="en-GB"/>
              </w:rPr>
              <w:t>4</w:t>
            </w:r>
          </w:p>
        </w:tc>
        <w:tc>
          <w:tcPr>
            <w:tcW w:w="1587" w:type="dxa"/>
            <w:shd w:val="clear" w:color="auto" w:fill="auto"/>
            <w:hideMark/>
          </w:tcPr>
          <w:p w14:paraId="35C0FC85" w14:textId="77777777" w:rsidR="00F661AE" w:rsidRPr="001917F5" w:rsidRDefault="00F661AE" w:rsidP="00F661AE">
            <w:pPr>
              <w:spacing w:after="60"/>
              <w:rPr>
                <w:color w:val="000000"/>
                <w:lang w:eastAsia="en-GB"/>
              </w:rPr>
            </w:pPr>
            <w:r w:rsidRPr="001917F5">
              <w:rPr>
                <w:color w:val="000000"/>
                <w:lang w:eastAsia="en-GB"/>
              </w:rPr>
              <w:t>15.4</w:t>
            </w:r>
          </w:p>
        </w:tc>
      </w:tr>
      <w:tr w:rsidR="00F661AE" w:rsidRPr="001917F5" w14:paraId="71891B64" w14:textId="77777777" w:rsidTr="00F661AE">
        <w:trPr>
          <w:cantSplit/>
          <w:trHeight w:val="144"/>
        </w:trPr>
        <w:tc>
          <w:tcPr>
            <w:tcW w:w="1663" w:type="dxa"/>
            <w:shd w:val="clear" w:color="auto" w:fill="auto"/>
            <w:hideMark/>
          </w:tcPr>
          <w:p w14:paraId="051DE124" w14:textId="77777777" w:rsidR="00F661AE" w:rsidRPr="001917F5" w:rsidRDefault="00F661AE" w:rsidP="00F661AE">
            <w:pPr>
              <w:spacing w:after="60"/>
              <w:rPr>
                <w:color w:val="000000"/>
                <w:lang w:eastAsia="en-GB"/>
              </w:rPr>
            </w:pPr>
            <w:r w:rsidRPr="001917F5">
              <w:rPr>
                <w:color w:val="000000"/>
                <w:lang w:eastAsia="en-GB"/>
              </w:rPr>
              <w:t>Education</w:t>
            </w:r>
          </w:p>
        </w:tc>
        <w:tc>
          <w:tcPr>
            <w:tcW w:w="2955" w:type="dxa"/>
            <w:shd w:val="clear" w:color="auto" w:fill="auto"/>
            <w:hideMark/>
          </w:tcPr>
          <w:p w14:paraId="6652CB36" w14:textId="77777777" w:rsidR="00F661AE" w:rsidRPr="001917F5" w:rsidRDefault="00F661AE" w:rsidP="00F661AE">
            <w:pPr>
              <w:spacing w:after="60"/>
              <w:rPr>
                <w:color w:val="000000"/>
                <w:lang w:eastAsia="en-GB"/>
              </w:rPr>
            </w:pPr>
            <w:r w:rsidRPr="001917F5">
              <w:rPr>
                <w:color w:val="000000"/>
                <w:lang w:eastAsia="en-GB"/>
              </w:rPr>
              <w:t>OND/NCE</w:t>
            </w:r>
          </w:p>
        </w:tc>
        <w:tc>
          <w:tcPr>
            <w:tcW w:w="1542" w:type="dxa"/>
            <w:shd w:val="clear" w:color="auto" w:fill="auto"/>
            <w:hideMark/>
          </w:tcPr>
          <w:p w14:paraId="114ACC1C" w14:textId="77777777" w:rsidR="00F661AE" w:rsidRPr="001917F5" w:rsidRDefault="00F661AE" w:rsidP="00F661AE">
            <w:pPr>
              <w:spacing w:after="60"/>
              <w:rPr>
                <w:color w:val="000000"/>
                <w:lang w:eastAsia="en-GB"/>
              </w:rPr>
            </w:pPr>
            <w:r w:rsidRPr="001917F5">
              <w:rPr>
                <w:color w:val="000000"/>
                <w:lang w:eastAsia="en-GB"/>
              </w:rPr>
              <w:t>0</w:t>
            </w:r>
          </w:p>
        </w:tc>
        <w:tc>
          <w:tcPr>
            <w:tcW w:w="1587" w:type="dxa"/>
            <w:shd w:val="clear" w:color="auto" w:fill="auto"/>
            <w:hideMark/>
          </w:tcPr>
          <w:p w14:paraId="7D84FA73" w14:textId="77777777" w:rsidR="00F661AE" w:rsidRPr="001917F5" w:rsidRDefault="00F661AE" w:rsidP="00F661AE">
            <w:pPr>
              <w:spacing w:after="60"/>
              <w:rPr>
                <w:color w:val="000000"/>
                <w:lang w:eastAsia="en-GB"/>
              </w:rPr>
            </w:pPr>
            <w:r w:rsidRPr="001917F5">
              <w:rPr>
                <w:color w:val="000000"/>
                <w:lang w:eastAsia="en-GB"/>
              </w:rPr>
              <w:t>0.0</w:t>
            </w:r>
          </w:p>
        </w:tc>
      </w:tr>
      <w:tr w:rsidR="00F661AE" w:rsidRPr="001917F5" w14:paraId="0B2B0193" w14:textId="77777777" w:rsidTr="00F661AE">
        <w:trPr>
          <w:cantSplit/>
          <w:trHeight w:val="144"/>
        </w:trPr>
        <w:tc>
          <w:tcPr>
            <w:tcW w:w="1663" w:type="dxa"/>
            <w:shd w:val="clear" w:color="auto" w:fill="auto"/>
            <w:hideMark/>
          </w:tcPr>
          <w:p w14:paraId="33ECB0DB" w14:textId="77777777" w:rsidR="00F661AE" w:rsidRPr="001917F5" w:rsidRDefault="00F661AE" w:rsidP="00F661AE">
            <w:pPr>
              <w:spacing w:after="60"/>
              <w:rPr>
                <w:color w:val="000000"/>
                <w:lang w:eastAsia="en-GB"/>
              </w:rPr>
            </w:pPr>
          </w:p>
        </w:tc>
        <w:tc>
          <w:tcPr>
            <w:tcW w:w="2955" w:type="dxa"/>
            <w:shd w:val="clear" w:color="auto" w:fill="auto"/>
            <w:hideMark/>
          </w:tcPr>
          <w:p w14:paraId="1A49A032" w14:textId="77777777" w:rsidR="00F661AE" w:rsidRPr="001917F5" w:rsidRDefault="00F661AE" w:rsidP="00F661AE">
            <w:pPr>
              <w:spacing w:after="60"/>
              <w:rPr>
                <w:color w:val="000000"/>
                <w:lang w:eastAsia="en-GB"/>
              </w:rPr>
            </w:pPr>
            <w:r w:rsidRPr="001917F5">
              <w:rPr>
                <w:color w:val="000000"/>
                <w:lang w:eastAsia="en-GB"/>
              </w:rPr>
              <w:t>HND/</w:t>
            </w:r>
            <w:proofErr w:type="spellStart"/>
            <w:proofErr w:type="gramStart"/>
            <w:r w:rsidRPr="001917F5">
              <w:rPr>
                <w:color w:val="000000"/>
                <w:lang w:eastAsia="en-GB"/>
              </w:rPr>
              <w:t>B.Sc</w:t>
            </w:r>
            <w:proofErr w:type="spellEnd"/>
            <w:proofErr w:type="gramEnd"/>
          </w:p>
        </w:tc>
        <w:tc>
          <w:tcPr>
            <w:tcW w:w="1542" w:type="dxa"/>
            <w:shd w:val="clear" w:color="auto" w:fill="auto"/>
            <w:hideMark/>
          </w:tcPr>
          <w:p w14:paraId="15936174" w14:textId="77777777" w:rsidR="00F661AE" w:rsidRPr="001917F5" w:rsidRDefault="00F661AE" w:rsidP="00F661AE">
            <w:pPr>
              <w:spacing w:after="60"/>
              <w:rPr>
                <w:color w:val="000000"/>
                <w:lang w:eastAsia="en-GB"/>
              </w:rPr>
            </w:pPr>
            <w:r w:rsidRPr="001917F5">
              <w:rPr>
                <w:color w:val="000000"/>
                <w:lang w:eastAsia="en-GB"/>
              </w:rPr>
              <w:t>16</w:t>
            </w:r>
          </w:p>
        </w:tc>
        <w:tc>
          <w:tcPr>
            <w:tcW w:w="1587" w:type="dxa"/>
            <w:shd w:val="clear" w:color="auto" w:fill="auto"/>
            <w:hideMark/>
          </w:tcPr>
          <w:p w14:paraId="520E56F6" w14:textId="77777777" w:rsidR="00F661AE" w:rsidRPr="001917F5" w:rsidRDefault="00F661AE" w:rsidP="00F661AE">
            <w:pPr>
              <w:spacing w:after="60"/>
              <w:rPr>
                <w:color w:val="000000"/>
                <w:lang w:eastAsia="en-GB"/>
              </w:rPr>
            </w:pPr>
            <w:r w:rsidRPr="001917F5">
              <w:rPr>
                <w:color w:val="000000"/>
                <w:lang w:eastAsia="en-GB"/>
              </w:rPr>
              <w:t>61.5</w:t>
            </w:r>
          </w:p>
        </w:tc>
      </w:tr>
      <w:tr w:rsidR="00F661AE" w:rsidRPr="001917F5" w14:paraId="092302A3" w14:textId="77777777" w:rsidTr="00F661AE">
        <w:trPr>
          <w:cantSplit/>
          <w:trHeight w:val="144"/>
        </w:trPr>
        <w:tc>
          <w:tcPr>
            <w:tcW w:w="1663" w:type="dxa"/>
            <w:shd w:val="clear" w:color="auto" w:fill="auto"/>
            <w:hideMark/>
          </w:tcPr>
          <w:p w14:paraId="0BE80E97" w14:textId="77777777" w:rsidR="00F661AE" w:rsidRPr="001917F5" w:rsidRDefault="00F661AE" w:rsidP="00F661AE">
            <w:pPr>
              <w:spacing w:after="60"/>
              <w:rPr>
                <w:color w:val="000000"/>
                <w:lang w:eastAsia="en-GB"/>
              </w:rPr>
            </w:pPr>
          </w:p>
        </w:tc>
        <w:tc>
          <w:tcPr>
            <w:tcW w:w="2955" w:type="dxa"/>
            <w:shd w:val="clear" w:color="auto" w:fill="auto"/>
            <w:hideMark/>
          </w:tcPr>
          <w:p w14:paraId="60847472" w14:textId="77777777" w:rsidR="00F661AE" w:rsidRPr="001917F5" w:rsidRDefault="00F661AE" w:rsidP="00F661AE">
            <w:pPr>
              <w:spacing w:after="60"/>
              <w:rPr>
                <w:color w:val="000000"/>
                <w:lang w:eastAsia="en-GB"/>
              </w:rPr>
            </w:pPr>
            <w:proofErr w:type="spellStart"/>
            <w:r w:rsidRPr="001917F5">
              <w:rPr>
                <w:color w:val="000000"/>
                <w:lang w:eastAsia="en-GB"/>
              </w:rPr>
              <w:t>M.Sc</w:t>
            </w:r>
            <w:proofErr w:type="spellEnd"/>
          </w:p>
        </w:tc>
        <w:tc>
          <w:tcPr>
            <w:tcW w:w="1542" w:type="dxa"/>
            <w:shd w:val="clear" w:color="auto" w:fill="auto"/>
            <w:hideMark/>
          </w:tcPr>
          <w:p w14:paraId="54741F17" w14:textId="77777777" w:rsidR="00F661AE" w:rsidRPr="001917F5" w:rsidRDefault="00F661AE" w:rsidP="00F661AE">
            <w:pPr>
              <w:spacing w:after="60"/>
              <w:rPr>
                <w:color w:val="000000"/>
                <w:lang w:eastAsia="en-GB"/>
              </w:rPr>
            </w:pPr>
            <w:r w:rsidRPr="001917F5">
              <w:rPr>
                <w:color w:val="000000"/>
                <w:lang w:eastAsia="en-GB"/>
              </w:rPr>
              <w:t>10</w:t>
            </w:r>
          </w:p>
        </w:tc>
        <w:tc>
          <w:tcPr>
            <w:tcW w:w="1587" w:type="dxa"/>
            <w:shd w:val="clear" w:color="auto" w:fill="auto"/>
            <w:hideMark/>
          </w:tcPr>
          <w:p w14:paraId="05D9A1DB" w14:textId="77777777" w:rsidR="00F661AE" w:rsidRPr="001917F5" w:rsidRDefault="00F661AE" w:rsidP="00F661AE">
            <w:pPr>
              <w:spacing w:after="60"/>
              <w:rPr>
                <w:color w:val="000000"/>
                <w:lang w:eastAsia="en-GB"/>
              </w:rPr>
            </w:pPr>
            <w:r w:rsidRPr="001917F5">
              <w:rPr>
                <w:color w:val="000000"/>
                <w:lang w:eastAsia="en-GB"/>
              </w:rPr>
              <w:t>38.5</w:t>
            </w:r>
          </w:p>
        </w:tc>
      </w:tr>
      <w:tr w:rsidR="00F661AE" w:rsidRPr="001917F5" w14:paraId="76938A96" w14:textId="77777777" w:rsidTr="00F661AE">
        <w:trPr>
          <w:cantSplit/>
          <w:trHeight w:val="144"/>
        </w:trPr>
        <w:tc>
          <w:tcPr>
            <w:tcW w:w="1663" w:type="dxa"/>
            <w:shd w:val="clear" w:color="auto" w:fill="auto"/>
            <w:hideMark/>
          </w:tcPr>
          <w:p w14:paraId="1F28E3E9" w14:textId="77777777" w:rsidR="00F661AE" w:rsidRPr="001917F5" w:rsidRDefault="00F661AE" w:rsidP="00F661AE">
            <w:pPr>
              <w:spacing w:after="60"/>
              <w:rPr>
                <w:color w:val="000000"/>
                <w:lang w:eastAsia="en-GB"/>
              </w:rPr>
            </w:pPr>
          </w:p>
        </w:tc>
        <w:tc>
          <w:tcPr>
            <w:tcW w:w="2955" w:type="dxa"/>
            <w:shd w:val="clear" w:color="auto" w:fill="auto"/>
            <w:hideMark/>
          </w:tcPr>
          <w:p w14:paraId="7EBC1A10" w14:textId="77777777" w:rsidR="00F661AE" w:rsidRPr="001917F5" w:rsidRDefault="00F661AE" w:rsidP="00F661AE">
            <w:pPr>
              <w:spacing w:after="60"/>
              <w:rPr>
                <w:color w:val="000000"/>
                <w:lang w:eastAsia="en-GB"/>
              </w:rPr>
            </w:pPr>
            <w:proofErr w:type="spellStart"/>
            <w:proofErr w:type="gramStart"/>
            <w:r w:rsidRPr="001917F5">
              <w:rPr>
                <w:color w:val="000000"/>
                <w:lang w:eastAsia="en-GB"/>
              </w:rPr>
              <w:t>Ph.D</w:t>
            </w:r>
            <w:proofErr w:type="spellEnd"/>
            <w:proofErr w:type="gramEnd"/>
          </w:p>
        </w:tc>
        <w:tc>
          <w:tcPr>
            <w:tcW w:w="1542" w:type="dxa"/>
            <w:shd w:val="clear" w:color="auto" w:fill="auto"/>
            <w:hideMark/>
          </w:tcPr>
          <w:p w14:paraId="1140CF67" w14:textId="77777777" w:rsidR="00F661AE" w:rsidRPr="001917F5" w:rsidRDefault="00F661AE" w:rsidP="00F661AE">
            <w:pPr>
              <w:spacing w:after="60"/>
              <w:rPr>
                <w:color w:val="000000"/>
                <w:lang w:eastAsia="en-GB"/>
              </w:rPr>
            </w:pPr>
            <w:r w:rsidRPr="001917F5">
              <w:rPr>
                <w:color w:val="000000"/>
                <w:lang w:eastAsia="en-GB"/>
              </w:rPr>
              <w:t>0</w:t>
            </w:r>
          </w:p>
        </w:tc>
        <w:tc>
          <w:tcPr>
            <w:tcW w:w="1587" w:type="dxa"/>
            <w:shd w:val="clear" w:color="auto" w:fill="auto"/>
            <w:hideMark/>
          </w:tcPr>
          <w:p w14:paraId="7E6151FE" w14:textId="77777777" w:rsidR="00F661AE" w:rsidRPr="001917F5" w:rsidRDefault="00F661AE" w:rsidP="00F661AE">
            <w:pPr>
              <w:spacing w:after="60"/>
              <w:rPr>
                <w:color w:val="000000"/>
                <w:lang w:eastAsia="en-GB"/>
              </w:rPr>
            </w:pPr>
            <w:r w:rsidRPr="001917F5">
              <w:rPr>
                <w:color w:val="000000"/>
                <w:lang w:eastAsia="en-GB"/>
              </w:rPr>
              <w:t>0.0</w:t>
            </w:r>
          </w:p>
        </w:tc>
      </w:tr>
      <w:tr w:rsidR="00F661AE" w:rsidRPr="001917F5" w14:paraId="456E7285" w14:textId="77777777" w:rsidTr="00F661AE">
        <w:trPr>
          <w:cantSplit/>
          <w:trHeight w:val="144"/>
        </w:trPr>
        <w:tc>
          <w:tcPr>
            <w:tcW w:w="1663" w:type="dxa"/>
            <w:shd w:val="clear" w:color="auto" w:fill="auto"/>
            <w:hideMark/>
          </w:tcPr>
          <w:p w14:paraId="15388C83" w14:textId="77777777" w:rsidR="00F661AE" w:rsidRPr="001917F5" w:rsidRDefault="00F661AE" w:rsidP="00F661AE">
            <w:pPr>
              <w:spacing w:after="60"/>
              <w:rPr>
                <w:color w:val="000000"/>
                <w:lang w:eastAsia="en-GB"/>
              </w:rPr>
            </w:pPr>
            <w:r w:rsidRPr="001917F5">
              <w:rPr>
                <w:color w:val="000000"/>
                <w:lang w:eastAsia="en-GB"/>
              </w:rPr>
              <w:t>Experience</w:t>
            </w:r>
          </w:p>
        </w:tc>
        <w:tc>
          <w:tcPr>
            <w:tcW w:w="2955" w:type="dxa"/>
            <w:shd w:val="clear" w:color="auto" w:fill="auto"/>
            <w:hideMark/>
          </w:tcPr>
          <w:p w14:paraId="35734659" w14:textId="77777777" w:rsidR="00F661AE" w:rsidRPr="001917F5" w:rsidRDefault="00F661AE" w:rsidP="00F661AE">
            <w:pPr>
              <w:spacing w:after="60"/>
              <w:rPr>
                <w:color w:val="000000"/>
                <w:lang w:eastAsia="en-GB"/>
              </w:rPr>
            </w:pPr>
            <w:r w:rsidRPr="001917F5">
              <w:rPr>
                <w:color w:val="000000"/>
                <w:lang w:eastAsia="en-GB"/>
              </w:rPr>
              <w:t xml:space="preserve">Less than 5 </w:t>
            </w:r>
            <w:proofErr w:type="spellStart"/>
            <w:r w:rsidRPr="001917F5">
              <w:rPr>
                <w:color w:val="000000"/>
                <w:lang w:eastAsia="en-GB"/>
              </w:rPr>
              <w:t>yrs</w:t>
            </w:r>
            <w:proofErr w:type="spellEnd"/>
            <w:r w:rsidRPr="001917F5">
              <w:rPr>
                <w:color w:val="000000"/>
                <w:lang w:eastAsia="en-GB"/>
              </w:rPr>
              <w:t xml:space="preserve">  </w:t>
            </w:r>
          </w:p>
        </w:tc>
        <w:tc>
          <w:tcPr>
            <w:tcW w:w="1542" w:type="dxa"/>
            <w:shd w:val="clear" w:color="auto" w:fill="auto"/>
            <w:hideMark/>
          </w:tcPr>
          <w:p w14:paraId="225E861F" w14:textId="77777777" w:rsidR="00F661AE" w:rsidRPr="001917F5" w:rsidRDefault="00F661AE" w:rsidP="00F661AE">
            <w:pPr>
              <w:spacing w:after="60"/>
              <w:rPr>
                <w:color w:val="000000"/>
                <w:lang w:eastAsia="en-GB"/>
              </w:rPr>
            </w:pPr>
            <w:r w:rsidRPr="001917F5">
              <w:rPr>
                <w:color w:val="000000"/>
                <w:lang w:eastAsia="en-GB"/>
              </w:rPr>
              <w:t>10</w:t>
            </w:r>
          </w:p>
        </w:tc>
        <w:tc>
          <w:tcPr>
            <w:tcW w:w="1587" w:type="dxa"/>
            <w:shd w:val="clear" w:color="auto" w:fill="auto"/>
            <w:hideMark/>
          </w:tcPr>
          <w:p w14:paraId="1F4C192C" w14:textId="77777777" w:rsidR="00F661AE" w:rsidRPr="001917F5" w:rsidRDefault="00F661AE" w:rsidP="00F661AE">
            <w:pPr>
              <w:spacing w:after="60"/>
              <w:rPr>
                <w:color w:val="000000"/>
                <w:lang w:eastAsia="en-GB"/>
              </w:rPr>
            </w:pPr>
            <w:r w:rsidRPr="001917F5">
              <w:rPr>
                <w:color w:val="000000"/>
                <w:lang w:eastAsia="en-GB"/>
              </w:rPr>
              <w:t>38.5</w:t>
            </w:r>
          </w:p>
        </w:tc>
      </w:tr>
      <w:tr w:rsidR="00F661AE" w:rsidRPr="001917F5" w14:paraId="61DDC691" w14:textId="77777777" w:rsidTr="00F661AE">
        <w:trPr>
          <w:cantSplit/>
          <w:trHeight w:val="144"/>
        </w:trPr>
        <w:tc>
          <w:tcPr>
            <w:tcW w:w="1663" w:type="dxa"/>
            <w:shd w:val="clear" w:color="auto" w:fill="auto"/>
            <w:hideMark/>
          </w:tcPr>
          <w:p w14:paraId="392C215F" w14:textId="77777777" w:rsidR="00F661AE" w:rsidRPr="001917F5" w:rsidRDefault="00F661AE" w:rsidP="00F661AE">
            <w:pPr>
              <w:spacing w:after="60"/>
              <w:rPr>
                <w:color w:val="000000"/>
                <w:lang w:eastAsia="en-GB"/>
              </w:rPr>
            </w:pPr>
          </w:p>
        </w:tc>
        <w:tc>
          <w:tcPr>
            <w:tcW w:w="2955" w:type="dxa"/>
            <w:shd w:val="clear" w:color="auto" w:fill="auto"/>
            <w:hideMark/>
          </w:tcPr>
          <w:p w14:paraId="6D09172B" w14:textId="77777777" w:rsidR="00F661AE" w:rsidRPr="001917F5" w:rsidRDefault="00F661AE" w:rsidP="00F661AE">
            <w:pPr>
              <w:spacing w:after="60"/>
              <w:rPr>
                <w:color w:val="000000"/>
                <w:lang w:eastAsia="en-GB"/>
              </w:rPr>
            </w:pPr>
            <w:r w:rsidRPr="001917F5">
              <w:rPr>
                <w:color w:val="000000"/>
                <w:lang w:eastAsia="en-GB"/>
              </w:rPr>
              <w:t xml:space="preserve">6 </w:t>
            </w:r>
            <w:proofErr w:type="spellStart"/>
            <w:r w:rsidRPr="001917F5">
              <w:rPr>
                <w:color w:val="000000"/>
                <w:lang w:eastAsia="en-GB"/>
              </w:rPr>
              <w:t>yrs</w:t>
            </w:r>
            <w:proofErr w:type="spellEnd"/>
            <w:r w:rsidRPr="001917F5">
              <w:rPr>
                <w:color w:val="000000"/>
                <w:lang w:eastAsia="en-GB"/>
              </w:rPr>
              <w:t xml:space="preserve"> – 15 </w:t>
            </w:r>
            <w:proofErr w:type="spellStart"/>
            <w:r w:rsidRPr="001917F5">
              <w:rPr>
                <w:color w:val="000000"/>
                <w:lang w:eastAsia="en-GB"/>
              </w:rPr>
              <w:t>yrs</w:t>
            </w:r>
            <w:proofErr w:type="spellEnd"/>
          </w:p>
        </w:tc>
        <w:tc>
          <w:tcPr>
            <w:tcW w:w="1542" w:type="dxa"/>
            <w:shd w:val="clear" w:color="auto" w:fill="auto"/>
            <w:hideMark/>
          </w:tcPr>
          <w:p w14:paraId="10CACEC6" w14:textId="77777777" w:rsidR="00F661AE" w:rsidRPr="001917F5" w:rsidRDefault="00F661AE" w:rsidP="00F661AE">
            <w:pPr>
              <w:spacing w:after="60"/>
              <w:rPr>
                <w:color w:val="000000"/>
                <w:lang w:eastAsia="en-GB"/>
              </w:rPr>
            </w:pPr>
            <w:r w:rsidRPr="001917F5">
              <w:rPr>
                <w:color w:val="000000"/>
                <w:lang w:eastAsia="en-GB"/>
              </w:rPr>
              <w:t>8</w:t>
            </w:r>
          </w:p>
        </w:tc>
        <w:tc>
          <w:tcPr>
            <w:tcW w:w="1587" w:type="dxa"/>
            <w:shd w:val="clear" w:color="auto" w:fill="auto"/>
            <w:hideMark/>
          </w:tcPr>
          <w:p w14:paraId="4F6B4909" w14:textId="77777777" w:rsidR="00F661AE" w:rsidRPr="001917F5" w:rsidRDefault="00F661AE" w:rsidP="00F661AE">
            <w:pPr>
              <w:spacing w:after="60"/>
              <w:rPr>
                <w:color w:val="000000"/>
                <w:lang w:eastAsia="en-GB"/>
              </w:rPr>
            </w:pPr>
            <w:r w:rsidRPr="001917F5">
              <w:rPr>
                <w:color w:val="000000"/>
                <w:lang w:eastAsia="en-GB"/>
              </w:rPr>
              <w:t>30.8</w:t>
            </w:r>
          </w:p>
        </w:tc>
      </w:tr>
      <w:tr w:rsidR="00F661AE" w:rsidRPr="001917F5" w14:paraId="1EF467E0" w14:textId="77777777" w:rsidTr="00F661AE">
        <w:trPr>
          <w:cantSplit/>
          <w:trHeight w:val="144"/>
        </w:trPr>
        <w:tc>
          <w:tcPr>
            <w:tcW w:w="1663" w:type="dxa"/>
            <w:shd w:val="clear" w:color="auto" w:fill="auto"/>
            <w:hideMark/>
          </w:tcPr>
          <w:p w14:paraId="1417A2E3" w14:textId="77777777" w:rsidR="00F661AE" w:rsidRPr="001917F5" w:rsidRDefault="00F661AE" w:rsidP="00F661AE">
            <w:pPr>
              <w:spacing w:after="60"/>
              <w:rPr>
                <w:color w:val="000000"/>
                <w:lang w:eastAsia="en-GB"/>
              </w:rPr>
            </w:pPr>
          </w:p>
        </w:tc>
        <w:tc>
          <w:tcPr>
            <w:tcW w:w="2955" w:type="dxa"/>
            <w:shd w:val="clear" w:color="auto" w:fill="auto"/>
            <w:hideMark/>
          </w:tcPr>
          <w:p w14:paraId="69D09BC1" w14:textId="77777777" w:rsidR="00F661AE" w:rsidRPr="001917F5" w:rsidRDefault="00F661AE" w:rsidP="00F661AE">
            <w:pPr>
              <w:spacing w:after="60"/>
              <w:rPr>
                <w:color w:val="000000"/>
                <w:lang w:eastAsia="en-GB"/>
              </w:rPr>
            </w:pPr>
            <w:r w:rsidRPr="001917F5">
              <w:rPr>
                <w:color w:val="000000"/>
                <w:lang w:eastAsia="en-GB"/>
              </w:rPr>
              <w:t xml:space="preserve">16 </w:t>
            </w:r>
            <w:proofErr w:type="spellStart"/>
            <w:r w:rsidRPr="001917F5">
              <w:rPr>
                <w:color w:val="000000"/>
                <w:lang w:eastAsia="en-GB"/>
              </w:rPr>
              <w:t>yrs</w:t>
            </w:r>
            <w:proofErr w:type="spellEnd"/>
            <w:r w:rsidRPr="001917F5">
              <w:rPr>
                <w:color w:val="000000"/>
                <w:lang w:eastAsia="en-GB"/>
              </w:rPr>
              <w:t xml:space="preserve"> – 25 </w:t>
            </w:r>
            <w:proofErr w:type="spellStart"/>
            <w:r w:rsidRPr="001917F5">
              <w:rPr>
                <w:color w:val="000000"/>
                <w:lang w:eastAsia="en-GB"/>
              </w:rPr>
              <w:t>yrs</w:t>
            </w:r>
            <w:proofErr w:type="spellEnd"/>
          </w:p>
        </w:tc>
        <w:tc>
          <w:tcPr>
            <w:tcW w:w="1542" w:type="dxa"/>
            <w:shd w:val="clear" w:color="auto" w:fill="auto"/>
            <w:hideMark/>
          </w:tcPr>
          <w:p w14:paraId="02F42B49" w14:textId="77777777" w:rsidR="00F661AE" w:rsidRPr="001917F5" w:rsidRDefault="00F661AE" w:rsidP="00F661AE">
            <w:pPr>
              <w:spacing w:after="60"/>
              <w:rPr>
                <w:color w:val="000000"/>
                <w:lang w:eastAsia="en-GB"/>
              </w:rPr>
            </w:pPr>
            <w:r w:rsidRPr="001917F5">
              <w:rPr>
                <w:color w:val="000000"/>
                <w:lang w:eastAsia="en-GB"/>
              </w:rPr>
              <w:t>5</w:t>
            </w:r>
          </w:p>
        </w:tc>
        <w:tc>
          <w:tcPr>
            <w:tcW w:w="1587" w:type="dxa"/>
            <w:shd w:val="clear" w:color="auto" w:fill="auto"/>
            <w:hideMark/>
          </w:tcPr>
          <w:p w14:paraId="6C2D3FC5" w14:textId="77777777" w:rsidR="00F661AE" w:rsidRPr="001917F5" w:rsidRDefault="00F661AE" w:rsidP="00F661AE">
            <w:pPr>
              <w:spacing w:after="60"/>
              <w:rPr>
                <w:color w:val="000000"/>
                <w:lang w:eastAsia="en-GB"/>
              </w:rPr>
            </w:pPr>
            <w:r w:rsidRPr="001917F5">
              <w:rPr>
                <w:color w:val="000000"/>
                <w:lang w:eastAsia="en-GB"/>
              </w:rPr>
              <w:t>19.2</w:t>
            </w:r>
          </w:p>
        </w:tc>
      </w:tr>
      <w:tr w:rsidR="00F661AE" w:rsidRPr="001917F5" w14:paraId="4B91A2A9" w14:textId="77777777" w:rsidTr="00F661AE">
        <w:trPr>
          <w:cantSplit/>
          <w:trHeight w:val="144"/>
        </w:trPr>
        <w:tc>
          <w:tcPr>
            <w:tcW w:w="1663" w:type="dxa"/>
            <w:shd w:val="clear" w:color="auto" w:fill="auto"/>
            <w:hideMark/>
          </w:tcPr>
          <w:p w14:paraId="2141B7CC" w14:textId="77777777" w:rsidR="00F661AE" w:rsidRPr="001917F5" w:rsidRDefault="00F661AE" w:rsidP="00F661AE">
            <w:pPr>
              <w:spacing w:after="60"/>
              <w:rPr>
                <w:color w:val="000000"/>
                <w:lang w:eastAsia="en-GB"/>
              </w:rPr>
            </w:pPr>
          </w:p>
        </w:tc>
        <w:tc>
          <w:tcPr>
            <w:tcW w:w="2955" w:type="dxa"/>
            <w:shd w:val="clear" w:color="auto" w:fill="auto"/>
            <w:hideMark/>
          </w:tcPr>
          <w:p w14:paraId="7134C228" w14:textId="77777777" w:rsidR="00F661AE" w:rsidRPr="001917F5" w:rsidRDefault="00F661AE" w:rsidP="00F661AE">
            <w:pPr>
              <w:spacing w:after="60"/>
              <w:rPr>
                <w:color w:val="000000"/>
                <w:lang w:eastAsia="en-GB"/>
              </w:rPr>
            </w:pPr>
            <w:r w:rsidRPr="001917F5">
              <w:rPr>
                <w:color w:val="000000"/>
                <w:lang w:eastAsia="en-GB"/>
              </w:rPr>
              <w:t xml:space="preserve">More than 25 </w:t>
            </w:r>
            <w:proofErr w:type="spellStart"/>
            <w:r w:rsidRPr="001917F5">
              <w:rPr>
                <w:color w:val="000000"/>
                <w:lang w:eastAsia="en-GB"/>
              </w:rPr>
              <w:t>yrs</w:t>
            </w:r>
            <w:proofErr w:type="spellEnd"/>
          </w:p>
        </w:tc>
        <w:tc>
          <w:tcPr>
            <w:tcW w:w="1542" w:type="dxa"/>
            <w:shd w:val="clear" w:color="auto" w:fill="auto"/>
            <w:hideMark/>
          </w:tcPr>
          <w:p w14:paraId="10096974" w14:textId="77777777" w:rsidR="00F661AE" w:rsidRPr="001917F5" w:rsidRDefault="00F661AE" w:rsidP="00F661AE">
            <w:pPr>
              <w:spacing w:after="60"/>
              <w:rPr>
                <w:color w:val="000000"/>
                <w:lang w:eastAsia="en-GB"/>
              </w:rPr>
            </w:pPr>
            <w:r w:rsidRPr="001917F5">
              <w:rPr>
                <w:color w:val="000000"/>
                <w:lang w:eastAsia="en-GB"/>
              </w:rPr>
              <w:t>3</w:t>
            </w:r>
          </w:p>
        </w:tc>
        <w:tc>
          <w:tcPr>
            <w:tcW w:w="1587" w:type="dxa"/>
            <w:shd w:val="clear" w:color="auto" w:fill="auto"/>
            <w:hideMark/>
          </w:tcPr>
          <w:p w14:paraId="541F306D" w14:textId="77777777" w:rsidR="00F661AE" w:rsidRPr="001917F5" w:rsidRDefault="00F661AE" w:rsidP="00F661AE">
            <w:pPr>
              <w:spacing w:after="60"/>
              <w:rPr>
                <w:color w:val="000000"/>
                <w:lang w:eastAsia="en-GB"/>
              </w:rPr>
            </w:pPr>
            <w:r w:rsidRPr="001917F5">
              <w:rPr>
                <w:color w:val="000000"/>
                <w:lang w:eastAsia="en-GB"/>
              </w:rPr>
              <w:t>11.5</w:t>
            </w:r>
          </w:p>
        </w:tc>
      </w:tr>
    </w:tbl>
    <w:p w14:paraId="2D19F7CD" w14:textId="77777777" w:rsidR="00F661AE" w:rsidRPr="001917F5" w:rsidRDefault="00F661AE" w:rsidP="00F661AE">
      <w:pPr>
        <w:rPr>
          <w:sz w:val="24"/>
          <w:szCs w:val="24"/>
        </w:rPr>
      </w:pPr>
    </w:p>
    <w:p w14:paraId="5844351C" w14:textId="77777777" w:rsidR="00F661AE" w:rsidRPr="008D1D68" w:rsidRDefault="00F661AE" w:rsidP="00F661AE">
      <w:pPr>
        <w:spacing w:line="360" w:lineRule="auto"/>
        <w:jc w:val="both"/>
        <w:rPr>
          <w:rFonts w:eastAsia="Calibri"/>
          <w:b/>
          <w:sz w:val="24"/>
          <w:szCs w:val="24"/>
        </w:rPr>
      </w:pPr>
      <w:r w:rsidRPr="008D1D68">
        <w:rPr>
          <w:rFonts w:eastAsia="Calibri"/>
          <w:b/>
          <w:sz w:val="24"/>
          <w:szCs w:val="24"/>
        </w:rPr>
        <w:t xml:space="preserve">Perception of Project Managers’ Competence </w:t>
      </w:r>
    </w:p>
    <w:p w14:paraId="4BB65182" w14:textId="77777777" w:rsidR="00F661AE" w:rsidRDefault="00F661AE" w:rsidP="00F661AE">
      <w:pPr>
        <w:spacing w:line="360" w:lineRule="auto"/>
        <w:jc w:val="both"/>
        <w:rPr>
          <w:rFonts w:eastAsia="Calibri"/>
          <w:color w:val="000000"/>
          <w:sz w:val="24"/>
          <w:szCs w:val="24"/>
        </w:rPr>
      </w:pPr>
      <w:r w:rsidRPr="00C8324D">
        <w:rPr>
          <w:rFonts w:eastAsia="Calibri"/>
          <w:color w:val="000000"/>
          <w:sz w:val="24"/>
          <w:szCs w:val="24"/>
        </w:rPr>
        <w:t xml:space="preserve">The results presented in Table 4.2 can be clearly delineated into two main groups of competencies, on the basis of MS and/or RII. The first group comprises competencies that respondents perceived themselves as being highly competent in, since the MSs were higher than 3.50. The ten competencies in this group were Interpersonal skill, </w:t>
      </w:r>
      <w:r w:rsidRPr="00C8324D">
        <w:rPr>
          <w:rFonts w:eastAsia="Calibri"/>
          <w:color w:val="000000"/>
          <w:sz w:val="24"/>
          <w:szCs w:val="24"/>
        </w:rPr>
        <w:lastRenderedPageBreak/>
        <w:t xml:space="preserve">Scoping, Integration, Quality management, Scheduling, Networking ability, Document and contract administration, Transformational leadership, Apparent sincerity and Procurement management. This group was dominated by technical competencies (4 out of 10). </w:t>
      </w:r>
    </w:p>
    <w:p w14:paraId="2C61B601" w14:textId="77777777" w:rsidR="00F661AE" w:rsidRDefault="00F661AE" w:rsidP="00F661AE">
      <w:pPr>
        <w:spacing w:line="360" w:lineRule="auto"/>
        <w:jc w:val="both"/>
        <w:rPr>
          <w:rFonts w:eastAsia="Calibri"/>
          <w:color w:val="000000"/>
          <w:sz w:val="24"/>
          <w:szCs w:val="24"/>
        </w:rPr>
      </w:pPr>
      <w:r w:rsidRPr="00C8324D">
        <w:rPr>
          <w:rFonts w:eastAsia="Calibri"/>
          <w:color w:val="000000"/>
          <w:sz w:val="24"/>
          <w:szCs w:val="24"/>
        </w:rPr>
        <w:t>The other group comprised 6 competencies in which respondents were only moderately competent, based on the observation that MS lay between 2.50 and 3.49. These six competencies included Budgeting, Risk management, Interpersonal influence, Emotional intelligence, Visioning and Social astuteness. There was no consensus among the</w:t>
      </w:r>
      <w:r>
        <w:rPr>
          <w:rFonts w:eastAsia="Calibri"/>
          <w:color w:val="000000"/>
          <w:sz w:val="24"/>
          <w:szCs w:val="24"/>
        </w:rPr>
        <w:t xml:space="preserve"> respondents on any of the competencies</w:t>
      </w:r>
      <w:r w:rsidRPr="00C8324D">
        <w:rPr>
          <w:rFonts w:eastAsia="Calibri"/>
          <w:color w:val="000000"/>
          <w:sz w:val="24"/>
          <w:szCs w:val="24"/>
        </w:rPr>
        <w:t>. Consensus attainment is indicated by a situation where the sum of responses in the ‘very high competence (VHC)’ and ‘high competence (HC)’ categories are at least 70% of all responses. The highest level of agreement observed was 68% in the case of ‘Scoping’, which was a ‘Conceptual’ competence. The only technical competence where the level of agreement exceed</w:t>
      </w:r>
      <w:r>
        <w:rPr>
          <w:rFonts w:eastAsia="Calibri"/>
          <w:color w:val="000000"/>
          <w:sz w:val="24"/>
          <w:szCs w:val="24"/>
        </w:rPr>
        <w:t>ed 60% was ‘quality management’</w:t>
      </w:r>
      <w:r w:rsidRPr="00C8324D">
        <w:rPr>
          <w:rFonts w:eastAsia="Calibri"/>
          <w:color w:val="000000"/>
          <w:sz w:val="24"/>
          <w:szCs w:val="24"/>
        </w:rPr>
        <w:t>.</w:t>
      </w:r>
    </w:p>
    <w:p w14:paraId="3B900CAB" w14:textId="77777777" w:rsidR="00F661AE" w:rsidRDefault="00F661AE" w:rsidP="00F661AE">
      <w:pPr>
        <w:spacing w:line="360" w:lineRule="auto"/>
        <w:jc w:val="both"/>
        <w:rPr>
          <w:sz w:val="24"/>
          <w:szCs w:val="24"/>
        </w:rPr>
      </w:pPr>
    </w:p>
    <w:p w14:paraId="2042E0D4" w14:textId="77777777" w:rsidR="00F661AE" w:rsidRPr="001917F5" w:rsidRDefault="00F661AE" w:rsidP="00F661AE">
      <w:pPr>
        <w:spacing w:line="360" w:lineRule="auto"/>
        <w:jc w:val="both"/>
        <w:rPr>
          <w:sz w:val="24"/>
          <w:szCs w:val="24"/>
        </w:rPr>
      </w:pPr>
    </w:p>
    <w:p w14:paraId="40B7DD49" w14:textId="77777777" w:rsidR="00F661AE" w:rsidRPr="001917F5" w:rsidRDefault="00F661AE" w:rsidP="00F661AE">
      <w:pPr>
        <w:rPr>
          <w:sz w:val="24"/>
          <w:szCs w:val="24"/>
        </w:rPr>
      </w:pPr>
      <w:r w:rsidRPr="001917F5">
        <w:rPr>
          <w:sz w:val="24"/>
          <w:szCs w:val="24"/>
        </w:rPr>
        <w:t>Table 4.</w:t>
      </w:r>
      <w:r>
        <w:rPr>
          <w:sz w:val="24"/>
          <w:szCs w:val="24"/>
        </w:rPr>
        <w:t>2</w:t>
      </w:r>
      <w:r w:rsidRPr="001917F5">
        <w:rPr>
          <w:sz w:val="24"/>
          <w:szCs w:val="24"/>
        </w:rPr>
        <w:t>: Ranking of project managers’ competencies</w:t>
      </w:r>
    </w:p>
    <w:tbl>
      <w:tblPr>
        <w:tblW w:w="8271" w:type="dxa"/>
        <w:tblCellMar>
          <w:left w:w="0" w:type="dxa"/>
          <w:right w:w="0" w:type="dxa"/>
        </w:tblCellMar>
        <w:tblLook w:val="04A0" w:firstRow="1" w:lastRow="0" w:firstColumn="1" w:lastColumn="0" w:noHBand="0" w:noVBand="1"/>
      </w:tblPr>
      <w:tblGrid>
        <w:gridCol w:w="1450"/>
        <w:gridCol w:w="2434"/>
        <w:gridCol w:w="633"/>
        <w:gridCol w:w="450"/>
        <w:gridCol w:w="513"/>
        <w:gridCol w:w="785"/>
        <w:gridCol w:w="900"/>
        <w:gridCol w:w="1106"/>
      </w:tblGrid>
      <w:tr w:rsidR="00F661AE" w:rsidRPr="001917F5" w14:paraId="214AF8A1" w14:textId="77777777" w:rsidTr="00F661AE">
        <w:trPr>
          <w:cantSplit/>
          <w:trHeight w:val="149"/>
        </w:trPr>
        <w:tc>
          <w:tcPr>
            <w:tcW w:w="1450" w:type="dxa"/>
            <w:tcBorders>
              <w:top w:val="single" w:sz="4" w:space="0" w:color="auto"/>
              <w:left w:val="nil"/>
              <w:bottom w:val="single" w:sz="4" w:space="0" w:color="auto"/>
              <w:right w:val="nil"/>
            </w:tcBorders>
            <w:shd w:val="clear" w:color="auto" w:fill="auto"/>
            <w:tcMar>
              <w:top w:w="17" w:type="dxa"/>
              <w:left w:w="17" w:type="dxa"/>
              <w:bottom w:w="0" w:type="dxa"/>
              <w:right w:w="17" w:type="dxa"/>
            </w:tcMar>
            <w:vAlign w:val="center"/>
            <w:hideMark/>
          </w:tcPr>
          <w:p w14:paraId="68B1232B" w14:textId="77777777" w:rsidR="00F661AE" w:rsidRPr="001917F5" w:rsidRDefault="00F661AE" w:rsidP="00F661AE">
            <w:pPr>
              <w:spacing w:after="60"/>
              <w:rPr>
                <w:b/>
                <w:bCs/>
                <w:color w:val="000000"/>
              </w:rPr>
            </w:pPr>
            <w:r w:rsidRPr="001917F5">
              <w:rPr>
                <w:b/>
                <w:bCs/>
                <w:color w:val="000000"/>
              </w:rPr>
              <w:t>Competency group</w:t>
            </w:r>
          </w:p>
        </w:tc>
        <w:tc>
          <w:tcPr>
            <w:tcW w:w="2434" w:type="dxa"/>
            <w:tcBorders>
              <w:top w:val="single" w:sz="4" w:space="0" w:color="auto"/>
              <w:left w:val="nil"/>
              <w:bottom w:val="single" w:sz="4" w:space="0" w:color="auto"/>
              <w:right w:val="nil"/>
            </w:tcBorders>
            <w:shd w:val="clear" w:color="auto" w:fill="auto"/>
            <w:tcMar>
              <w:top w:w="17" w:type="dxa"/>
              <w:left w:w="17" w:type="dxa"/>
              <w:bottom w:w="0" w:type="dxa"/>
              <w:right w:w="17" w:type="dxa"/>
            </w:tcMar>
            <w:vAlign w:val="center"/>
            <w:hideMark/>
          </w:tcPr>
          <w:p w14:paraId="6E9F06CE" w14:textId="77777777" w:rsidR="00F661AE" w:rsidRPr="001917F5" w:rsidRDefault="00F661AE" w:rsidP="00F661AE">
            <w:pPr>
              <w:spacing w:after="60"/>
              <w:rPr>
                <w:b/>
                <w:bCs/>
                <w:color w:val="000000"/>
              </w:rPr>
            </w:pPr>
            <w:r w:rsidRPr="001917F5">
              <w:rPr>
                <w:b/>
                <w:bCs/>
                <w:color w:val="000000"/>
              </w:rPr>
              <w:t>Competency components</w:t>
            </w:r>
          </w:p>
        </w:tc>
        <w:tc>
          <w:tcPr>
            <w:tcW w:w="633" w:type="dxa"/>
            <w:tcBorders>
              <w:top w:val="single" w:sz="4" w:space="0" w:color="auto"/>
              <w:left w:val="nil"/>
              <w:bottom w:val="single" w:sz="4" w:space="0" w:color="auto"/>
              <w:right w:val="nil"/>
            </w:tcBorders>
            <w:shd w:val="clear" w:color="auto" w:fill="auto"/>
            <w:tcMar>
              <w:top w:w="17" w:type="dxa"/>
              <w:left w:w="17" w:type="dxa"/>
              <w:bottom w:w="0" w:type="dxa"/>
              <w:right w:w="17" w:type="dxa"/>
            </w:tcMar>
            <w:vAlign w:val="center"/>
            <w:hideMark/>
          </w:tcPr>
          <w:p w14:paraId="65D4F309" w14:textId="77777777" w:rsidR="00F661AE" w:rsidRPr="001917F5" w:rsidRDefault="00F661AE" w:rsidP="00F661AE">
            <w:pPr>
              <w:spacing w:after="60"/>
              <w:rPr>
                <w:b/>
                <w:bCs/>
                <w:color w:val="000000"/>
              </w:rPr>
            </w:pPr>
            <w:r w:rsidRPr="001917F5">
              <w:rPr>
                <w:b/>
                <w:bCs/>
                <w:color w:val="000000"/>
              </w:rPr>
              <w:t>Mean Score</w:t>
            </w:r>
          </w:p>
        </w:tc>
        <w:tc>
          <w:tcPr>
            <w:tcW w:w="450" w:type="dxa"/>
            <w:tcBorders>
              <w:top w:val="single" w:sz="4" w:space="0" w:color="auto"/>
              <w:left w:val="nil"/>
              <w:bottom w:val="single" w:sz="4" w:space="0" w:color="auto"/>
              <w:right w:val="nil"/>
            </w:tcBorders>
            <w:shd w:val="clear" w:color="auto" w:fill="auto"/>
            <w:tcMar>
              <w:top w:w="17" w:type="dxa"/>
              <w:left w:w="17" w:type="dxa"/>
              <w:bottom w:w="0" w:type="dxa"/>
              <w:right w:w="17" w:type="dxa"/>
            </w:tcMar>
            <w:vAlign w:val="center"/>
            <w:hideMark/>
          </w:tcPr>
          <w:p w14:paraId="357C972F" w14:textId="77777777" w:rsidR="00F661AE" w:rsidRPr="001917F5" w:rsidRDefault="00F661AE" w:rsidP="00F661AE">
            <w:pPr>
              <w:spacing w:after="60"/>
              <w:rPr>
                <w:b/>
                <w:bCs/>
                <w:color w:val="000000"/>
              </w:rPr>
            </w:pPr>
            <w:r w:rsidRPr="001917F5">
              <w:rPr>
                <w:b/>
                <w:bCs/>
                <w:color w:val="000000"/>
              </w:rPr>
              <w:t>SD</w:t>
            </w:r>
          </w:p>
        </w:tc>
        <w:tc>
          <w:tcPr>
            <w:tcW w:w="513" w:type="dxa"/>
            <w:tcBorders>
              <w:top w:val="single" w:sz="4" w:space="0" w:color="auto"/>
              <w:left w:val="nil"/>
              <w:bottom w:val="single" w:sz="4" w:space="0" w:color="auto"/>
              <w:right w:val="nil"/>
            </w:tcBorders>
            <w:shd w:val="clear" w:color="auto" w:fill="auto"/>
            <w:tcMar>
              <w:top w:w="17" w:type="dxa"/>
              <w:left w:w="17" w:type="dxa"/>
              <w:bottom w:w="0" w:type="dxa"/>
              <w:right w:w="17" w:type="dxa"/>
            </w:tcMar>
            <w:vAlign w:val="center"/>
            <w:hideMark/>
          </w:tcPr>
          <w:p w14:paraId="07C0A3AB" w14:textId="77777777" w:rsidR="00F661AE" w:rsidRPr="001917F5" w:rsidRDefault="00F661AE" w:rsidP="00F661AE">
            <w:pPr>
              <w:spacing w:after="60"/>
              <w:rPr>
                <w:b/>
                <w:bCs/>
                <w:color w:val="000000"/>
              </w:rPr>
            </w:pPr>
            <w:r w:rsidRPr="001917F5">
              <w:rPr>
                <w:b/>
                <w:bCs/>
                <w:color w:val="000000"/>
              </w:rPr>
              <w:t>RII</w:t>
            </w:r>
          </w:p>
        </w:tc>
        <w:tc>
          <w:tcPr>
            <w:tcW w:w="785" w:type="dxa"/>
            <w:tcBorders>
              <w:top w:val="single" w:sz="4" w:space="0" w:color="auto"/>
              <w:left w:val="nil"/>
              <w:bottom w:val="single" w:sz="4" w:space="0" w:color="auto"/>
              <w:right w:val="nil"/>
            </w:tcBorders>
            <w:shd w:val="clear" w:color="auto" w:fill="auto"/>
            <w:noWrap/>
            <w:tcMar>
              <w:top w:w="17" w:type="dxa"/>
              <w:left w:w="17" w:type="dxa"/>
              <w:bottom w:w="0" w:type="dxa"/>
              <w:right w:w="17" w:type="dxa"/>
            </w:tcMar>
            <w:vAlign w:val="center"/>
            <w:hideMark/>
          </w:tcPr>
          <w:p w14:paraId="04539671" w14:textId="77777777" w:rsidR="00F661AE" w:rsidRPr="001917F5" w:rsidRDefault="00F661AE" w:rsidP="00F661AE">
            <w:pPr>
              <w:spacing w:after="60"/>
              <w:rPr>
                <w:b/>
                <w:bCs/>
                <w:color w:val="000000"/>
              </w:rPr>
            </w:pPr>
            <w:r w:rsidRPr="001917F5">
              <w:rPr>
                <w:b/>
                <w:bCs/>
                <w:color w:val="000000"/>
              </w:rPr>
              <w:t>Rank</w:t>
            </w:r>
          </w:p>
        </w:tc>
        <w:tc>
          <w:tcPr>
            <w:tcW w:w="900" w:type="dxa"/>
            <w:tcBorders>
              <w:top w:val="single" w:sz="4" w:space="0" w:color="auto"/>
              <w:left w:val="nil"/>
              <w:bottom w:val="single" w:sz="4" w:space="0" w:color="auto"/>
              <w:right w:val="nil"/>
            </w:tcBorders>
            <w:vAlign w:val="center"/>
          </w:tcPr>
          <w:p w14:paraId="15BF0CD3" w14:textId="77777777" w:rsidR="00F661AE" w:rsidRPr="001917F5" w:rsidRDefault="00F661AE" w:rsidP="00F661AE">
            <w:pPr>
              <w:spacing w:after="60"/>
              <w:jc w:val="center"/>
              <w:rPr>
                <w:b/>
                <w:bCs/>
                <w:color w:val="000000"/>
                <w:lang w:eastAsia="en-GB"/>
              </w:rPr>
            </w:pPr>
            <w:r w:rsidRPr="001917F5">
              <w:rPr>
                <w:b/>
                <w:bCs/>
                <w:color w:val="000000"/>
                <w:lang w:eastAsia="en-GB"/>
              </w:rPr>
              <w:t>Level of agreement</w:t>
            </w:r>
          </w:p>
        </w:tc>
        <w:tc>
          <w:tcPr>
            <w:tcW w:w="1106" w:type="dxa"/>
            <w:tcBorders>
              <w:top w:val="single" w:sz="4" w:space="0" w:color="auto"/>
              <w:left w:val="nil"/>
              <w:bottom w:val="single" w:sz="4" w:space="0" w:color="auto"/>
              <w:right w:val="nil"/>
            </w:tcBorders>
            <w:vAlign w:val="center"/>
          </w:tcPr>
          <w:p w14:paraId="5D5BAEBA" w14:textId="77777777" w:rsidR="00F661AE" w:rsidRPr="001917F5" w:rsidRDefault="00F661AE" w:rsidP="00F661AE">
            <w:pPr>
              <w:spacing w:after="60"/>
              <w:jc w:val="center"/>
              <w:rPr>
                <w:b/>
                <w:bCs/>
                <w:color w:val="000000"/>
                <w:lang w:eastAsia="en-GB"/>
              </w:rPr>
            </w:pPr>
            <w:r w:rsidRPr="001917F5">
              <w:rPr>
                <w:b/>
                <w:bCs/>
                <w:color w:val="000000"/>
                <w:lang w:eastAsia="en-GB"/>
              </w:rPr>
              <w:t>Remark</w:t>
            </w:r>
          </w:p>
        </w:tc>
      </w:tr>
      <w:tr w:rsidR="00F661AE" w:rsidRPr="001917F5" w14:paraId="2A201454" w14:textId="77777777" w:rsidTr="00F661AE">
        <w:trPr>
          <w:cantSplit/>
          <w:trHeight w:val="149"/>
        </w:trPr>
        <w:tc>
          <w:tcPr>
            <w:tcW w:w="1450" w:type="dxa"/>
            <w:tcBorders>
              <w:top w:val="single" w:sz="4" w:space="0" w:color="auto"/>
              <w:left w:val="nil"/>
              <w:bottom w:val="nil"/>
              <w:right w:val="nil"/>
            </w:tcBorders>
            <w:shd w:val="clear" w:color="auto" w:fill="auto"/>
            <w:tcMar>
              <w:top w:w="17" w:type="dxa"/>
              <w:left w:w="17" w:type="dxa"/>
              <w:bottom w:w="0" w:type="dxa"/>
              <w:right w:w="17" w:type="dxa"/>
            </w:tcMar>
            <w:vAlign w:val="center"/>
            <w:hideMark/>
          </w:tcPr>
          <w:p w14:paraId="5430F0E9" w14:textId="77777777" w:rsidR="00F661AE" w:rsidRPr="001917F5" w:rsidRDefault="00F661AE" w:rsidP="00F661AE">
            <w:pPr>
              <w:spacing w:after="60"/>
              <w:rPr>
                <w:color w:val="000000"/>
              </w:rPr>
            </w:pPr>
            <w:r w:rsidRPr="001917F5">
              <w:rPr>
                <w:color w:val="000000"/>
              </w:rPr>
              <w:t>Human</w:t>
            </w:r>
          </w:p>
        </w:tc>
        <w:tc>
          <w:tcPr>
            <w:tcW w:w="2434" w:type="dxa"/>
            <w:tcBorders>
              <w:top w:val="single" w:sz="4" w:space="0" w:color="auto"/>
              <w:left w:val="nil"/>
              <w:bottom w:val="nil"/>
              <w:right w:val="nil"/>
            </w:tcBorders>
            <w:shd w:val="clear" w:color="auto" w:fill="auto"/>
            <w:tcMar>
              <w:top w:w="17" w:type="dxa"/>
              <w:left w:w="17" w:type="dxa"/>
              <w:bottom w:w="0" w:type="dxa"/>
              <w:right w:w="17" w:type="dxa"/>
            </w:tcMar>
            <w:vAlign w:val="center"/>
            <w:hideMark/>
          </w:tcPr>
          <w:p w14:paraId="7496EBDD" w14:textId="77777777" w:rsidR="00F661AE" w:rsidRPr="001917F5" w:rsidRDefault="00F661AE" w:rsidP="00F661AE">
            <w:pPr>
              <w:spacing w:after="60"/>
              <w:rPr>
                <w:color w:val="000000"/>
              </w:rPr>
            </w:pPr>
            <w:r w:rsidRPr="001917F5">
              <w:rPr>
                <w:bCs/>
                <w:color w:val="000000"/>
              </w:rPr>
              <w:t>Interpersonal skill</w:t>
            </w:r>
          </w:p>
        </w:tc>
        <w:tc>
          <w:tcPr>
            <w:tcW w:w="633" w:type="dxa"/>
            <w:tcBorders>
              <w:top w:val="single" w:sz="4" w:space="0" w:color="auto"/>
              <w:left w:val="nil"/>
              <w:bottom w:val="nil"/>
              <w:right w:val="nil"/>
            </w:tcBorders>
            <w:shd w:val="clear" w:color="auto" w:fill="auto"/>
            <w:tcMar>
              <w:top w:w="17" w:type="dxa"/>
              <w:left w:w="17" w:type="dxa"/>
              <w:bottom w:w="0" w:type="dxa"/>
              <w:right w:w="17" w:type="dxa"/>
            </w:tcMar>
            <w:vAlign w:val="center"/>
            <w:hideMark/>
          </w:tcPr>
          <w:p w14:paraId="5CE37997" w14:textId="77777777" w:rsidR="00F661AE" w:rsidRPr="001917F5" w:rsidRDefault="00F661AE" w:rsidP="00F661AE">
            <w:pPr>
              <w:spacing w:after="60"/>
              <w:jc w:val="center"/>
              <w:rPr>
                <w:color w:val="000000"/>
              </w:rPr>
            </w:pPr>
            <w:r w:rsidRPr="001917F5">
              <w:rPr>
                <w:color w:val="000000"/>
              </w:rPr>
              <w:t>3.68</w:t>
            </w:r>
          </w:p>
        </w:tc>
        <w:tc>
          <w:tcPr>
            <w:tcW w:w="450" w:type="dxa"/>
            <w:tcBorders>
              <w:top w:val="single" w:sz="4" w:space="0" w:color="auto"/>
              <w:left w:val="nil"/>
              <w:bottom w:val="nil"/>
              <w:right w:val="nil"/>
            </w:tcBorders>
            <w:shd w:val="clear" w:color="auto" w:fill="auto"/>
            <w:tcMar>
              <w:top w:w="17" w:type="dxa"/>
              <w:left w:w="17" w:type="dxa"/>
              <w:bottom w:w="0" w:type="dxa"/>
              <w:right w:w="17" w:type="dxa"/>
            </w:tcMar>
            <w:vAlign w:val="center"/>
            <w:hideMark/>
          </w:tcPr>
          <w:p w14:paraId="1DBC7CE2" w14:textId="77777777" w:rsidR="00F661AE" w:rsidRPr="001917F5" w:rsidRDefault="00F661AE" w:rsidP="00F661AE">
            <w:pPr>
              <w:spacing w:after="60"/>
              <w:jc w:val="center"/>
              <w:rPr>
                <w:color w:val="000000"/>
              </w:rPr>
            </w:pPr>
            <w:r w:rsidRPr="001917F5">
              <w:rPr>
                <w:color w:val="000000"/>
              </w:rPr>
              <w:t>1.38</w:t>
            </w:r>
          </w:p>
        </w:tc>
        <w:tc>
          <w:tcPr>
            <w:tcW w:w="513" w:type="dxa"/>
            <w:tcBorders>
              <w:top w:val="single" w:sz="4" w:space="0" w:color="auto"/>
              <w:left w:val="nil"/>
              <w:bottom w:val="nil"/>
              <w:right w:val="nil"/>
            </w:tcBorders>
            <w:shd w:val="clear" w:color="auto" w:fill="auto"/>
            <w:tcMar>
              <w:top w:w="17" w:type="dxa"/>
              <w:left w:w="17" w:type="dxa"/>
              <w:bottom w:w="0" w:type="dxa"/>
              <w:right w:w="17" w:type="dxa"/>
            </w:tcMar>
            <w:vAlign w:val="center"/>
            <w:hideMark/>
          </w:tcPr>
          <w:p w14:paraId="630FBA93" w14:textId="77777777" w:rsidR="00F661AE" w:rsidRPr="001917F5" w:rsidRDefault="00F661AE" w:rsidP="00F661AE">
            <w:pPr>
              <w:spacing w:after="60"/>
              <w:jc w:val="center"/>
              <w:rPr>
                <w:color w:val="000000"/>
              </w:rPr>
            </w:pPr>
            <w:r w:rsidRPr="001917F5">
              <w:rPr>
                <w:color w:val="000000"/>
              </w:rPr>
              <w:t>0.71</w:t>
            </w:r>
          </w:p>
        </w:tc>
        <w:tc>
          <w:tcPr>
            <w:tcW w:w="0" w:type="auto"/>
            <w:tcBorders>
              <w:top w:val="single" w:sz="4" w:space="0" w:color="auto"/>
              <w:left w:val="nil"/>
              <w:bottom w:val="nil"/>
              <w:right w:val="nil"/>
            </w:tcBorders>
            <w:shd w:val="clear" w:color="auto" w:fill="auto"/>
            <w:noWrap/>
            <w:tcMar>
              <w:top w:w="17" w:type="dxa"/>
              <w:left w:w="17" w:type="dxa"/>
              <w:bottom w:w="0" w:type="dxa"/>
              <w:right w:w="17" w:type="dxa"/>
            </w:tcMar>
            <w:vAlign w:val="center"/>
            <w:hideMark/>
          </w:tcPr>
          <w:p w14:paraId="6D757663" w14:textId="77777777" w:rsidR="00F661AE" w:rsidRPr="001917F5" w:rsidRDefault="00F661AE" w:rsidP="00F661AE">
            <w:pPr>
              <w:spacing w:after="60"/>
              <w:jc w:val="center"/>
              <w:rPr>
                <w:color w:val="000000"/>
              </w:rPr>
            </w:pPr>
            <w:r w:rsidRPr="001917F5">
              <w:rPr>
                <w:color w:val="000000"/>
              </w:rPr>
              <w:t>1</w:t>
            </w:r>
          </w:p>
        </w:tc>
        <w:tc>
          <w:tcPr>
            <w:tcW w:w="0" w:type="auto"/>
            <w:tcBorders>
              <w:top w:val="single" w:sz="4" w:space="0" w:color="auto"/>
              <w:left w:val="nil"/>
              <w:bottom w:val="nil"/>
              <w:right w:val="nil"/>
            </w:tcBorders>
            <w:vAlign w:val="center"/>
          </w:tcPr>
          <w:p w14:paraId="4E4B9DC3" w14:textId="77777777" w:rsidR="00F661AE" w:rsidRPr="001917F5" w:rsidRDefault="00F661AE" w:rsidP="00F661AE">
            <w:pPr>
              <w:spacing w:after="60"/>
              <w:jc w:val="center"/>
              <w:rPr>
                <w:color w:val="000000"/>
                <w:lang w:eastAsia="en-GB"/>
              </w:rPr>
            </w:pPr>
            <w:r w:rsidRPr="001917F5">
              <w:rPr>
                <w:color w:val="000000"/>
                <w:lang w:eastAsia="en-GB"/>
              </w:rPr>
              <w:t>68</w:t>
            </w:r>
          </w:p>
        </w:tc>
        <w:tc>
          <w:tcPr>
            <w:tcW w:w="0" w:type="auto"/>
            <w:tcBorders>
              <w:top w:val="single" w:sz="4" w:space="0" w:color="auto"/>
              <w:left w:val="nil"/>
              <w:bottom w:val="nil"/>
              <w:right w:val="nil"/>
            </w:tcBorders>
            <w:vAlign w:val="center"/>
          </w:tcPr>
          <w:p w14:paraId="45F02DF6"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163B3EBF"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2BB8ABD0" w14:textId="77777777" w:rsidR="00F661AE" w:rsidRPr="001917F5" w:rsidRDefault="00F661AE" w:rsidP="00F661AE">
            <w:pPr>
              <w:spacing w:after="60"/>
              <w:rPr>
                <w:color w:val="000000"/>
              </w:rPr>
            </w:pPr>
            <w:r w:rsidRPr="001917F5">
              <w:rPr>
                <w:color w:val="000000"/>
              </w:rPr>
              <w:t>Conceptual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66A42779" w14:textId="77777777" w:rsidR="00F661AE" w:rsidRPr="001917F5" w:rsidRDefault="00F661AE" w:rsidP="00F661AE">
            <w:pPr>
              <w:spacing w:after="60"/>
              <w:rPr>
                <w:color w:val="000000"/>
              </w:rPr>
            </w:pPr>
            <w:r w:rsidRPr="001917F5">
              <w:rPr>
                <w:bCs/>
                <w:color w:val="000000"/>
              </w:rPr>
              <w:t>Scoping</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428B2FCA" w14:textId="77777777" w:rsidR="00F661AE" w:rsidRPr="001917F5" w:rsidRDefault="00F661AE" w:rsidP="00F661AE">
            <w:pPr>
              <w:spacing w:after="60"/>
              <w:jc w:val="center"/>
              <w:rPr>
                <w:color w:val="000000"/>
              </w:rPr>
            </w:pPr>
            <w:r w:rsidRPr="001917F5">
              <w:rPr>
                <w:color w:val="000000"/>
              </w:rPr>
              <w:t>3.64</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70B52242" w14:textId="77777777" w:rsidR="00F661AE" w:rsidRPr="001917F5" w:rsidRDefault="00F661AE" w:rsidP="00F661AE">
            <w:pPr>
              <w:spacing w:after="60"/>
              <w:jc w:val="center"/>
              <w:rPr>
                <w:color w:val="000000"/>
              </w:rPr>
            </w:pPr>
            <w:r w:rsidRPr="001917F5">
              <w:rPr>
                <w:color w:val="000000"/>
              </w:rPr>
              <w:t>1.08</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6FF041EC" w14:textId="77777777" w:rsidR="00F661AE" w:rsidRPr="001917F5" w:rsidRDefault="00F661AE" w:rsidP="00F661AE">
            <w:pPr>
              <w:spacing w:after="60"/>
              <w:jc w:val="center"/>
              <w:rPr>
                <w:color w:val="000000"/>
              </w:rPr>
            </w:pPr>
            <w:r w:rsidRPr="001917F5">
              <w:rPr>
                <w:color w:val="000000"/>
              </w:rPr>
              <w:t>0.70</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6F1DF5FD" w14:textId="77777777" w:rsidR="00F661AE" w:rsidRPr="001917F5" w:rsidRDefault="00F661AE" w:rsidP="00F661AE">
            <w:pPr>
              <w:spacing w:after="60"/>
              <w:jc w:val="center"/>
              <w:rPr>
                <w:color w:val="000000"/>
              </w:rPr>
            </w:pPr>
            <w:r w:rsidRPr="001917F5">
              <w:rPr>
                <w:color w:val="000000"/>
              </w:rPr>
              <w:t>2</w:t>
            </w:r>
          </w:p>
        </w:tc>
        <w:tc>
          <w:tcPr>
            <w:tcW w:w="0" w:type="auto"/>
            <w:tcBorders>
              <w:top w:val="nil"/>
              <w:left w:val="nil"/>
              <w:bottom w:val="nil"/>
              <w:right w:val="nil"/>
            </w:tcBorders>
            <w:vAlign w:val="center"/>
          </w:tcPr>
          <w:p w14:paraId="6B72E378" w14:textId="77777777" w:rsidR="00F661AE" w:rsidRPr="001917F5" w:rsidRDefault="00F661AE" w:rsidP="00F661AE">
            <w:pPr>
              <w:spacing w:after="60"/>
              <w:jc w:val="center"/>
              <w:rPr>
                <w:color w:val="000000"/>
                <w:lang w:eastAsia="en-GB"/>
              </w:rPr>
            </w:pPr>
            <w:r w:rsidRPr="001917F5">
              <w:rPr>
                <w:color w:val="000000"/>
                <w:lang w:eastAsia="en-GB"/>
              </w:rPr>
              <w:t>64</w:t>
            </w:r>
          </w:p>
        </w:tc>
        <w:tc>
          <w:tcPr>
            <w:tcW w:w="0" w:type="auto"/>
            <w:tcBorders>
              <w:top w:val="nil"/>
              <w:left w:val="nil"/>
              <w:bottom w:val="nil"/>
              <w:right w:val="nil"/>
            </w:tcBorders>
            <w:vAlign w:val="center"/>
          </w:tcPr>
          <w:p w14:paraId="318D5679"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2DDE24D1"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79E2D03E" w14:textId="77777777" w:rsidR="00F661AE" w:rsidRPr="001917F5" w:rsidRDefault="00F661AE" w:rsidP="00F661AE">
            <w:pPr>
              <w:spacing w:after="60"/>
              <w:rPr>
                <w:color w:val="000000"/>
              </w:rPr>
            </w:pPr>
            <w:r w:rsidRPr="001917F5">
              <w:rPr>
                <w:color w:val="000000"/>
              </w:rPr>
              <w:t>Conceptual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0D5BD6D5" w14:textId="77777777" w:rsidR="00F661AE" w:rsidRPr="001917F5" w:rsidRDefault="00F661AE" w:rsidP="00F661AE">
            <w:pPr>
              <w:spacing w:after="60"/>
              <w:rPr>
                <w:color w:val="000000"/>
              </w:rPr>
            </w:pPr>
            <w:r w:rsidRPr="001917F5">
              <w:rPr>
                <w:bCs/>
                <w:color w:val="000000"/>
              </w:rPr>
              <w:t>Integration</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174D6A0B" w14:textId="77777777" w:rsidR="00F661AE" w:rsidRPr="001917F5" w:rsidRDefault="00F661AE" w:rsidP="00F661AE">
            <w:pPr>
              <w:spacing w:after="60"/>
              <w:jc w:val="center"/>
              <w:rPr>
                <w:color w:val="000000"/>
              </w:rPr>
            </w:pPr>
            <w:r w:rsidRPr="001917F5">
              <w:rPr>
                <w:color w:val="000000"/>
              </w:rPr>
              <w:t>3.64</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0FE9F879" w14:textId="77777777" w:rsidR="00F661AE" w:rsidRPr="001917F5" w:rsidRDefault="00F661AE" w:rsidP="00F661AE">
            <w:pPr>
              <w:spacing w:after="60"/>
              <w:jc w:val="center"/>
              <w:rPr>
                <w:color w:val="000000"/>
              </w:rPr>
            </w:pPr>
            <w:r w:rsidRPr="001917F5">
              <w:rPr>
                <w:color w:val="000000"/>
              </w:rPr>
              <w:t>1.08</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1DEDF095" w14:textId="77777777" w:rsidR="00F661AE" w:rsidRPr="001917F5" w:rsidRDefault="00F661AE" w:rsidP="00F661AE">
            <w:pPr>
              <w:spacing w:after="60"/>
              <w:jc w:val="center"/>
              <w:rPr>
                <w:color w:val="000000"/>
              </w:rPr>
            </w:pPr>
            <w:r w:rsidRPr="001917F5">
              <w:rPr>
                <w:color w:val="000000"/>
              </w:rPr>
              <w:t>0.70</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4C334790" w14:textId="77777777" w:rsidR="00F661AE" w:rsidRPr="001917F5" w:rsidRDefault="00F661AE" w:rsidP="00F661AE">
            <w:pPr>
              <w:spacing w:after="60"/>
              <w:jc w:val="center"/>
              <w:rPr>
                <w:color w:val="000000"/>
              </w:rPr>
            </w:pPr>
            <w:r w:rsidRPr="001917F5">
              <w:rPr>
                <w:color w:val="000000"/>
              </w:rPr>
              <w:t>2</w:t>
            </w:r>
          </w:p>
        </w:tc>
        <w:tc>
          <w:tcPr>
            <w:tcW w:w="0" w:type="auto"/>
            <w:tcBorders>
              <w:top w:val="nil"/>
              <w:left w:val="nil"/>
              <w:bottom w:val="nil"/>
              <w:right w:val="nil"/>
            </w:tcBorders>
            <w:vAlign w:val="center"/>
          </w:tcPr>
          <w:p w14:paraId="664D4B6F" w14:textId="77777777" w:rsidR="00F661AE" w:rsidRPr="001917F5" w:rsidRDefault="00F661AE" w:rsidP="00F661AE">
            <w:pPr>
              <w:spacing w:after="60"/>
              <w:jc w:val="center"/>
              <w:rPr>
                <w:color w:val="000000"/>
                <w:lang w:eastAsia="en-GB"/>
              </w:rPr>
            </w:pPr>
            <w:r w:rsidRPr="001917F5">
              <w:rPr>
                <w:color w:val="000000"/>
                <w:lang w:eastAsia="en-GB"/>
              </w:rPr>
              <w:t>62</w:t>
            </w:r>
          </w:p>
        </w:tc>
        <w:tc>
          <w:tcPr>
            <w:tcW w:w="0" w:type="auto"/>
            <w:tcBorders>
              <w:top w:val="nil"/>
              <w:left w:val="nil"/>
              <w:bottom w:val="nil"/>
              <w:right w:val="nil"/>
            </w:tcBorders>
            <w:vAlign w:val="center"/>
          </w:tcPr>
          <w:p w14:paraId="3E53BF49"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68E2764A"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3E3742D6" w14:textId="77777777" w:rsidR="00F661AE" w:rsidRPr="001917F5" w:rsidRDefault="00F661AE" w:rsidP="00F661AE">
            <w:pPr>
              <w:spacing w:after="60"/>
              <w:rPr>
                <w:color w:val="000000"/>
              </w:rPr>
            </w:pPr>
            <w:r w:rsidRPr="001917F5">
              <w:rPr>
                <w:color w:val="000000"/>
              </w:rPr>
              <w:t>Technical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690BEE92" w14:textId="77777777" w:rsidR="00F661AE" w:rsidRPr="001917F5" w:rsidRDefault="00F661AE" w:rsidP="00F661AE">
            <w:pPr>
              <w:spacing w:after="60"/>
              <w:rPr>
                <w:color w:val="000000"/>
              </w:rPr>
            </w:pPr>
            <w:r w:rsidRPr="001917F5">
              <w:rPr>
                <w:bCs/>
                <w:color w:val="000000"/>
              </w:rPr>
              <w:t>Quality management</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09CC4749" w14:textId="77777777" w:rsidR="00F661AE" w:rsidRPr="001917F5" w:rsidRDefault="00F661AE" w:rsidP="00F661AE">
            <w:pPr>
              <w:spacing w:after="60"/>
              <w:jc w:val="center"/>
              <w:rPr>
                <w:color w:val="000000"/>
              </w:rPr>
            </w:pPr>
            <w:r w:rsidRPr="001917F5">
              <w:rPr>
                <w:color w:val="000000"/>
              </w:rPr>
              <w:t>3.62</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7CD772BD" w14:textId="77777777" w:rsidR="00F661AE" w:rsidRPr="001917F5" w:rsidRDefault="00F661AE" w:rsidP="00F661AE">
            <w:pPr>
              <w:spacing w:after="60"/>
              <w:jc w:val="center"/>
              <w:rPr>
                <w:color w:val="000000"/>
              </w:rPr>
            </w:pPr>
            <w:r w:rsidRPr="001917F5">
              <w:rPr>
                <w:color w:val="000000"/>
              </w:rPr>
              <w:t>1.17</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7059B7D7" w14:textId="77777777" w:rsidR="00F661AE" w:rsidRPr="001917F5" w:rsidRDefault="00F661AE" w:rsidP="00F661AE">
            <w:pPr>
              <w:spacing w:after="60"/>
              <w:jc w:val="center"/>
              <w:rPr>
                <w:color w:val="000000"/>
              </w:rPr>
            </w:pPr>
            <w:r w:rsidRPr="001917F5">
              <w:rPr>
                <w:color w:val="000000"/>
              </w:rPr>
              <w:t>0.72</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3CEEA49F" w14:textId="77777777" w:rsidR="00F661AE" w:rsidRPr="001917F5" w:rsidRDefault="00F661AE" w:rsidP="00F661AE">
            <w:pPr>
              <w:spacing w:after="60"/>
              <w:jc w:val="center"/>
              <w:rPr>
                <w:color w:val="000000"/>
              </w:rPr>
            </w:pPr>
            <w:r w:rsidRPr="001917F5">
              <w:rPr>
                <w:color w:val="000000"/>
              </w:rPr>
              <w:t>4</w:t>
            </w:r>
          </w:p>
        </w:tc>
        <w:tc>
          <w:tcPr>
            <w:tcW w:w="0" w:type="auto"/>
            <w:tcBorders>
              <w:top w:val="nil"/>
              <w:left w:val="nil"/>
              <w:bottom w:val="nil"/>
              <w:right w:val="nil"/>
            </w:tcBorders>
            <w:vAlign w:val="center"/>
          </w:tcPr>
          <w:p w14:paraId="2A2E48CC" w14:textId="77777777" w:rsidR="00F661AE" w:rsidRPr="001917F5" w:rsidRDefault="00F661AE" w:rsidP="00F661AE">
            <w:pPr>
              <w:spacing w:after="60"/>
              <w:jc w:val="center"/>
              <w:rPr>
                <w:color w:val="000000"/>
                <w:lang w:eastAsia="en-GB"/>
              </w:rPr>
            </w:pPr>
            <w:r w:rsidRPr="001917F5">
              <w:rPr>
                <w:color w:val="000000"/>
                <w:lang w:eastAsia="en-GB"/>
              </w:rPr>
              <w:t>60</w:t>
            </w:r>
          </w:p>
        </w:tc>
        <w:tc>
          <w:tcPr>
            <w:tcW w:w="0" w:type="auto"/>
            <w:tcBorders>
              <w:top w:val="nil"/>
              <w:left w:val="nil"/>
              <w:bottom w:val="nil"/>
              <w:right w:val="nil"/>
            </w:tcBorders>
            <w:vAlign w:val="center"/>
          </w:tcPr>
          <w:p w14:paraId="4CAB7634"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6F199B23"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52E0E713" w14:textId="77777777" w:rsidR="00F661AE" w:rsidRPr="001917F5" w:rsidRDefault="00F661AE" w:rsidP="00F661AE">
            <w:pPr>
              <w:spacing w:after="60"/>
              <w:rPr>
                <w:color w:val="000000"/>
              </w:rPr>
            </w:pPr>
            <w:r w:rsidRPr="001917F5">
              <w:rPr>
                <w:color w:val="000000"/>
              </w:rPr>
              <w:t>Technical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190D96DA" w14:textId="77777777" w:rsidR="00F661AE" w:rsidRPr="001917F5" w:rsidRDefault="00F661AE" w:rsidP="00F661AE">
            <w:pPr>
              <w:spacing w:after="60"/>
              <w:rPr>
                <w:color w:val="000000"/>
              </w:rPr>
            </w:pPr>
            <w:r w:rsidRPr="001917F5">
              <w:rPr>
                <w:bCs/>
                <w:color w:val="000000"/>
              </w:rPr>
              <w:t>Scheduling</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3960DF98" w14:textId="77777777" w:rsidR="00F661AE" w:rsidRPr="001917F5" w:rsidRDefault="00F661AE" w:rsidP="00F661AE">
            <w:pPr>
              <w:spacing w:after="60"/>
              <w:jc w:val="center"/>
              <w:rPr>
                <w:color w:val="000000"/>
              </w:rPr>
            </w:pPr>
            <w:r w:rsidRPr="001917F5">
              <w:rPr>
                <w:color w:val="000000"/>
              </w:rPr>
              <w:t>3.58</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546E9F1D" w14:textId="77777777" w:rsidR="00F661AE" w:rsidRPr="001917F5" w:rsidRDefault="00F661AE" w:rsidP="00F661AE">
            <w:pPr>
              <w:spacing w:after="60"/>
              <w:jc w:val="center"/>
              <w:rPr>
                <w:color w:val="000000"/>
              </w:rPr>
            </w:pPr>
            <w:r w:rsidRPr="001917F5">
              <w:rPr>
                <w:color w:val="000000"/>
              </w:rPr>
              <w:t>1.33</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32DAEDA8" w14:textId="77777777" w:rsidR="00F661AE" w:rsidRPr="001917F5" w:rsidRDefault="00F661AE" w:rsidP="00F661AE">
            <w:pPr>
              <w:spacing w:after="60"/>
              <w:jc w:val="center"/>
              <w:rPr>
                <w:color w:val="000000"/>
              </w:rPr>
            </w:pPr>
            <w:r w:rsidRPr="001917F5">
              <w:rPr>
                <w:color w:val="000000"/>
              </w:rPr>
              <w:t>0.72</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13DC22DF" w14:textId="77777777" w:rsidR="00F661AE" w:rsidRPr="001917F5" w:rsidRDefault="00F661AE" w:rsidP="00F661AE">
            <w:pPr>
              <w:spacing w:after="60"/>
              <w:jc w:val="center"/>
              <w:rPr>
                <w:color w:val="000000"/>
              </w:rPr>
            </w:pPr>
            <w:r w:rsidRPr="001917F5">
              <w:rPr>
                <w:color w:val="000000"/>
              </w:rPr>
              <w:t>5</w:t>
            </w:r>
          </w:p>
        </w:tc>
        <w:tc>
          <w:tcPr>
            <w:tcW w:w="0" w:type="auto"/>
            <w:tcBorders>
              <w:top w:val="nil"/>
              <w:left w:val="nil"/>
              <w:bottom w:val="nil"/>
              <w:right w:val="nil"/>
            </w:tcBorders>
            <w:vAlign w:val="center"/>
          </w:tcPr>
          <w:p w14:paraId="7F327A82" w14:textId="77777777" w:rsidR="00F661AE" w:rsidRPr="001917F5" w:rsidRDefault="00F661AE" w:rsidP="00F661AE">
            <w:pPr>
              <w:spacing w:after="60"/>
              <w:jc w:val="center"/>
              <w:rPr>
                <w:color w:val="000000"/>
                <w:lang w:eastAsia="en-GB"/>
              </w:rPr>
            </w:pPr>
            <w:r w:rsidRPr="001917F5">
              <w:rPr>
                <w:color w:val="000000"/>
                <w:lang w:eastAsia="en-GB"/>
              </w:rPr>
              <w:t>58</w:t>
            </w:r>
          </w:p>
        </w:tc>
        <w:tc>
          <w:tcPr>
            <w:tcW w:w="0" w:type="auto"/>
            <w:tcBorders>
              <w:top w:val="nil"/>
              <w:left w:val="nil"/>
              <w:bottom w:val="nil"/>
              <w:right w:val="nil"/>
            </w:tcBorders>
            <w:vAlign w:val="center"/>
          </w:tcPr>
          <w:p w14:paraId="4E92C197"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14C41184"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44619363" w14:textId="77777777" w:rsidR="00F661AE" w:rsidRPr="001917F5" w:rsidRDefault="00F661AE" w:rsidP="00F661AE">
            <w:pPr>
              <w:spacing w:after="60"/>
              <w:rPr>
                <w:color w:val="000000"/>
              </w:rPr>
            </w:pPr>
            <w:r w:rsidRPr="001917F5">
              <w:rPr>
                <w:color w:val="000000"/>
              </w:rPr>
              <w:t>Political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6E60189A" w14:textId="77777777" w:rsidR="00F661AE" w:rsidRPr="001917F5" w:rsidRDefault="00F661AE" w:rsidP="00F661AE">
            <w:pPr>
              <w:spacing w:after="60"/>
              <w:rPr>
                <w:color w:val="000000"/>
              </w:rPr>
            </w:pPr>
            <w:r w:rsidRPr="001917F5">
              <w:rPr>
                <w:bCs/>
                <w:color w:val="000000"/>
              </w:rPr>
              <w:t>Networking ability</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779CAB67" w14:textId="77777777" w:rsidR="00F661AE" w:rsidRPr="001917F5" w:rsidRDefault="00F661AE" w:rsidP="00F661AE">
            <w:pPr>
              <w:spacing w:after="60"/>
              <w:jc w:val="center"/>
              <w:rPr>
                <w:color w:val="000000"/>
              </w:rPr>
            </w:pPr>
            <w:r w:rsidRPr="001917F5">
              <w:rPr>
                <w:color w:val="000000"/>
              </w:rPr>
              <w:t>3.58</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50687824" w14:textId="77777777" w:rsidR="00F661AE" w:rsidRPr="001917F5" w:rsidRDefault="00F661AE" w:rsidP="00F661AE">
            <w:pPr>
              <w:spacing w:after="60"/>
              <w:jc w:val="center"/>
              <w:rPr>
                <w:color w:val="000000"/>
              </w:rPr>
            </w:pPr>
            <w:r w:rsidRPr="001917F5">
              <w:rPr>
                <w:color w:val="000000"/>
              </w:rPr>
              <w:t>1.27</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52D5E24E" w14:textId="77777777" w:rsidR="00F661AE" w:rsidRPr="001917F5" w:rsidRDefault="00F661AE" w:rsidP="00F661AE">
            <w:pPr>
              <w:spacing w:after="60"/>
              <w:jc w:val="center"/>
              <w:rPr>
                <w:color w:val="000000"/>
              </w:rPr>
            </w:pPr>
            <w:r w:rsidRPr="001917F5">
              <w:rPr>
                <w:color w:val="000000"/>
              </w:rPr>
              <w:t>0.72</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7257B362" w14:textId="77777777" w:rsidR="00F661AE" w:rsidRPr="001917F5" w:rsidRDefault="00F661AE" w:rsidP="00F661AE">
            <w:pPr>
              <w:spacing w:after="60"/>
              <w:jc w:val="center"/>
              <w:rPr>
                <w:color w:val="000000"/>
              </w:rPr>
            </w:pPr>
            <w:r w:rsidRPr="001917F5">
              <w:rPr>
                <w:color w:val="000000"/>
              </w:rPr>
              <w:t>6</w:t>
            </w:r>
          </w:p>
        </w:tc>
        <w:tc>
          <w:tcPr>
            <w:tcW w:w="0" w:type="auto"/>
            <w:tcBorders>
              <w:top w:val="nil"/>
              <w:left w:val="nil"/>
              <w:bottom w:val="nil"/>
              <w:right w:val="nil"/>
            </w:tcBorders>
            <w:vAlign w:val="center"/>
          </w:tcPr>
          <w:p w14:paraId="2989A9C5" w14:textId="77777777" w:rsidR="00F661AE" w:rsidRPr="001917F5" w:rsidRDefault="00F661AE" w:rsidP="00F661AE">
            <w:pPr>
              <w:spacing w:after="60"/>
              <w:jc w:val="center"/>
              <w:rPr>
                <w:color w:val="000000"/>
                <w:lang w:eastAsia="en-GB"/>
              </w:rPr>
            </w:pPr>
            <w:r w:rsidRPr="001917F5">
              <w:rPr>
                <w:color w:val="000000"/>
                <w:lang w:eastAsia="en-GB"/>
              </w:rPr>
              <w:t>58</w:t>
            </w:r>
          </w:p>
        </w:tc>
        <w:tc>
          <w:tcPr>
            <w:tcW w:w="0" w:type="auto"/>
            <w:tcBorders>
              <w:top w:val="nil"/>
              <w:left w:val="nil"/>
              <w:bottom w:val="nil"/>
              <w:right w:val="nil"/>
            </w:tcBorders>
            <w:vAlign w:val="center"/>
          </w:tcPr>
          <w:p w14:paraId="2142A516"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55601CCC"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40E0A43C" w14:textId="77777777" w:rsidR="00F661AE" w:rsidRPr="001917F5" w:rsidRDefault="00F661AE" w:rsidP="00F661AE">
            <w:pPr>
              <w:spacing w:after="60"/>
              <w:rPr>
                <w:color w:val="000000"/>
              </w:rPr>
            </w:pPr>
            <w:r w:rsidRPr="001917F5">
              <w:rPr>
                <w:color w:val="000000"/>
              </w:rPr>
              <w:t>Technical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05095CE1" w14:textId="77777777" w:rsidR="00F661AE" w:rsidRPr="001917F5" w:rsidRDefault="00F661AE" w:rsidP="00F661AE">
            <w:pPr>
              <w:spacing w:after="60"/>
              <w:rPr>
                <w:color w:val="000000"/>
              </w:rPr>
            </w:pPr>
            <w:r w:rsidRPr="001917F5">
              <w:rPr>
                <w:bCs/>
                <w:color w:val="000000"/>
              </w:rPr>
              <w:t>Document and contract administration</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533CD75D" w14:textId="77777777" w:rsidR="00F661AE" w:rsidRPr="001917F5" w:rsidRDefault="00F661AE" w:rsidP="00F661AE">
            <w:pPr>
              <w:spacing w:after="60"/>
              <w:jc w:val="center"/>
              <w:rPr>
                <w:color w:val="000000"/>
              </w:rPr>
            </w:pPr>
            <w:r w:rsidRPr="001917F5">
              <w:rPr>
                <w:color w:val="000000"/>
              </w:rPr>
              <w:t>3.58</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601EEA64" w14:textId="77777777" w:rsidR="00F661AE" w:rsidRPr="001917F5" w:rsidRDefault="00F661AE" w:rsidP="00F661AE">
            <w:pPr>
              <w:spacing w:after="60"/>
              <w:jc w:val="center"/>
              <w:rPr>
                <w:color w:val="000000"/>
              </w:rPr>
            </w:pPr>
            <w:r w:rsidRPr="001917F5">
              <w:rPr>
                <w:color w:val="000000"/>
              </w:rPr>
              <w:t>1.14</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1D12F5D7" w14:textId="77777777" w:rsidR="00F661AE" w:rsidRPr="001917F5" w:rsidRDefault="00F661AE" w:rsidP="00F661AE">
            <w:pPr>
              <w:spacing w:after="60"/>
              <w:jc w:val="center"/>
              <w:rPr>
                <w:color w:val="000000"/>
              </w:rPr>
            </w:pPr>
            <w:r w:rsidRPr="001917F5">
              <w:rPr>
                <w:color w:val="000000"/>
              </w:rPr>
              <w:t>0.72</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7B6E0814" w14:textId="77777777" w:rsidR="00F661AE" w:rsidRPr="001917F5" w:rsidRDefault="00F661AE" w:rsidP="00F661AE">
            <w:pPr>
              <w:spacing w:after="60"/>
              <w:jc w:val="center"/>
              <w:rPr>
                <w:color w:val="000000"/>
              </w:rPr>
            </w:pPr>
            <w:r w:rsidRPr="001917F5">
              <w:rPr>
                <w:color w:val="000000"/>
              </w:rPr>
              <w:t>7</w:t>
            </w:r>
          </w:p>
        </w:tc>
        <w:tc>
          <w:tcPr>
            <w:tcW w:w="0" w:type="auto"/>
            <w:tcBorders>
              <w:top w:val="nil"/>
              <w:left w:val="nil"/>
              <w:bottom w:val="nil"/>
              <w:right w:val="nil"/>
            </w:tcBorders>
            <w:vAlign w:val="center"/>
          </w:tcPr>
          <w:p w14:paraId="4738D257" w14:textId="77777777" w:rsidR="00F661AE" w:rsidRPr="001917F5" w:rsidRDefault="00F661AE" w:rsidP="00F661AE">
            <w:pPr>
              <w:spacing w:after="60"/>
              <w:jc w:val="center"/>
              <w:rPr>
                <w:color w:val="000000"/>
                <w:lang w:eastAsia="en-GB"/>
              </w:rPr>
            </w:pPr>
            <w:r w:rsidRPr="001917F5">
              <w:rPr>
                <w:color w:val="000000"/>
                <w:lang w:eastAsia="en-GB"/>
              </w:rPr>
              <w:t>58</w:t>
            </w:r>
          </w:p>
        </w:tc>
        <w:tc>
          <w:tcPr>
            <w:tcW w:w="0" w:type="auto"/>
            <w:tcBorders>
              <w:top w:val="nil"/>
              <w:left w:val="nil"/>
              <w:bottom w:val="nil"/>
              <w:right w:val="nil"/>
            </w:tcBorders>
            <w:vAlign w:val="center"/>
          </w:tcPr>
          <w:p w14:paraId="69EA1CCF"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17018196"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633D91A7" w14:textId="77777777" w:rsidR="00F661AE" w:rsidRPr="001917F5" w:rsidRDefault="00F661AE" w:rsidP="00F661AE">
            <w:pPr>
              <w:spacing w:after="60"/>
              <w:rPr>
                <w:color w:val="000000"/>
              </w:rPr>
            </w:pPr>
            <w:r w:rsidRPr="001917F5">
              <w:rPr>
                <w:color w:val="000000"/>
              </w:rPr>
              <w:t>Human</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4C09A1D0" w14:textId="77777777" w:rsidR="00F661AE" w:rsidRPr="001917F5" w:rsidRDefault="00F661AE" w:rsidP="00F661AE">
            <w:pPr>
              <w:spacing w:after="60"/>
              <w:rPr>
                <w:color w:val="000000"/>
              </w:rPr>
            </w:pPr>
            <w:r w:rsidRPr="001917F5">
              <w:rPr>
                <w:bCs/>
                <w:color w:val="000000"/>
              </w:rPr>
              <w:t>Transformational leadership</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289182DA" w14:textId="77777777" w:rsidR="00F661AE" w:rsidRPr="001917F5" w:rsidRDefault="00F661AE" w:rsidP="00F661AE">
            <w:pPr>
              <w:spacing w:after="60"/>
              <w:jc w:val="center"/>
              <w:rPr>
                <w:color w:val="000000"/>
              </w:rPr>
            </w:pPr>
            <w:r w:rsidRPr="001917F5">
              <w:rPr>
                <w:color w:val="000000"/>
              </w:rPr>
              <w:t>3.58</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7155BA50" w14:textId="77777777" w:rsidR="00F661AE" w:rsidRPr="001917F5" w:rsidRDefault="00F661AE" w:rsidP="00F661AE">
            <w:pPr>
              <w:spacing w:after="60"/>
              <w:jc w:val="center"/>
              <w:rPr>
                <w:color w:val="000000"/>
              </w:rPr>
            </w:pPr>
            <w:r w:rsidRPr="001917F5">
              <w:rPr>
                <w:color w:val="000000"/>
              </w:rPr>
              <w:t>1.06</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00D97618" w14:textId="77777777" w:rsidR="00F661AE" w:rsidRPr="001917F5" w:rsidRDefault="00F661AE" w:rsidP="00F661AE">
            <w:pPr>
              <w:spacing w:after="60"/>
              <w:jc w:val="center"/>
              <w:rPr>
                <w:color w:val="000000"/>
              </w:rPr>
            </w:pPr>
            <w:r w:rsidRPr="001917F5">
              <w:rPr>
                <w:color w:val="000000"/>
              </w:rPr>
              <w:t>0.72</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319420E8" w14:textId="77777777" w:rsidR="00F661AE" w:rsidRPr="001917F5" w:rsidRDefault="00F661AE" w:rsidP="00F661AE">
            <w:pPr>
              <w:spacing w:after="60"/>
              <w:jc w:val="center"/>
              <w:rPr>
                <w:color w:val="000000"/>
              </w:rPr>
            </w:pPr>
            <w:r w:rsidRPr="001917F5">
              <w:rPr>
                <w:color w:val="000000"/>
              </w:rPr>
              <w:t>8</w:t>
            </w:r>
          </w:p>
        </w:tc>
        <w:tc>
          <w:tcPr>
            <w:tcW w:w="0" w:type="auto"/>
            <w:tcBorders>
              <w:top w:val="nil"/>
              <w:left w:val="nil"/>
              <w:bottom w:val="nil"/>
              <w:right w:val="nil"/>
            </w:tcBorders>
            <w:vAlign w:val="center"/>
          </w:tcPr>
          <w:p w14:paraId="1ABF21E0" w14:textId="77777777" w:rsidR="00F661AE" w:rsidRPr="001917F5" w:rsidRDefault="00F661AE" w:rsidP="00F661AE">
            <w:pPr>
              <w:spacing w:after="60"/>
              <w:jc w:val="center"/>
              <w:rPr>
                <w:color w:val="000000"/>
                <w:lang w:eastAsia="en-GB"/>
              </w:rPr>
            </w:pPr>
            <w:r w:rsidRPr="001917F5">
              <w:rPr>
                <w:color w:val="000000"/>
                <w:lang w:eastAsia="en-GB"/>
              </w:rPr>
              <w:t>58</w:t>
            </w:r>
          </w:p>
        </w:tc>
        <w:tc>
          <w:tcPr>
            <w:tcW w:w="0" w:type="auto"/>
            <w:tcBorders>
              <w:top w:val="nil"/>
              <w:left w:val="nil"/>
              <w:bottom w:val="nil"/>
              <w:right w:val="nil"/>
            </w:tcBorders>
            <w:vAlign w:val="center"/>
          </w:tcPr>
          <w:p w14:paraId="31835931"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270C30C4"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2FD50BFB" w14:textId="77777777" w:rsidR="00F661AE" w:rsidRPr="001917F5" w:rsidRDefault="00F661AE" w:rsidP="00F661AE">
            <w:pPr>
              <w:spacing w:after="60"/>
              <w:rPr>
                <w:color w:val="000000"/>
              </w:rPr>
            </w:pPr>
            <w:r w:rsidRPr="001917F5">
              <w:rPr>
                <w:color w:val="000000"/>
              </w:rPr>
              <w:t>Political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1B396C06" w14:textId="77777777" w:rsidR="00F661AE" w:rsidRPr="001917F5" w:rsidRDefault="00F661AE" w:rsidP="00F661AE">
            <w:pPr>
              <w:spacing w:after="60"/>
              <w:rPr>
                <w:color w:val="000000"/>
              </w:rPr>
            </w:pPr>
            <w:r w:rsidRPr="001917F5">
              <w:rPr>
                <w:bCs/>
                <w:color w:val="000000"/>
              </w:rPr>
              <w:t>Apparent sincerity</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04F1D71F" w14:textId="77777777" w:rsidR="00F661AE" w:rsidRPr="001917F5" w:rsidRDefault="00F661AE" w:rsidP="00F661AE">
            <w:pPr>
              <w:spacing w:after="60"/>
              <w:jc w:val="center"/>
              <w:rPr>
                <w:color w:val="000000"/>
              </w:rPr>
            </w:pPr>
            <w:r w:rsidRPr="001917F5">
              <w:rPr>
                <w:color w:val="000000"/>
              </w:rPr>
              <w:t>3.54</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4CD66D2E" w14:textId="77777777" w:rsidR="00F661AE" w:rsidRPr="001917F5" w:rsidRDefault="00F661AE" w:rsidP="00F661AE">
            <w:pPr>
              <w:spacing w:after="60"/>
              <w:jc w:val="center"/>
              <w:rPr>
                <w:color w:val="000000"/>
              </w:rPr>
            </w:pPr>
            <w:r w:rsidRPr="001917F5">
              <w:rPr>
                <w:color w:val="000000"/>
              </w:rPr>
              <w:t>1.17</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592766A6" w14:textId="77777777" w:rsidR="00F661AE" w:rsidRPr="001917F5" w:rsidRDefault="00F661AE" w:rsidP="00F661AE">
            <w:pPr>
              <w:spacing w:after="60"/>
              <w:jc w:val="center"/>
              <w:rPr>
                <w:color w:val="000000"/>
              </w:rPr>
            </w:pPr>
            <w:r w:rsidRPr="001917F5">
              <w:rPr>
                <w:color w:val="000000"/>
              </w:rPr>
              <w:t>0.71</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5799C3DF" w14:textId="77777777" w:rsidR="00F661AE" w:rsidRPr="001917F5" w:rsidRDefault="00F661AE" w:rsidP="00F661AE">
            <w:pPr>
              <w:spacing w:after="60"/>
              <w:jc w:val="center"/>
              <w:rPr>
                <w:color w:val="000000"/>
              </w:rPr>
            </w:pPr>
            <w:r w:rsidRPr="001917F5">
              <w:rPr>
                <w:color w:val="000000"/>
              </w:rPr>
              <w:t>9</w:t>
            </w:r>
          </w:p>
        </w:tc>
        <w:tc>
          <w:tcPr>
            <w:tcW w:w="0" w:type="auto"/>
            <w:tcBorders>
              <w:top w:val="nil"/>
              <w:left w:val="nil"/>
              <w:bottom w:val="nil"/>
              <w:right w:val="nil"/>
            </w:tcBorders>
            <w:vAlign w:val="center"/>
          </w:tcPr>
          <w:p w14:paraId="40FC2C7C" w14:textId="77777777" w:rsidR="00F661AE" w:rsidRPr="001917F5" w:rsidRDefault="00F661AE" w:rsidP="00F661AE">
            <w:pPr>
              <w:spacing w:after="60"/>
              <w:jc w:val="center"/>
              <w:rPr>
                <w:color w:val="000000"/>
                <w:lang w:eastAsia="en-GB"/>
              </w:rPr>
            </w:pPr>
            <w:r w:rsidRPr="001917F5">
              <w:rPr>
                <w:color w:val="000000"/>
                <w:lang w:eastAsia="en-GB"/>
              </w:rPr>
              <w:t>58</w:t>
            </w:r>
          </w:p>
        </w:tc>
        <w:tc>
          <w:tcPr>
            <w:tcW w:w="0" w:type="auto"/>
            <w:tcBorders>
              <w:top w:val="nil"/>
              <w:left w:val="nil"/>
              <w:bottom w:val="nil"/>
              <w:right w:val="nil"/>
            </w:tcBorders>
            <w:vAlign w:val="center"/>
          </w:tcPr>
          <w:p w14:paraId="25436F29"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19F66C4B"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19B7A3E0" w14:textId="77777777" w:rsidR="00F661AE" w:rsidRPr="001917F5" w:rsidRDefault="00F661AE" w:rsidP="00F661AE">
            <w:pPr>
              <w:spacing w:after="60"/>
              <w:rPr>
                <w:color w:val="000000"/>
              </w:rPr>
            </w:pPr>
            <w:r w:rsidRPr="001917F5">
              <w:rPr>
                <w:color w:val="000000"/>
              </w:rPr>
              <w:t>Technical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35168598" w14:textId="77777777" w:rsidR="00F661AE" w:rsidRPr="001917F5" w:rsidRDefault="00F661AE" w:rsidP="00F661AE">
            <w:pPr>
              <w:spacing w:after="60"/>
              <w:rPr>
                <w:color w:val="000000"/>
              </w:rPr>
            </w:pPr>
            <w:r w:rsidRPr="001917F5">
              <w:rPr>
                <w:bCs/>
                <w:color w:val="000000"/>
              </w:rPr>
              <w:t>Procurement management</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3C0FDB0E" w14:textId="77777777" w:rsidR="00F661AE" w:rsidRPr="001917F5" w:rsidRDefault="00F661AE" w:rsidP="00F661AE">
            <w:pPr>
              <w:spacing w:after="60"/>
              <w:jc w:val="center"/>
              <w:rPr>
                <w:color w:val="000000"/>
              </w:rPr>
            </w:pPr>
            <w:r w:rsidRPr="001917F5">
              <w:rPr>
                <w:color w:val="000000"/>
              </w:rPr>
              <w:t>3.54</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475382D3" w14:textId="77777777" w:rsidR="00F661AE" w:rsidRPr="001917F5" w:rsidRDefault="00F661AE" w:rsidP="00F661AE">
            <w:pPr>
              <w:spacing w:after="60"/>
              <w:jc w:val="center"/>
              <w:rPr>
                <w:color w:val="000000"/>
              </w:rPr>
            </w:pPr>
            <w:r w:rsidRPr="001917F5">
              <w:rPr>
                <w:color w:val="000000"/>
              </w:rPr>
              <w:t>1.14</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69CEB137" w14:textId="77777777" w:rsidR="00F661AE" w:rsidRPr="001917F5" w:rsidRDefault="00F661AE" w:rsidP="00F661AE">
            <w:pPr>
              <w:spacing w:after="60"/>
              <w:jc w:val="center"/>
              <w:rPr>
                <w:color w:val="000000"/>
              </w:rPr>
            </w:pPr>
            <w:r w:rsidRPr="001917F5">
              <w:rPr>
                <w:color w:val="000000"/>
              </w:rPr>
              <w:t>0.71</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39717FA5" w14:textId="77777777" w:rsidR="00F661AE" w:rsidRPr="001917F5" w:rsidRDefault="00F661AE" w:rsidP="00F661AE">
            <w:pPr>
              <w:spacing w:after="60"/>
              <w:jc w:val="center"/>
              <w:rPr>
                <w:color w:val="000000"/>
              </w:rPr>
            </w:pPr>
            <w:r w:rsidRPr="001917F5">
              <w:rPr>
                <w:color w:val="000000"/>
              </w:rPr>
              <w:t>10</w:t>
            </w:r>
          </w:p>
        </w:tc>
        <w:tc>
          <w:tcPr>
            <w:tcW w:w="0" w:type="auto"/>
            <w:tcBorders>
              <w:top w:val="nil"/>
              <w:left w:val="nil"/>
              <w:bottom w:val="nil"/>
              <w:right w:val="nil"/>
            </w:tcBorders>
            <w:vAlign w:val="center"/>
          </w:tcPr>
          <w:p w14:paraId="523AAFA9" w14:textId="77777777" w:rsidR="00F661AE" w:rsidRPr="001917F5" w:rsidRDefault="00F661AE" w:rsidP="00F661AE">
            <w:pPr>
              <w:spacing w:after="60"/>
              <w:jc w:val="center"/>
              <w:rPr>
                <w:color w:val="000000"/>
                <w:lang w:eastAsia="en-GB"/>
              </w:rPr>
            </w:pPr>
            <w:r w:rsidRPr="001917F5">
              <w:rPr>
                <w:color w:val="000000"/>
                <w:lang w:eastAsia="en-GB"/>
              </w:rPr>
              <w:t>54</w:t>
            </w:r>
          </w:p>
        </w:tc>
        <w:tc>
          <w:tcPr>
            <w:tcW w:w="0" w:type="auto"/>
            <w:tcBorders>
              <w:top w:val="nil"/>
              <w:left w:val="nil"/>
              <w:bottom w:val="nil"/>
              <w:right w:val="nil"/>
            </w:tcBorders>
            <w:vAlign w:val="center"/>
          </w:tcPr>
          <w:p w14:paraId="3071D49E"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62F2A91D"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1DA54A3F" w14:textId="77777777" w:rsidR="00F661AE" w:rsidRPr="001917F5" w:rsidRDefault="00F661AE" w:rsidP="00F661AE">
            <w:pPr>
              <w:spacing w:after="60"/>
              <w:rPr>
                <w:color w:val="000000"/>
              </w:rPr>
            </w:pPr>
            <w:r w:rsidRPr="001917F5">
              <w:rPr>
                <w:color w:val="000000"/>
              </w:rPr>
              <w:t>Technical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691E13EC" w14:textId="77777777" w:rsidR="00F661AE" w:rsidRPr="001917F5" w:rsidRDefault="00F661AE" w:rsidP="00F661AE">
            <w:pPr>
              <w:spacing w:after="60"/>
              <w:rPr>
                <w:color w:val="000000"/>
              </w:rPr>
            </w:pPr>
            <w:r w:rsidRPr="001917F5">
              <w:rPr>
                <w:bCs/>
                <w:color w:val="000000"/>
              </w:rPr>
              <w:t>Budgeting</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41EF380D" w14:textId="77777777" w:rsidR="00F661AE" w:rsidRPr="001917F5" w:rsidRDefault="00F661AE" w:rsidP="00F661AE">
            <w:pPr>
              <w:spacing w:after="60"/>
              <w:jc w:val="center"/>
              <w:rPr>
                <w:color w:val="000000"/>
              </w:rPr>
            </w:pPr>
            <w:r w:rsidRPr="001917F5">
              <w:rPr>
                <w:color w:val="000000"/>
              </w:rPr>
              <w:t>3.42</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1146131B" w14:textId="77777777" w:rsidR="00F661AE" w:rsidRPr="001917F5" w:rsidRDefault="00F661AE" w:rsidP="00F661AE">
            <w:pPr>
              <w:spacing w:after="60"/>
              <w:jc w:val="center"/>
              <w:rPr>
                <w:color w:val="000000"/>
              </w:rPr>
            </w:pPr>
            <w:r w:rsidRPr="001917F5">
              <w:rPr>
                <w:color w:val="000000"/>
              </w:rPr>
              <w:t>1.14</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4857B81E" w14:textId="77777777" w:rsidR="00F661AE" w:rsidRPr="001917F5" w:rsidRDefault="00F661AE" w:rsidP="00F661AE">
            <w:pPr>
              <w:spacing w:after="60"/>
              <w:jc w:val="center"/>
              <w:rPr>
                <w:color w:val="000000"/>
              </w:rPr>
            </w:pPr>
            <w:r w:rsidRPr="001917F5">
              <w:rPr>
                <w:color w:val="000000"/>
              </w:rPr>
              <w:t>0.68</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683F3169" w14:textId="77777777" w:rsidR="00F661AE" w:rsidRPr="001917F5" w:rsidRDefault="00F661AE" w:rsidP="00F661AE">
            <w:pPr>
              <w:spacing w:after="60"/>
              <w:jc w:val="center"/>
              <w:rPr>
                <w:color w:val="000000"/>
              </w:rPr>
            </w:pPr>
            <w:r w:rsidRPr="001917F5">
              <w:rPr>
                <w:color w:val="000000"/>
              </w:rPr>
              <w:t>11</w:t>
            </w:r>
          </w:p>
        </w:tc>
        <w:tc>
          <w:tcPr>
            <w:tcW w:w="0" w:type="auto"/>
            <w:tcBorders>
              <w:top w:val="nil"/>
              <w:left w:val="nil"/>
              <w:bottom w:val="nil"/>
              <w:right w:val="nil"/>
            </w:tcBorders>
            <w:vAlign w:val="center"/>
          </w:tcPr>
          <w:p w14:paraId="5B57732B" w14:textId="77777777" w:rsidR="00F661AE" w:rsidRPr="001917F5" w:rsidRDefault="00F661AE" w:rsidP="00F661AE">
            <w:pPr>
              <w:spacing w:after="60"/>
              <w:jc w:val="center"/>
              <w:rPr>
                <w:color w:val="000000"/>
                <w:lang w:eastAsia="en-GB"/>
              </w:rPr>
            </w:pPr>
            <w:r w:rsidRPr="001917F5">
              <w:rPr>
                <w:color w:val="000000"/>
                <w:lang w:eastAsia="en-GB"/>
              </w:rPr>
              <w:t>50</w:t>
            </w:r>
          </w:p>
        </w:tc>
        <w:tc>
          <w:tcPr>
            <w:tcW w:w="0" w:type="auto"/>
            <w:tcBorders>
              <w:top w:val="nil"/>
              <w:left w:val="nil"/>
              <w:bottom w:val="nil"/>
              <w:right w:val="nil"/>
            </w:tcBorders>
            <w:vAlign w:val="center"/>
          </w:tcPr>
          <w:p w14:paraId="44EA1349"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436CC336"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124EB653" w14:textId="77777777" w:rsidR="00F661AE" w:rsidRPr="001917F5" w:rsidRDefault="00F661AE" w:rsidP="00F661AE">
            <w:pPr>
              <w:spacing w:after="60"/>
              <w:rPr>
                <w:color w:val="000000"/>
              </w:rPr>
            </w:pPr>
            <w:r w:rsidRPr="001917F5">
              <w:rPr>
                <w:color w:val="000000"/>
              </w:rPr>
              <w:t>Technical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70B53A22" w14:textId="77777777" w:rsidR="00F661AE" w:rsidRPr="001917F5" w:rsidRDefault="00F661AE" w:rsidP="00F661AE">
            <w:pPr>
              <w:spacing w:after="60"/>
              <w:rPr>
                <w:color w:val="000000"/>
              </w:rPr>
            </w:pPr>
            <w:r w:rsidRPr="001917F5">
              <w:rPr>
                <w:bCs/>
                <w:color w:val="000000"/>
              </w:rPr>
              <w:t>Risk management</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73841C17" w14:textId="77777777" w:rsidR="00F661AE" w:rsidRPr="001917F5" w:rsidRDefault="00F661AE" w:rsidP="00F661AE">
            <w:pPr>
              <w:spacing w:after="60"/>
              <w:jc w:val="center"/>
              <w:rPr>
                <w:color w:val="000000"/>
              </w:rPr>
            </w:pPr>
            <w:r w:rsidRPr="001917F5">
              <w:rPr>
                <w:color w:val="000000"/>
              </w:rPr>
              <w:t>3.35</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2E36945E" w14:textId="77777777" w:rsidR="00F661AE" w:rsidRPr="001917F5" w:rsidRDefault="00F661AE" w:rsidP="00F661AE">
            <w:pPr>
              <w:spacing w:after="60"/>
              <w:jc w:val="center"/>
              <w:rPr>
                <w:color w:val="000000"/>
              </w:rPr>
            </w:pPr>
            <w:r w:rsidRPr="001917F5">
              <w:rPr>
                <w:color w:val="000000"/>
              </w:rPr>
              <w:t>1.20</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7EE6B748" w14:textId="77777777" w:rsidR="00F661AE" w:rsidRPr="001917F5" w:rsidRDefault="00F661AE" w:rsidP="00F661AE">
            <w:pPr>
              <w:spacing w:after="60"/>
              <w:jc w:val="center"/>
              <w:rPr>
                <w:color w:val="000000"/>
              </w:rPr>
            </w:pPr>
            <w:r w:rsidRPr="001917F5">
              <w:rPr>
                <w:color w:val="000000"/>
              </w:rPr>
              <w:t>0.67</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74123CE4" w14:textId="77777777" w:rsidR="00F661AE" w:rsidRPr="001917F5" w:rsidRDefault="00F661AE" w:rsidP="00F661AE">
            <w:pPr>
              <w:spacing w:after="60"/>
              <w:jc w:val="center"/>
              <w:rPr>
                <w:color w:val="000000"/>
              </w:rPr>
            </w:pPr>
            <w:r w:rsidRPr="001917F5">
              <w:rPr>
                <w:color w:val="000000"/>
              </w:rPr>
              <w:t>12</w:t>
            </w:r>
          </w:p>
        </w:tc>
        <w:tc>
          <w:tcPr>
            <w:tcW w:w="0" w:type="auto"/>
            <w:tcBorders>
              <w:top w:val="nil"/>
              <w:left w:val="nil"/>
              <w:bottom w:val="nil"/>
              <w:right w:val="nil"/>
            </w:tcBorders>
            <w:vAlign w:val="center"/>
          </w:tcPr>
          <w:p w14:paraId="7AB6DADB" w14:textId="77777777" w:rsidR="00F661AE" w:rsidRPr="001917F5" w:rsidRDefault="00F661AE" w:rsidP="00F661AE">
            <w:pPr>
              <w:spacing w:after="60"/>
              <w:jc w:val="center"/>
              <w:rPr>
                <w:color w:val="000000"/>
                <w:lang w:eastAsia="en-GB"/>
              </w:rPr>
            </w:pPr>
            <w:r w:rsidRPr="001917F5">
              <w:rPr>
                <w:color w:val="000000"/>
                <w:lang w:eastAsia="en-GB"/>
              </w:rPr>
              <w:t>50</w:t>
            </w:r>
          </w:p>
        </w:tc>
        <w:tc>
          <w:tcPr>
            <w:tcW w:w="0" w:type="auto"/>
            <w:tcBorders>
              <w:top w:val="nil"/>
              <w:left w:val="nil"/>
              <w:bottom w:val="nil"/>
              <w:right w:val="nil"/>
            </w:tcBorders>
            <w:vAlign w:val="center"/>
          </w:tcPr>
          <w:p w14:paraId="53F6F047"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40A42D11"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3E89CC47" w14:textId="77777777" w:rsidR="00F661AE" w:rsidRPr="001917F5" w:rsidRDefault="00F661AE" w:rsidP="00F661AE">
            <w:pPr>
              <w:spacing w:after="60"/>
              <w:rPr>
                <w:color w:val="000000"/>
              </w:rPr>
            </w:pPr>
            <w:r w:rsidRPr="001917F5">
              <w:rPr>
                <w:color w:val="000000"/>
              </w:rPr>
              <w:t>Political</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476E9B94" w14:textId="77777777" w:rsidR="00F661AE" w:rsidRPr="001917F5" w:rsidRDefault="00F661AE" w:rsidP="00F661AE">
            <w:pPr>
              <w:spacing w:after="60"/>
              <w:rPr>
                <w:color w:val="000000"/>
              </w:rPr>
            </w:pPr>
            <w:r w:rsidRPr="001917F5">
              <w:rPr>
                <w:bCs/>
                <w:color w:val="000000"/>
              </w:rPr>
              <w:t>Interpersonal influence</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79536A28" w14:textId="77777777" w:rsidR="00F661AE" w:rsidRPr="001917F5" w:rsidRDefault="00F661AE" w:rsidP="00F661AE">
            <w:pPr>
              <w:spacing w:after="60"/>
              <w:jc w:val="center"/>
              <w:rPr>
                <w:color w:val="000000"/>
              </w:rPr>
            </w:pPr>
            <w:r w:rsidRPr="001917F5">
              <w:rPr>
                <w:color w:val="000000"/>
              </w:rPr>
              <w:t>3.35</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101C883B" w14:textId="77777777" w:rsidR="00F661AE" w:rsidRPr="001917F5" w:rsidRDefault="00F661AE" w:rsidP="00F661AE">
            <w:pPr>
              <w:spacing w:after="60"/>
              <w:jc w:val="center"/>
              <w:rPr>
                <w:color w:val="000000"/>
              </w:rPr>
            </w:pPr>
            <w:r w:rsidRPr="001917F5">
              <w:rPr>
                <w:color w:val="000000"/>
              </w:rPr>
              <w:t>1.06</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31A2F11D" w14:textId="77777777" w:rsidR="00F661AE" w:rsidRPr="001917F5" w:rsidRDefault="00F661AE" w:rsidP="00F661AE">
            <w:pPr>
              <w:spacing w:after="60"/>
              <w:jc w:val="center"/>
              <w:rPr>
                <w:color w:val="000000"/>
              </w:rPr>
            </w:pPr>
            <w:r w:rsidRPr="001917F5">
              <w:rPr>
                <w:color w:val="000000"/>
              </w:rPr>
              <w:t>0.67</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5308A96B" w14:textId="77777777" w:rsidR="00F661AE" w:rsidRPr="001917F5" w:rsidRDefault="00F661AE" w:rsidP="00F661AE">
            <w:pPr>
              <w:spacing w:after="60"/>
              <w:jc w:val="center"/>
              <w:rPr>
                <w:color w:val="000000"/>
              </w:rPr>
            </w:pPr>
            <w:r w:rsidRPr="001917F5">
              <w:rPr>
                <w:color w:val="000000"/>
              </w:rPr>
              <w:t>13</w:t>
            </w:r>
          </w:p>
        </w:tc>
        <w:tc>
          <w:tcPr>
            <w:tcW w:w="0" w:type="auto"/>
            <w:tcBorders>
              <w:top w:val="nil"/>
              <w:left w:val="nil"/>
              <w:bottom w:val="nil"/>
              <w:right w:val="nil"/>
            </w:tcBorders>
            <w:vAlign w:val="center"/>
          </w:tcPr>
          <w:p w14:paraId="0E585D71" w14:textId="77777777" w:rsidR="00F661AE" w:rsidRPr="001917F5" w:rsidRDefault="00F661AE" w:rsidP="00F661AE">
            <w:pPr>
              <w:spacing w:after="60"/>
              <w:jc w:val="center"/>
              <w:rPr>
                <w:color w:val="000000"/>
                <w:lang w:eastAsia="en-GB"/>
              </w:rPr>
            </w:pPr>
            <w:r w:rsidRPr="001917F5">
              <w:rPr>
                <w:color w:val="000000"/>
                <w:lang w:eastAsia="en-GB"/>
              </w:rPr>
              <w:t>50</w:t>
            </w:r>
          </w:p>
        </w:tc>
        <w:tc>
          <w:tcPr>
            <w:tcW w:w="0" w:type="auto"/>
            <w:tcBorders>
              <w:top w:val="nil"/>
              <w:left w:val="nil"/>
              <w:bottom w:val="nil"/>
              <w:right w:val="nil"/>
            </w:tcBorders>
            <w:vAlign w:val="center"/>
          </w:tcPr>
          <w:p w14:paraId="6F057D48"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3D2556C5" w14:textId="77777777" w:rsidTr="00F661AE">
        <w:trPr>
          <w:cantSplit/>
          <w:trHeight w:val="149"/>
        </w:trPr>
        <w:tc>
          <w:tcPr>
            <w:tcW w:w="1450" w:type="dxa"/>
            <w:tcBorders>
              <w:top w:val="nil"/>
              <w:left w:val="nil"/>
              <w:bottom w:val="nil"/>
              <w:right w:val="nil"/>
            </w:tcBorders>
            <w:shd w:val="clear" w:color="auto" w:fill="auto"/>
            <w:tcMar>
              <w:top w:w="17" w:type="dxa"/>
              <w:left w:w="17" w:type="dxa"/>
              <w:bottom w:w="0" w:type="dxa"/>
              <w:right w:w="17" w:type="dxa"/>
            </w:tcMar>
            <w:vAlign w:val="center"/>
            <w:hideMark/>
          </w:tcPr>
          <w:p w14:paraId="7561AD07" w14:textId="77777777" w:rsidR="00F661AE" w:rsidRPr="001917F5" w:rsidRDefault="00F661AE" w:rsidP="00F661AE">
            <w:pPr>
              <w:spacing w:after="60"/>
              <w:rPr>
                <w:color w:val="000000"/>
              </w:rPr>
            </w:pPr>
            <w:r w:rsidRPr="001917F5">
              <w:rPr>
                <w:color w:val="000000"/>
              </w:rPr>
              <w:t>Human</w:t>
            </w:r>
          </w:p>
        </w:tc>
        <w:tc>
          <w:tcPr>
            <w:tcW w:w="2434" w:type="dxa"/>
            <w:tcBorders>
              <w:top w:val="nil"/>
              <w:left w:val="nil"/>
              <w:bottom w:val="nil"/>
              <w:right w:val="nil"/>
            </w:tcBorders>
            <w:shd w:val="clear" w:color="auto" w:fill="auto"/>
            <w:tcMar>
              <w:top w:w="17" w:type="dxa"/>
              <w:left w:w="17" w:type="dxa"/>
              <w:bottom w:w="0" w:type="dxa"/>
              <w:right w:w="17" w:type="dxa"/>
            </w:tcMar>
            <w:vAlign w:val="center"/>
            <w:hideMark/>
          </w:tcPr>
          <w:p w14:paraId="3F37ED2A" w14:textId="77777777" w:rsidR="00F661AE" w:rsidRPr="001917F5" w:rsidRDefault="00F661AE" w:rsidP="00F661AE">
            <w:pPr>
              <w:spacing w:after="60"/>
              <w:rPr>
                <w:color w:val="000000"/>
              </w:rPr>
            </w:pPr>
            <w:r w:rsidRPr="001917F5">
              <w:rPr>
                <w:bCs/>
                <w:color w:val="000000"/>
              </w:rPr>
              <w:t>Emotional intelligence</w:t>
            </w:r>
          </w:p>
        </w:tc>
        <w:tc>
          <w:tcPr>
            <w:tcW w:w="633" w:type="dxa"/>
            <w:tcBorders>
              <w:top w:val="nil"/>
              <w:left w:val="nil"/>
              <w:bottom w:val="nil"/>
              <w:right w:val="nil"/>
            </w:tcBorders>
            <w:shd w:val="clear" w:color="auto" w:fill="auto"/>
            <w:tcMar>
              <w:top w:w="17" w:type="dxa"/>
              <w:left w:w="17" w:type="dxa"/>
              <w:bottom w:w="0" w:type="dxa"/>
              <w:right w:w="17" w:type="dxa"/>
            </w:tcMar>
            <w:vAlign w:val="center"/>
            <w:hideMark/>
          </w:tcPr>
          <w:p w14:paraId="5F923567" w14:textId="77777777" w:rsidR="00F661AE" w:rsidRPr="001917F5" w:rsidRDefault="00F661AE" w:rsidP="00F661AE">
            <w:pPr>
              <w:spacing w:after="60"/>
              <w:jc w:val="center"/>
              <w:rPr>
                <w:color w:val="000000"/>
              </w:rPr>
            </w:pPr>
            <w:r w:rsidRPr="001917F5">
              <w:rPr>
                <w:color w:val="000000"/>
              </w:rPr>
              <w:t>3.31</w:t>
            </w:r>
          </w:p>
        </w:tc>
        <w:tc>
          <w:tcPr>
            <w:tcW w:w="450" w:type="dxa"/>
            <w:tcBorders>
              <w:top w:val="nil"/>
              <w:left w:val="nil"/>
              <w:bottom w:val="nil"/>
              <w:right w:val="nil"/>
            </w:tcBorders>
            <w:shd w:val="clear" w:color="auto" w:fill="auto"/>
            <w:tcMar>
              <w:top w:w="17" w:type="dxa"/>
              <w:left w:w="17" w:type="dxa"/>
              <w:bottom w:w="0" w:type="dxa"/>
              <w:right w:w="17" w:type="dxa"/>
            </w:tcMar>
            <w:vAlign w:val="center"/>
            <w:hideMark/>
          </w:tcPr>
          <w:p w14:paraId="0717A5C2" w14:textId="77777777" w:rsidR="00F661AE" w:rsidRPr="001917F5" w:rsidRDefault="00F661AE" w:rsidP="00F661AE">
            <w:pPr>
              <w:spacing w:after="60"/>
              <w:jc w:val="center"/>
              <w:rPr>
                <w:color w:val="000000"/>
              </w:rPr>
            </w:pPr>
            <w:r w:rsidRPr="001917F5">
              <w:rPr>
                <w:color w:val="000000"/>
              </w:rPr>
              <w:t>1.05</w:t>
            </w:r>
          </w:p>
        </w:tc>
        <w:tc>
          <w:tcPr>
            <w:tcW w:w="513" w:type="dxa"/>
            <w:tcBorders>
              <w:top w:val="nil"/>
              <w:left w:val="nil"/>
              <w:bottom w:val="nil"/>
              <w:right w:val="nil"/>
            </w:tcBorders>
            <w:shd w:val="clear" w:color="auto" w:fill="auto"/>
            <w:tcMar>
              <w:top w:w="17" w:type="dxa"/>
              <w:left w:w="17" w:type="dxa"/>
              <w:bottom w:w="0" w:type="dxa"/>
              <w:right w:w="17" w:type="dxa"/>
            </w:tcMar>
            <w:vAlign w:val="center"/>
            <w:hideMark/>
          </w:tcPr>
          <w:p w14:paraId="313EC830" w14:textId="77777777" w:rsidR="00F661AE" w:rsidRPr="001917F5" w:rsidRDefault="00F661AE" w:rsidP="00F661AE">
            <w:pPr>
              <w:spacing w:after="60"/>
              <w:jc w:val="center"/>
              <w:rPr>
                <w:color w:val="000000"/>
              </w:rPr>
            </w:pPr>
            <w:r w:rsidRPr="001917F5">
              <w:rPr>
                <w:color w:val="000000"/>
              </w:rPr>
              <w:t>0.66</w:t>
            </w:r>
          </w:p>
        </w:tc>
        <w:tc>
          <w:tcPr>
            <w:tcW w:w="0" w:type="auto"/>
            <w:tcBorders>
              <w:top w:val="nil"/>
              <w:left w:val="nil"/>
              <w:bottom w:val="nil"/>
              <w:right w:val="nil"/>
            </w:tcBorders>
            <w:shd w:val="clear" w:color="auto" w:fill="auto"/>
            <w:noWrap/>
            <w:tcMar>
              <w:top w:w="17" w:type="dxa"/>
              <w:left w:w="17" w:type="dxa"/>
              <w:bottom w:w="0" w:type="dxa"/>
              <w:right w:w="17" w:type="dxa"/>
            </w:tcMar>
            <w:vAlign w:val="center"/>
            <w:hideMark/>
          </w:tcPr>
          <w:p w14:paraId="5092A291" w14:textId="77777777" w:rsidR="00F661AE" w:rsidRPr="001917F5" w:rsidRDefault="00F661AE" w:rsidP="00F661AE">
            <w:pPr>
              <w:spacing w:after="60"/>
              <w:jc w:val="center"/>
              <w:rPr>
                <w:color w:val="000000"/>
              </w:rPr>
            </w:pPr>
            <w:r w:rsidRPr="001917F5">
              <w:rPr>
                <w:color w:val="000000"/>
              </w:rPr>
              <w:t>14</w:t>
            </w:r>
          </w:p>
        </w:tc>
        <w:tc>
          <w:tcPr>
            <w:tcW w:w="0" w:type="auto"/>
            <w:tcBorders>
              <w:top w:val="nil"/>
              <w:left w:val="nil"/>
              <w:bottom w:val="nil"/>
              <w:right w:val="nil"/>
            </w:tcBorders>
            <w:vAlign w:val="center"/>
          </w:tcPr>
          <w:p w14:paraId="2473794E" w14:textId="77777777" w:rsidR="00F661AE" w:rsidRPr="001917F5" w:rsidRDefault="00F661AE" w:rsidP="00F661AE">
            <w:pPr>
              <w:spacing w:after="60"/>
              <w:jc w:val="center"/>
              <w:rPr>
                <w:color w:val="000000"/>
                <w:lang w:eastAsia="en-GB"/>
              </w:rPr>
            </w:pPr>
            <w:r w:rsidRPr="001917F5">
              <w:rPr>
                <w:color w:val="000000"/>
                <w:lang w:eastAsia="en-GB"/>
              </w:rPr>
              <w:t>50</w:t>
            </w:r>
          </w:p>
        </w:tc>
        <w:tc>
          <w:tcPr>
            <w:tcW w:w="0" w:type="auto"/>
            <w:tcBorders>
              <w:top w:val="nil"/>
              <w:left w:val="nil"/>
              <w:bottom w:val="nil"/>
              <w:right w:val="nil"/>
            </w:tcBorders>
            <w:vAlign w:val="center"/>
          </w:tcPr>
          <w:p w14:paraId="7D017D00"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1E534728" w14:textId="77777777" w:rsidTr="00F661AE">
        <w:trPr>
          <w:cantSplit/>
          <w:trHeight w:val="149"/>
        </w:trPr>
        <w:tc>
          <w:tcPr>
            <w:tcW w:w="1450" w:type="dxa"/>
            <w:tcBorders>
              <w:top w:val="nil"/>
              <w:left w:val="nil"/>
              <w:right w:val="nil"/>
            </w:tcBorders>
            <w:shd w:val="clear" w:color="auto" w:fill="auto"/>
            <w:tcMar>
              <w:top w:w="17" w:type="dxa"/>
              <w:left w:w="17" w:type="dxa"/>
              <w:bottom w:w="0" w:type="dxa"/>
              <w:right w:w="17" w:type="dxa"/>
            </w:tcMar>
            <w:vAlign w:val="center"/>
            <w:hideMark/>
          </w:tcPr>
          <w:p w14:paraId="5C7EA173" w14:textId="77777777" w:rsidR="00F661AE" w:rsidRPr="001917F5" w:rsidRDefault="00F661AE" w:rsidP="00F661AE">
            <w:pPr>
              <w:spacing w:after="60"/>
              <w:rPr>
                <w:color w:val="000000"/>
              </w:rPr>
            </w:pPr>
            <w:r w:rsidRPr="001917F5">
              <w:rPr>
                <w:color w:val="000000"/>
              </w:rPr>
              <w:t>Conceptual</w:t>
            </w:r>
          </w:p>
        </w:tc>
        <w:tc>
          <w:tcPr>
            <w:tcW w:w="2434" w:type="dxa"/>
            <w:tcBorders>
              <w:top w:val="nil"/>
              <w:left w:val="nil"/>
              <w:right w:val="nil"/>
            </w:tcBorders>
            <w:shd w:val="clear" w:color="auto" w:fill="auto"/>
            <w:tcMar>
              <w:top w:w="17" w:type="dxa"/>
              <w:left w:w="17" w:type="dxa"/>
              <w:bottom w:w="0" w:type="dxa"/>
              <w:right w:w="17" w:type="dxa"/>
            </w:tcMar>
            <w:vAlign w:val="center"/>
            <w:hideMark/>
          </w:tcPr>
          <w:p w14:paraId="0104A979" w14:textId="77777777" w:rsidR="00F661AE" w:rsidRPr="001917F5" w:rsidRDefault="00F661AE" w:rsidP="00F661AE">
            <w:pPr>
              <w:spacing w:after="60"/>
              <w:rPr>
                <w:color w:val="000000"/>
              </w:rPr>
            </w:pPr>
            <w:r w:rsidRPr="001917F5">
              <w:rPr>
                <w:bCs/>
                <w:color w:val="000000"/>
              </w:rPr>
              <w:t>Visioning</w:t>
            </w:r>
          </w:p>
        </w:tc>
        <w:tc>
          <w:tcPr>
            <w:tcW w:w="633" w:type="dxa"/>
            <w:tcBorders>
              <w:top w:val="nil"/>
              <w:left w:val="nil"/>
              <w:right w:val="nil"/>
            </w:tcBorders>
            <w:shd w:val="clear" w:color="auto" w:fill="auto"/>
            <w:tcMar>
              <w:top w:w="17" w:type="dxa"/>
              <w:left w:w="17" w:type="dxa"/>
              <w:bottom w:w="0" w:type="dxa"/>
              <w:right w:w="17" w:type="dxa"/>
            </w:tcMar>
            <w:vAlign w:val="center"/>
            <w:hideMark/>
          </w:tcPr>
          <w:p w14:paraId="2AE641A1" w14:textId="77777777" w:rsidR="00F661AE" w:rsidRPr="001917F5" w:rsidRDefault="00F661AE" w:rsidP="00F661AE">
            <w:pPr>
              <w:spacing w:after="60"/>
              <w:jc w:val="center"/>
              <w:rPr>
                <w:color w:val="000000"/>
              </w:rPr>
            </w:pPr>
            <w:r w:rsidRPr="001917F5">
              <w:rPr>
                <w:color w:val="000000"/>
              </w:rPr>
              <w:t>3.31</w:t>
            </w:r>
          </w:p>
        </w:tc>
        <w:tc>
          <w:tcPr>
            <w:tcW w:w="450" w:type="dxa"/>
            <w:tcBorders>
              <w:top w:val="nil"/>
              <w:left w:val="nil"/>
              <w:right w:val="nil"/>
            </w:tcBorders>
            <w:shd w:val="clear" w:color="auto" w:fill="auto"/>
            <w:tcMar>
              <w:top w:w="17" w:type="dxa"/>
              <w:left w:w="17" w:type="dxa"/>
              <w:bottom w:w="0" w:type="dxa"/>
              <w:right w:w="17" w:type="dxa"/>
            </w:tcMar>
            <w:vAlign w:val="center"/>
            <w:hideMark/>
          </w:tcPr>
          <w:p w14:paraId="5E707995" w14:textId="77777777" w:rsidR="00F661AE" w:rsidRPr="001917F5" w:rsidRDefault="00F661AE" w:rsidP="00F661AE">
            <w:pPr>
              <w:spacing w:after="60"/>
              <w:jc w:val="center"/>
              <w:rPr>
                <w:color w:val="000000"/>
              </w:rPr>
            </w:pPr>
            <w:r w:rsidRPr="001917F5">
              <w:rPr>
                <w:color w:val="000000"/>
              </w:rPr>
              <w:t>0.93</w:t>
            </w:r>
          </w:p>
        </w:tc>
        <w:tc>
          <w:tcPr>
            <w:tcW w:w="513" w:type="dxa"/>
            <w:tcBorders>
              <w:top w:val="nil"/>
              <w:left w:val="nil"/>
              <w:right w:val="nil"/>
            </w:tcBorders>
            <w:shd w:val="clear" w:color="auto" w:fill="auto"/>
            <w:tcMar>
              <w:top w:w="17" w:type="dxa"/>
              <w:left w:w="17" w:type="dxa"/>
              <w:bottom w:w="0" w:type="dxa"/>
              <w:right w:w="17" w:type="dxa"/>
            </w:tcMar>
            <w:vAlign w:val="center"/>
            <w:hideMark/>
          </w:tcPr>
          <w:p w14:paraId="1BF52209" w14:textId="77777777" w:rsidR="00F661AE" w:rsidRPr="001917F5" w:rsidRDefault="00F661AE" w:rsidP="00F661AE">
            <w:pPr>
              <w:spacing w:after="60"/>
              <w:jc w:val="center"/>
              <w:rPr>
                <w:color w:val="000000"/>
              </w:rPr>
            </w:pPr>
            <w:r w:rsidRPr="001917F5">
              <w:rPr>
                <w:color w:val="000000"/>
              </w:rPr>
              <w:t>0.66</w:t>
            </w:r>
          </w:p>
        </w:tc>
        <w:tc>
          <w:tcPr>
            <w:tcW w:w="0" w:type="auto"/>
            <w:tcBorders>
              <w:top w:val="nil"/>
              <w:left w:val="nil"/>
              <w:right w:val="nil"/>
            </w:tcBorders>
            <w:shd w:val="clear" w:color="auto" w:fill="auto"/>
            <w:noWrap/>
            <w:tcMar>
              <w:top w:w="17" w:type="dxa"/>
              <w:left w:w="17" w:type="dxa"/>
              <w:bottom w:w="0" w:type="dxa"/>
              <w:right w:w="17" w:type="dxa"/>
            </w:tcMar>
            <w:vAlign w:val="center"/>
            <w:hideMark/>
          </w:tcPr>
          <w:p w14:paraId="2627676C" w14:textId="77777777" w:rsidR="00F661AE" w:rsidRPr="001917F5" w:rsidRDefault="00F661AE" w:rsidP="00F661AE">
            <w:pPr>
              <w:spacing w:after="60"/>
              <w:jc w:val="center"/>
              <w:rPr>
                <w:color w:val="000000"/>
              </w:rPr>
            </w:pPr>
            <w:r w:rsidRPr="001917F5">
              <w:rPr>
                <w:color w:val="000000"/>
              </w:rPr>
              <w:t>15</w:t>
            </w:r>
          </w:p>
        </w:tc>
        <w:tc>
          <w:tcPr>
            <w:tcW w:w="0" w:type="auto"/>
            <w:tcBorders>
              <w:top w:val="nil"/>
              <w:left w:val="nil"/>
              <w:right w:val="nil"/>
            </w:tcBorders>
            <w:vAlign w:val="center"/>
          </w:tcPr>
          <w:p w14:paraId="50B75DE5" w14:textId="77777777" w:rsidR="00F661AE" w:rsidRPr="001917F5" w:rsidRDefault="00F661AE" w:rsidP="00F661AE">
            <w:pPr>
              <w:spacing w:after="60"/>
              <w:jc w:val="center"/>
              <w:rPr>
                <w:color w:val="000000"/>
                <w:lang w:eastAsia="en-GB"/>
              </w:rPr>
            </w:pPr>
            <w:r w:rsidRPr="001917F5">
              <w:rPr>
                <w:color w:val="000000"/>
                <w:lang w:eastAsia="en-GB"/>
              </w:rPr>
              <w:t>35</w:t>
            </w:r>
          </w:p>
        </w:tc>
        <w:tc>
          <w:tcPr>
            <w:tcW w:w="0" w:type="auto"/>
            <w:tcBorders>
              <w:top w:val="nil"/>
              <w:left w:val="nil"/>
              <w:right w:val="nil"/>
            </w:tcBorders>
            <w:vAlign w:val="center"/>
          </w:tcPr>
          <w:p w14:paraId="2599F4DB"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r w:rsidR="00F661AE" w:rsidRPr="001917F5" w14:paraId="7ADBD03E" w14:textId="77777777" w:rsidTr="00F661AE">
        <w:trPr>
          <w:cantSplit/>
          <w:trHeight w:val="149"/>
        </w:trPr>
        <w:tc>
          <w:tcPr>
            <w:tcW w:w="1450" w:type="dxa"/>
            <w:tcBorders>
              <w:top w:val="nil"/>
              <w:left w:val="nil"/>
              <w:bottom w:val="single" w:sz="4" w:space="0" w:color="auto"/>
              <w:right w:val="nil"/>
            </w:tcBorders>
            <w:shd w:val="clear" w:color="auto" w:fill="auto"/>
            <w:tcMar>
              <w:top w:w="17" w:type="dxa"/>
              <w:left w:w="17" w:type="dxa"/>
              <w:bottom w:w="0" w:type="dxa"/>
              <w:right w:w="17" w:type="dxa"/>
            </w:tcMar>
            <w:vAlign w:val="center"/>
            <w:hideMark/>
          </w:tcPr>
          <w:p w14:paraId="7BDD9BF3" w14:textId="77777777" w:rsidR="00F661AE" w:rsidRPr="001917F5" w:rsidRDefault="00F661AE" w:rsidP="00F661AE">
            <w:pPr>
              <w:spacing w:after="60"/>
              <w:rPr>
                <w:color w:val="000000"/>
              </w:rPr>
            </w:pPr>
            <w:r w:rsidRPr="001917F5">
              <w:rPr>
                <w:color w:val="000000"/>
              </w:rPr>
              <w:t>Political</w:t>
            </w:r>
          </w:p>
        </w:tc>
        <w:tc>
          <w:tcPr>
            <w:tcW w:w="2434" w:type="dxa"/>
            <w:tcBorders>
              <w:top w:val="nil"/>
              <w:left w:val="nil"/>
              <w:bottom w:val="single" w:sz="4" w:space="0" w:color="auto"/>
              <w:right w:val="nil"/>
            </w:tcBorders>
            <w:shd w:val="clear" w:color="auto" w:fill="auto"/>
            <w:tcMar>
              <w:top w:w="17" w:type="dxa"/>
              <w:left w:w="17" w:type="dxa"/>
              <w:bottom w:w="0" w:type="dxa"/>
              <w:right w:w="17" w:type="dxa"/>
            </w:tcMar>
            <w:vAlign w:val="center"/>
            <w:hideMark/>
          </w:tcPr>
          <w:p w14:paraId="7FB4B1FC" w14:textId="77777777" w:rsidR="00F661AE" w:rsidRPr="001917F5" w:rsidRDefault="00F661AE" w:rsidP="00F661AE">
            <w:pPr>
              <w:spacing w:after="60"/>
              <w:rPr>
                <w:color w:val="000000"/>
              </w:rPr>
            </w:pPr>
            <w:r w:rsidRPr="001917F5">
              <w:rPr>
                <w:bCs/>
                <w:color w:val="000000"/>
              </w:rPr>
              <w:t>Social astuteness</w:t>
            </w:r>
          </w:p>
        </w:tc>
        <w:tc>
          <w:tcPr>
            <w:tcW w:w="633" w:type="dxa"/>
            <w:tcBorders>
              <w:top w:val="nil"/>
              <w:left w:val="nil"/>
              <w:bottom w:val="single" w:sz="4" w:space="0" w:color="auto"/>
              <w:right w:val="nil"/>
            </w:tcBorders>
            <w:shd w:val="clear" w:color="auto" w:fill="auto"/>
            <w:tcMar>
              <w:top w:w="17" w:type="dxa"/>
              <w:left w:w="17" w:type="dxa"/>
              <w:bottom w:w="0" w:type="dxa"/>
              <w:right w:w="17" w:type="dxa"/>
            </w:tcMar>
            <w:vAlign w:val="center"/>
            <w:hideMark/>
          </w:tcPr>
          <w:p w14:paraId="521D025D" w14:textId="77777777" w:rsidR="00F661AE" w:rsidRPr="001917F5" w:rsidRDefault="00F661AE" w:rsidP="00F661AE">
            <w:pPr>
              <w:spacing w:after="60"/>
              <w:jc w:val="center"/>
              <w:rPr>
                <w:color w:val="000000"/>
              </w:rPr>
            </w:pPr>
            <w:r w:rsidRPr="001917F5">
              <w:rPr>
                <w:color w:val="000000"/>
              </w:rPr>
              <w:t>3.04</w:t>
            </w:r>
          </w:p>
        </w:tc>
        <w:tc>
          <w:tcPr>
            <w:tcW w:w="450" w:type="dxa"/>
            <w:tcBorders>
              <w:top w:val="nil"/>
              <w:left w:val="nil"/>
              <w:bottom w:val="single" w:sz="4" w:space="0" w:color="auto"/>
              <w:right w:val="nil"/>
            </w:tcBorders>
            <w:shd w:val="clear" w:color="auto" w:fill="auto"/>
            <w:tcMar>
              <w:top w:w="17" w:type="dxa"/>
              <w:left w:w="17" w:type="dxa"/>
              <w:bottom w:w="0" w:type="dxa"/>
              <w:right w:w="17" w:type="dxa"/>
            </w:tcMar>
            <w:vAlign w:val="center"/>
            <w:hideMark/>
          </w:tcPr>
          <w:p w14:paraId="3DF08054" w14:textId="77777777" w:rsidR="00F661AE" w:rsidRPr="001917F5" w:rsidRDefault="00F661AE" w:rsidP="00F661AE">
            <w:pPr>
              <w:spacing w:after="60"/>
              <w:jc w:val="center"/>
              <w:rPr>
                <w:color w:val="000000"/>
              </w:rPr>
            </w:pPr>
            <w:r w:rsidRPr="001917F5">
              <w:rPr>
                <w:color w:val="000000"/>
              </w:rPr>
              <w:t>0.77</w:t>
            </w:r>
          </w:p>
        </w:tc>
        <w:tc>
          <w:tcPr>
            <w:tcW w:w="513" w:type="dxa"/>
            <w:tcBorders>
              <w:top w:val="nil"/>
              <w:left w:val="nil"/>
              <w:bottom w:val="single" w:sz="4" w:space="0" w:color="auto"/>
              <w:right w:val="nil"/>
            </w:tcBorders>
            <w:shd w:val="clear" w:color="auto" w:fill="auto"/>
            <w:tcMar>
              <w:top w:w="17" w:type="dxa"/>
              <w:left w:w="17" w:type="dxa"/>
              <w:bottom w:w="0" w:type="dxa"/>
              <w:right w:w="17" w:type="dxa"/>
            </w:tcMar>
            <w:vAlign w:val="center"/>
            <w:hideMark/>
          </w:tcPr>
          <w:p w14:paraId="4E77E87D" w14:textId="77777777" w:rsidR="00F661AE" w:rsidRPr="001917F5" w:rsidRDefault="00F661AE" w:rsidP="00F661AE">
            <w:pPr>
              <w:spacing w:after="60"/>
              <w:jc w:val="center"/>
              <w:rPr>
                <w:color w:val="000000"/>
              </w:rPr>
            </w:pPr>
            <w:r w:rsidRPr="001917F5">
              <w:rPr>
                <w:color w:val="000000"/>
              </w:rPr>
              <w:t>0.61</w:t>
            </w:r>
          </w:p>
        </w:tc>
        <w:tc>
          <w:tcPr>
            <w:tcW w:w="0" w:type="auto"/>
            <w:tcBorders>
              <w:top w:val="nil"/>
              <w:left w:val="nil"/>
              <w:bottom w:val="single" w:sz="4" w:space="0" w:color="auto"/>
              <w:right w:val="nil"/>
            </w:tcBorders>
            <w:shd w:val="clear" w:color="auto" w:fill="auto"/>
            <w:noWrap/>
            <w:tcMar>
              <w:top w:w="17" w:type="dxa"/>
              <w:left w:w="17" w:type="dxa"/>
              <w:bottom w:w="0" w:type="dxa"/>
              <w:right w:w="17" w:type="dxa"/>
            </w:tcMar>
            <w:vAlign w:val="center"/>
            <w:hideMark/>
          </w:tcPr>
          <w:p w14:paraId="691ED24F" w14:textId="77777777" w:rsidR="00F661AE" w:rsidRPr="001917F5" w:rsidRDefault="00F661AE" w:rsidP="00F661AE">
            <w:pPr>
              <w:spacing w:after="60"/>
              <w:jc w:val="center"/>
              <w:rPr>
                <w:color w:val="000000"/>
              </w:rPr>
            </w:pPr>
            <w:r w:rsidRPr="001917F5">
              <w:rPr>
                <w:color w:val="000000"/>
              </w:rPr>
              <w:t>16</w:t>
            </w:r>
          </w:p>
        </w:tc>
        <w:tc>
          <w:tcPr>
            <w:tcW w:w="0" w:type="auto"/>
            <w:tcBorders>
              <w:top w:val="nil"/>
              <w:left w:val="nil"/>
              <w:bottom w:val="single" w:sz="4" w:space="0" w:color="auto"/>
              <w:right w:val="nil"/>
            </w:tcBorders>
            <w:vAlign w:val="center"/>
          </w:tcPr>
          <w:p w14:paraId="5E7704CD" w14:textId="77777777" w:rsidR="00F661AE" w:rsidRPr="001917F5" w:rsidRDefault="00F661AE" w:rsidP="00F661AE">
            <w:pPr>
              <w:spacing w:after="60"/>
              <w:jc w:val="center"/>
              <w:rPr>
                <w:color w:val="000000"/>
                <w:lang w:eastAsia="en-GB"/>
              </w:rPr>
            </w:pPr>
            <w:r w:rsidRPr="001917F5">
              <w:rPr>
                <w:color w:val="000000"/>
                <w:lang w:eastAsia="en-GB"/>
              </w:rPr>
              <w:t>27</w:t>
            </w:r>
          </w:p>
        </w:tc>
        <w:tc>
          <w:tcPr>
            <w:tcW w:w="0" w:type="auto"/>
            <w:tcBorders>
              <w:top w:val="nil"/>
              <w:left w:val="nil"/>
              <w:bottom w:val="single" w:sz="4" w:space="0" w:color="auto"/>
              <w:right w:val="nil"/>
            </w:tcBorders>
            <w:vAlign w:val="center"/>
          </w:tcPr>
          <w:p w14:paraId="17002017" w14:textId="77777777" w:rsidR="00F661AE" w:rsidRPr="001917F5" w:rsidRDefault="00F661AE" w:rsidP="00F661AE">
            <w:pPr>
              <w:spacing w:after="60"/>
              <w:jc w:val="center"/>
              <w:rPr>
                <w:color w:val="000000"/>
                <w:lang w:eastAsia="en-GB"/>
              </w:rPr>
            </w:pPr>
            <w:r w:rsidRPr="001917F5">
              <w:rPr>
                <w:color w:val="000000"/>
                <w:lang w:eastAsia="en-GB"/>
              </w:rPr>
              <w:t>No consensus</w:t>
            </w:r>
          </w:p>
        </w:tc>
      </w:tr>
    </w:tbl>
    <w:p w14:paraId="5DD0DC13" w14:textId="77777777" w:rsidR="00F661AE" w:rsidRPr="001917F5" w:rsidRDefault="00F661AE" w:rsidP="00F661AE">
      <w:pPr>
        <w:spacing w:line="480" w:lineRule="auto"/>
      </w:pPr>
      <w:r w:rsidRPr="001917F5">
        <w:t>Notes:</w:t>
      </w:r>
      <w:r w:rsidRPr="001917F5">
        <w:tab/>
        <w:t>MS = Mean Score; SD = Standard Deviation</w:t>
      </w:r>
    </w:p>
    <w:p w14:paraId="61F40BA0" w14:textId="77777777" w:rsidR="007C6DAC" w:rsidRDefault="007C6DAC" w:rsidP="00F661AE">
      <w:pPr>
        <w:spacing w:line="360" w:lineRule="auto"/>
        <w:jc w:val="both"/>
        <w:rPr>
          <w:rFonts w:eastAsia="Calibri"/>
          <w:b/>
          <w:sz w:val="24"/>
          <w:szCs w:val="24"/>
        </w:rPr>
      </w:pPr>
    </w:p>
    <w:p w14:paraId="3A57EB9E" w14:textId="77777777" w:rsidR="007C6DAC" w:rsidRDefault="007C6DAC" w:rsidP="00F661AE">
      <w:pPr>
        <w:spacing w:line="360" w:lineRule="auto"/>
        <w:jc w:val="both"/>
        <w:rPr>
          <w:rFonts w:eastAsia="Calibri"/>
          <w:b/>
          <w:sz w:val="24"/>
          <w:szCs w:val="24"/>
        </w:rPr>
      </w:pPr>
    </w:p>
    <w:p w14:paraId="3097A0FE" w14:textId="6A6EDE6D" w:rsidR="00F661AE" w:rsidRPr="00C8324D" w:rsidRDefault="00F661AE" w:rsidP="00F661AE">
      <w:pPr>
        <w:spacing w:line="360" w:lineRule="auto"/>
        <w:jc w:val="both"/>
        <w:rPr>
          <w:rFonts w:eastAsia="Calibri"/>
          <w:b/>
          <w:sz w:val="24"/>
          <w:szCs w:val="24"/>
        </w:rPr>
      </w:pPr>
      <w:r w:rsidRPr="00C8324D">
        <w:rPr>
          <w:rFonts w:eastAsia="Calibri"/>
          <w:b/>
          <w:sz w:val="24"/>
          <w:szCs w:val="24"/>
        </w:rPr>
        <w:lastRenderedPageBreak/>
        <w:t>Project Managers’ Performance</w:t>
      </w:r>
    </w:p>
    <w:p w14:paraId="4407ECD1" w14:textId="77777777" w:rsidR="00F661AE" w:rsidRPr="00BC5591" w:rsidRDefault="00F661AE" w:rsidP="00F661AE">
      <w:pPr>
        <w:spacing w:line="360" w:lineRule="auto"/>
        <w:jc w:val="both"/>
        <w:rPr>
          <w:rFonts w:eastAsia="Calibri"/>
          <w:color w:val="000000"/>
          <w:sz w:val="24"/>
          <w:szCs w:val="24"/>
        </w:rPr>
      </w:pPr>
      <w:r w:rsidRPr="00BC5591">
        <w:rPr>
          <w:rFonts w:eastAsia="Calibri"/>
          <w:color w:val="000000"/>
          <w:sz w:val="24"/>
          <w:szCs w:val="24"/>
        </w:rPr>
        <w:t>Project managers’ performance was measured using five (5) indices of construction projects against sixteen (16) project management (PM) competency components. The five (5) indices of construction projects were (</w:t>
      </w:r>
      <w:proofErr w:type="spellStart"/>
      <w:r w:rsidRPr="00BC5591">
        <w:rPr>
          <w:rFonts w:eastAsia="Calibri"/>
          <w:color w:val="000000"/>
          <w:sz w:val="24"/>
          <w:szCs w:val="24"/>
        </w:rPr>
        <w:t>i</w:t>
      </w:r>
      <w:proofErr w:type="spellEnd"/>
      <w:r w:rsidRPr="00BC5591">
        <w:rPr>
          <w:rFonts w:eastAsia="Calibri"/>
          <w:color w:val="000000"/>
          <w:sz w:val="24"/>
          <w:szCs w:val="24"/>
        </w:rPr>
        <w:t xml:space="preserve">) Cost (ii) Dispute resolution (iii) Health and safety (iv) Quality and (v) Time. The paper employed a 3-item semantic scale to show level of influence (‘3’ for ‘High Influence’; ‘2’ for ‘Moderate Influence’; ‘1’ for ‘Low Influence’). A score of 2.50 or higher is thus required to indicate high level of influence. </w:t>
      </w:r>
    </w:p>
    <w:p w14:paraId="7F14DEC5" w14:textId="77777777" w:rsidR="00F661AE" w:rsidRPr="00BC5591" w:rsidRDefault="00F661AE" w:rsidP="00F661AE">
      <w:pPr>
        <w:spacing w:line="360" w:lineRule="auto"/>
        <w:jc w:val="both"/>
        <w:rPr>
          <w:rFonts w:eastAsia="Calibri"/>
          <w:color w:val="000000"/>
          <w:sz w:val="24"/>
          <w:szCs w:val="24"/>
        </w:rPr>
      </w:pPr>
      <w:r w:rsidRPr="00BC5591">
        <w:rPr>
          <w:rFonts w:eastAsia="Calibri"/>
          <w:color w:val="000000"/>
          <w:sz w:val="24"/>
          <w:szCs w:val="24"/>
        </w:rPr>
        <w:t>The results presented in Table 4.3 revealed that the three ‘conceptual’ competencies (Scoping, Integration and Visioning) have significant influence only on the cost, quality and time performance. The cost of projects was most strongly influenced by ‘Scoping’ competency (MS = 2.58); respondents did not believe that the abilities to scope, integrate and vision a residential housing estate project would significantly affect how the project performs in terms of (</w:t>
      </w:r>
      <w:proofErr w:type="spellStart"/>
      <w:r w:rsidRPr="00BC5591">
        <w:rPr>
          <w:rFonts w:eastAsia="Calibri"/>
          <w:color w:val="000000"/>
          <w:sz w:val="24"/>
          <w:szCs w:val="24"/>
        </w:rPr>
        <w:t>i</w:t>
      </w:r>
      <w:proofErr w:type="spellEnd"/>
      <w:r w:rsidRPr="00BC5591">
        <w:rPr>
          <w:rFonts w:eastAsia="Calibri"/>
          <w:color w:val="000000"/>
          <w:sz w:val="24"/>
          <w:szCs w:val="24"/>
        </w:rPr>
        <w:t>) dispute resolution and (ii) health and safety.</w:t>
      </w:r>
      <w:r>
        <w:rPr>
          <w:rFonts w:eastAsia="Calibri"/>
          <w:color w:val="000000"/>
          <w:sz w:val="24"/>
          <w:szCs w:val="24"/>
        </w:rPr>
        <w:t xml:space="preserve"> </w:t>
      </w:r>
      <w:r w:rsidRPr="00BC5591">
        <w:rPr>
          <w:rFonts w:eastAsia="Calibri"/>
          <w:color w:val="000000"/>
          <w:sz w:val="24"/>
          <w:szCs w:val="24"/>
        </w:rPr>
        <w:t>‘Human’ competency (composed of Emotional intelligence, Interpersonal skill and Transformational leadership) had significant influence only on the health and safety, quality and time performance of residential housing estate projects. The implication of th</w:t>
      </w:r>
      <w:r>
        <w:rPr>
          <w:rFonts w:eastAsia="Calibri"/>
          <w:color w:val="000000"/>
          <w:sz w:val="24"/>
          <w:szCs w:val="24"/>
        </w:rPr>
        <w:t>is</w:t>
      </w:r>
      <w:r w:rsidRPr="00BC5591">
        <w:rPr>
          <w:rFonts w:eastAsia="Calibri"/>
          <w:color w:val="000000"/>
          <w:sz w:val="24"/>
          <w:szCs w:val="24"/>
        </w:rPr>
        <w:t xml:space="preserve"> </w:t>
      </w:r>
      <w:r>
        <w:rPr>
          <w:rFonts w:eastAsia="Calibri"/>
          <w:color w:val="000000"/>
          <w:sz w:val="24"/>
          <w:szCs w:val="24"/>
        </w:rPr>
        <w:t>is</w:t>
      </w:r>
      <w:r w:rsidRPr="00BC5591">
        <w:rPr>
          <w:rFonts w:eastAsia="Calibri"/>
          <w:color w:val="000000"/>
          <w:sz w:val="24"/>
          <w:szCs w:val="24"/>
        </w:rPr>
        <w:t xml:space="preserve"> that the Interpersonal skill of project managers does not significantly affect the cost, dispute resolution, health and safety and time performance of projects. Emotional intelligence of project managers does not significantly affect the cost, dispute resolution, and health and safety performance of projects.</w:t>
      </w:r>
    </w:p>
    <w:p w14:paraId="5EB32B64" w14:textId="77777777" w:rsidR="00F661AE" w:rsidRDefault="00F661AE" w:rsidP="00F661AE">
      <w:pPr>
        <w:rPr>
          <w:sz w:val="24"/>
          <w:szCs w:val="24"/>
        </w:rPr>
      </w:pPr>
    </w:p>
    <w:p w14:paraId="1A94970A" w14:textId="77777777" w:rsidR="00F661AE" w:rsidRPr="001917F5" w:rsidRDefault="00F661AE" w:rsidP="00F661AE">
      <w:pPr>
        <w:rPr>
          <w:sz w:val="24"/>
          <w:szCs w:val="24"/>
        </w:rPr>
      </w:pPr>
      <w:r>
        <w:rPr>
          <w:sz w:val="24"/>
          <w:szCs w:val="24"/>
        </w:rPr>
        <w:t>Table 4.3</w:t>
      </w:r>
      <w:r w:rsidRPr="001917F5">
        <w:rPr>
          <w:sz w:val="24"/>
          <w:szCs w:val="24"/>
        </w:rPr>
        <w:t>: Influence of ‘Conceptual’ competencies on project performance</w:t>
      </w:r>
    </w:p>
    <w:tbl>
      <w:tblPr>
        <w:tblW w:w="8704" w:type="dxa"/>
        <w:tblInd w:w="91" w:type="dxa"/>
        <w:tblBorders>
          <w:top w:val="single" w:sz="4" w:space="0" w:color="auto"/>
          <w:bottom w:val="single" w:sz="4" w:space="0" w:color="auto"/>
        </w:tblBorders>
        <w:tblLook w:val="04A0" w:firstRow="1" w:lastRow="0" w:firstColumn="1" w:lastColumn="0" w:noHBand="0" w:noVBand="1"/>
      </w:tblPr>
      <w:tblGrid>
        <w:gridCol w:w="1283"/>
        <w:gridCol w:w="1605"/>
        <w:gridCol w:w="666"/>
        <w:gridCol w:w="566"/>
        <w:gridCol w:w="580"/>
        <w:gridCol w:w="566"/>
        <w:gridCol w:w="580"/>
        <w:gridCol w:w="566"/>
        <w:gridCol w:w="580"/>
        <w:gridCol w:w="566"/>
        <w:gridCol w:w="580"/>
        <w:gridCol w:w="566"/>
      </w:tblGrid>
      <w:tr w:rsidR="00F661AE" w:rsidRPr="001917F5" w14:paraId="5D3D7916" w14:textId="77777777" w:rsidTr="00F661AE">
        <w:trPr>
          <w:trHeight w:val="510"/>
        </w:trPr>
        <w:tc>
          <w:tcPr>
            <w:tcW w:w="1283" w:type="dxa"/>
            <w:vMerge w:val="restart"/>
            <w:tcBorders>
              <w:top w:val="single" w:sz="4" w:space="0" w:color="auto"/>
            </w:tcBorders>
            <w:shd w:val="clear" w:color="auto" w:fill="auto"/>
            <w:vAlign w:val="center"/>
            <w:hideMark/>
          </w:tcPr>
          <w:p w14:paraId="517309D6" w14:textId="77777777" w:rsidR="00F661AE" w:rsidRPr="001917F5" w:rsidRDefault="00F661AE" w:rsidP="00F661AE">
            <w:pPr>
              <w:jc w:val="center"/>
              <w:rPr>
                <w:b/>
                <w:bCs/>
                <w:color w:val="000000"/>
                <w:lang w:eastAsia="en-GB"/>
              </w:rPr>
            </w:pPr>
            <w:r w:rsidRPr="001917F5">
              <w:rPr>
                <w:b/>
                <w:bCs/>
                <w:color w:val="000000"/>
                <w:lang w:eastAsia="en-GB"/>
              </w:rPr>
              <w:t>Competency group</w:t>
            </w:r>
          </w:p>
        </w:tc>
        <w:tc>
          <w:tcPr>
            <w:tcW w:w="1605" w:type="dxa"/>
            <w:vMerge w:val="restart"/>
            <w:tcBorders>
              <w:top w:val="single" w:sz="4" w:space="0" w:color="auto"/>
            </w:tcBorders>
            <w:shd w:val="clear" w:color="auto" w:fill="auto"/>
            <w:vAlign w:val="center"/>
            <w:hideMark/>
          </w:tcPr>
          <w:p w14:paraId="454D4137" w14:textId="77777777" w:rsidR="00F661AE" w:rsidRPr="001917F5" w:rsidRDefault="00F661AE" w:rsidP="00F661AE">
            <w:pPr>
              <w:jc w:val="center"/>
              <w:rPr>
                <w:b/>
                <w:bCs/>
                <w:color w:val="000000"/>
                <w:lang w:eastAsia="en-GB"/>
              </w:rPr>
            </w:pPr>
            <w:r w:rsidRPr="001917F5">
              <w:rPr>
                <w:b/>
                <w:bCs/>
                <w:color w:val="000000"/>
                <w:lang w:eastAsia="en-GB"/>
              </w:rPr>
              <w:t>Competency components</w:t>
            </w:r>
          </w:p>
        </w:tc>
        <w:tc>
          <w:tcPr>
            <w:tcW w:w="1232" w:type="dxa"/>
            <w:gridSpan w:val="2"/>
            <w:tcBorders>
              <w:top w:val="single" w:sz="4" w:space="0" w:color="auto"/>
              <w:bottom w:val="single" w:sz="4" w:space="0" w:color="auto"/>
            </w:tcBorders>
            <w:shd w:val="clear" w:color="auto" w:fill="auto"/>
            <w:vAlign w:val="center"/>
            <w:hideMark/>
          </w:tcPr>
          <w:p w14:paraId="3FCBB917" w14:textId="77777777" w:rsidR="00F661AE" w:rsidRPr="001917F5" w:rsidRDefault="00F661AE" w:rsidP="00F661AE">
            <w:pPr>
              <w:jc w:val="center"/>
              <w:rPr>
                <w:b/>
                <w:bCs/>
                <w:color w:val="000000"/>
                <w:lang w:eastAsia="en-GB"/>
              </w:rPr>
            </w:pPr>
            <w:r w:rsidRPr="001917F5">
              <w:rPr>
                <w:b/>
                <w:bCs/>
                <w:color w:val="000000"/>
                <w:lang w:eastAsia="en-GB"/>
              </w:rPr>
              <w:t xml:space="preserve">Cost </w:t>
            </w:r>
          </w:p>
        </w:tc>
        <w:tc>
          <w:tcPr>
            <w:tcW w:w="1146" w:type="dxa"/>
            <w:gridSpan w:val="2"/>
            <w:tcBorders>
              <w:top w:val="single" w:sz="4" w:space="0" w:color="auto"/>
              <w:bottom w:val="single" w:sz="4" w:space="0" w:color="auto"/>
            </w:tcBorders>
            <w:shd w:val="clear" w:color="auto" w:fill="auto"/>
            <w:vAlign w:val="center"/>
            <w:hideMark/>
          </w:tcPr>
          <w:p w14:paraId="05888698" w14:textId="77777777" w:rsidR="00F661AE" w:rsidRPr="001917F5" w:rsidRDefault="00F661AE" w:rsidP="00F661AE">
            <w:pPr>
              <w:jc w:val="center"/>
              <w:rPr>
                <w:b/>
                <w:bCs/>
                <w:color w:val="000000"/>
                <w:lang w:eastAsia="en-GB"/>
              </w:rPr>
            </w:pPr>
            <w:r w:rsidRPr="001917F5">
              <w:rPr>
                <w:b/>
                <w:bCs/>
                <w:color w:val="000000"/>
                <w:lang w:eastAsia="en-GB"/>
              </w:rPr>
              <w:t xml:space="preserve">Dispute resolution </w:t>
            </w:r>
          </w:p>
        </w:tc>
        <w:tc>
          <w:tcPr>
            <w:tcW w:w="1146" w:type="dxa"/>
            <w:gridSpan w:val="2"/>
            <w:tcBorders>
              <w:top w:val="single" w:sz="4" w:space="0" w:color="auto"/>
              <w:bottom w:val="single" w:sz="4" w:space="0" w:color="auto"/>
            </w:tcBorders>
            <w:shd w:val="clear" w:color="auto" w:fill="auto"/>
            <w:vAlign w:val="center"/>
            <w:hideMark/>
          </w:tcPr>
          <w:p w14:paraId="61A02386" w14:textId="77777777" w:rsidR="00F661AE" w:rsidRPr="001917F5" w:rsidRDefault="00F661AE" w:rsidP="00F661AE">
            <w:pPr>
              <w:jc w:val="center"/>
              <w:rPr>
                <w:b/>
                <w:bCs/>
                <w:color w:val="000000"/>
                <w:lang w:eastAsia="en-GB"/>
              </w:rPr>
            </w:pPr>
            <w:r w:rsidRPr="001917F5">
              <w:rPr>
                <w:b/>
                <w:bCs/>
                <w:color w:val="000000"/>
                <w:lang w:eastAsia="en-GB"/>
              </w:rPr>
              <w:t xml:space="preserve">Health and Safety </w:t>
            </w:r>
          </w:p>
        </w:tc>
        <w:tc>
          <w:tcPr>
            <w:tcW w:w="1146" w:type="dxa"/>
            <w:gridSpan w:val="2"/>
            <w:tcBorders>
              <w:top w:val="single" w:sz="4" w:space="0" w:color="auto"/>
              <w:bottom w:val="single" w:sz="4" w:space="0" w:color="auto"/>
            </w:tcBorders>
            <w:shd w:val="clear" w:color="auto" w:fill="auto"/>
            <w:vAlign w:val="center"/>
            <w:hideMark/>
          </w:tcPr>
          <w:p w14:paraId="577FAF42" w14:textId="77777777" w:rsidR="00F661AE" w:rsidRPr="001917F5" w:rsidRDefault="00F661AE" w:rsidP="00F661AE">
            <w:pPr>
              <w:jc w:val="center"/>
              <w:rPr>
                <w:b/>
                <w:bCs/>
                <w:color w:val="000000"/>
                <w:lang w:eastAsia="en-GB"/>
              </w:rPr>
            </w:pPr>
            <w:r w:rsidRPr="001917F5">
              <w:rPr>
                <w:b/>
                <w:bCs/>
                <w:color w:val="000000"/>
                <w:lang w:eastAsia="en-GB"/>
              </w:rPr>
              <w:t xml:space="preserve">Quality </w:t>
            </w:r>
          </w:p>
        </w:tc>
        <w:tc>
          <w:tcPr>
            <w:tcW w:w="1146" w:type="dxa"/>
            <w:gridSpan w:val="2"/>
            <w:tcBorders>
              <w:top w:val="single" w:sz="4" w:space="0" w:color="auto"/>
              <w:bottom w:val="single" w:sz="4" w:space="0" w:color="auto"/>
            </w:tcBorders>
            <w:shd w:val="clear" w:color="auto" w:fill="auto"/>
            <w:vAlign w:val="center"/>
            <w:hideMark/>
          </w:tcPr>
          <w:p w14:paraId="5873602D" w14:textId="77777777" w:rsidR="00F661AE" w:rsidRPr="001917F5" w:rsidRDefault="00F661AE" w:rsidP="00F661AE">
            <w:pPr>
              <w:jc w:val="center"/>
              <w:rPr>
                <w:b/>
                <w:bCs/>
                <w:color w:val="000000"/>
                <w:lang w:eastAsia="en-GB"/>
              </w:rPr>
            </w:pPr>
            <w:r w:rsidRPr="001917F5">
              <w:rPr>
                <w:b/>
                <w:bCs/>
                <w:color w:val="000000"/>
                <w:lang w:eastAsia="en-GB"/>
              </w:rPr>
              <w:t xml:space="preserve">Time </w:t>
            </w:r>
          </w:p>
        </w:tc>
      </w:tr>
      <w:tr w:rsidR="00F661AE" w:rsidRPr="001917F5" w14:paraId="75792FAF" w14:textId="77777777" w:rsidTr="00F661AE">
        <w:trPr>
          <w:trHeight w:val="255"/>
        </w:trPr>
        <w:tc>
          <w:tcPr>
            <w:tcW w:w="1283" w:type="dxa"/>
            <w:vMerge/>
            <w:tcBorders>
              <w:bottom w:val="single" w:sz="4" w:space="0" w:color="auto"/>
            </w:tcBorders>
            <w:shd w:val="clear" w:color="auto" w:fill="auto"/>
            <w:noWrap/>
            <w:vAlign w:val="center"/>
            <w:hideMark/>
          </w:tcPr>
          <w:p w14:paraId="1A5B198F" w14:textId="77777777" w:rsidR="00F661AE" w:rsidRPr="001917F5" w:rsidRDefault="00F661AE" w:rsidP="00F661AE">
            <w:pPr>
              <w:jc w:val="center"/>
              <w:rPr>
                <w:b/>
                <w:bCs/>
                <w:color w:val="000000"/>
                <w:lang w:eastAsia="en-GB"/>
              </w:rPr>
            </w:pPr>
          </w:p>
        </w:tc>
        <w:tc>
          <w:tcPr>
            <w:tcW w:w="1605" w:type="dxa"/>
            <w:vMerge/>
            <w:tcBorders>
              <w:bottom w:val="single" w:sz="4" w:space="0" w:color="auto"/>
            </w:tcBorders>
            <w:shd w:val="clear" w:color="auto" w:fill="auto"/>
            <w:noWrap/>
            <w:vAlign w:val="center"/>
            <w:hideMark/>
          </w:tcPr>
          <w:p w14:paraId="33F05140" w14:textId="77777777" w:rsidR="00F661AE" w:rsidRPr="001917F5" w:rsidRDefault="00F661AE" w:rsidP="00F661AE">
            <w:pPr>
              <w:jc w:val="center"/>
              <w:rPr>
                <w:b/>
                <w:bCs/>
                <w:color w:val="000000"/>
                <w:lang w:eastAsia="en-GB"/>
              </w:rPr>
            </w:pPr>
          </w:p>
        </w:tc>
        <w:tc>
          <w:tcPr>
            <w:tcW w:w="666" w:type="dxa"/>
            <w:tcBorders>
              <w:top w:val="single" w:sz="4" w:space="0" w:color="auto"/>
              <w:bottom w:val="single" w:sz="4" w:space="0" w:color="auto"/>
            </w:tcBorders>
            <w:shd w:val="clear" w:color="auto" w:fill="auto"/>
            <w:vAlign w:val="center"/>
            <w:hideMark/>
          </w:tcPr>
          <w:p w14:paraId="2569D6F9" w14:textId="77777777" w:rsidR="00F661AE" w:rsidRPr="001917F5" w:rsidRDefault="00F661AE" w:rsidP="00F661AE">
            <w:pPr>
              <w:jc w:val="center"/>
              <w:rPr>
                <w:b/>
                <w:bCs/>
                <w:color w:val="000000"/>
                <w:lang w:eastAsia="en-GB"/>
              </w:rPr>
            </w:pPr>
            <w:r w:rsidRPr="001917F5">
              <w:rPr>
                <w:b/>
                <w:bCs/>
                <w:color w:val="000000"/>
                <w:lang w:eastAsia="en-GB"/>
              </w:rPr>
              <w:t>MS</w:t>
            </w:r>
          </w:p>
        </w:tc>
        <w:tc>
          <w:tcPr>
            <w:tcW w:w="566" w:type="dxa"/>
            <w:tcBorders>
              <w:top w:val="single" w:sz="4" w:space="0" w:color="auto"/>
              <w:bottom w:val="single" w:sz="4" w:space="0" w:color="auto"/>
            </w:tcBorders>
            <w:shd w:val="clear" w:color="auto" w:fill="auto"/>
            <w:vAlign w:val="center"/>
            <w:hideMark/>
          </w:tcPr>
          <w:p w14:paraId="6868D650" w14:textId="77777777" w:rsidR="00F661AE" w:rsidRPr="001917F5" w:rsidRDefault="00F661AE" w:rsidP="00F661AE">
            <w:pPr>
              <w:jc w:val="center"/>
              <w:rPr>
                <w:b/>
                <w:bCs/>
                <w:color w:val="000000"/>
                <w:lang w:eastAsia="en-GB"/>
              </w:rPr>
            </w:pPr>
            <w:r w:rsidRPr="001917F5">
              <w:rPr>
                <w:b/>
                <w:bCs/>
                <w:color w:val="000000"/>
                <w:lang w:eastAsia="en-GB"/>
              </w:rPr>
              <w:t>SD</w:t>
            </w:r>
          </w:p>
        </w:tc>
        <w:tc>
          <w:tcPr>
            <w:tcW w:w="580" w:type="dxa"/>
            <w:tcBorders>
              <w:top w:val="single" w:sz="4" w:space="0" w:color="auto"/>
              <w:bottom w:val="single" w:sz="4" w:space="0" w:color="auto"/>
            </w:tcBorders>
            <w:shd w:val="clear" w:color="auto" w:fill="auto"/>
            <w:vAlign w:val="center"/>
            <w:hideMark/>
          </w:tcPr>
          <w:p w14:paraId="18F29C52" w14:textId="77777777" w:rsidR="00F661AE" w:rsidRPr="001917F5" w:rsidRDefault="00F661AE" w:rsidP="00F661AE">
            <w:pPr>
              <w:jc w:val="center"/>
              <w:rPr>
                <w:b/>
                <w:bCs/>
                <w:color w:val="000000"/>
                <w:lang w:eastAsia="en-GB"/>
              </w:rPr>
            </w:pPr>
            <w:r w:rsidRPr="001917F5">
              <w:rPr>
                <w:b/>
                <w:bCs/>
                <w:color w:val="000000"/>
                <w:lang w:eastAsia="en-GB"/>
              </w:rPr>
              <w:t>MS</w:t>
            </w:r>
          </w:p>
        </w:tc>
        <w:tc>
          <w:tcPr>
            <w:tcW w:w="566" w:type="dxa"/>
            <w:tcBorders>
              <w:top w:val="single" w:sz="4" w:space="0" w:color="auto"/>
              <w:bottom w:val="single" w:sz="4" w:space="0" w:color="auto"/>
            </w:tcBorders>
            <w:shd w:val="clear" w:color="auto" w:fill="auto"/>
            <w:vAlign w:val="center"/>
            <w:hideMark/>
          </w:tcPr>
          <w:p w14:paraId="2E63C6CA" w14:textId="77777777" w:rsidR="00F661AE" w:rsidRPr="001917F5" w:rsidRDefault="00F661AE" w:rsidP="00F661AE">
            <w:pPr>
              <w:jc w:val="center"/>
              <w:rPr>
                <w:b/>
                <w:bCs/>
                <w:color w:val="000000"/>
                <w:lang w:eastAsia="en-GB"/>
              </w:rPr>
            </w:pPr>
            <w:r w:rsidRPr="001917F5">
              <w:rPr>
                <w:b/>
                <w:bCs/>
                <w:color w:val="000000"/>
                <w:lang w:eastAsia="en-GB"/>
              </w:rPr>
              <w:t>SD</w:t>
            </w:r>
          </w:p>
        </w:tc>
        <w:tc>
          <w:tcPr>
            <w:tcW w:w="580" w:type="dxa"/>
            <w:tcBorders>
              <w:top w:val="single" w:sz="4" w:space="0" w:color="auto"/>
              <w:bottom w:val="single" w:sz="4" w:space="0" w:color="auto"/>
            </w:tcBorders>
            <w:shd w:val="clear" w:color="auto" w:fill="auto"/>
            <w:vAlign w:val="center"/>
            <w:hideMark/>
          </w:tcPr>
          <w:p w14:paraId="44CDF46C" w14:textId="77777777" w:rsidR="00F661AE" w:rsidRPr="001917F5" w:rsidRDefault="00F661AE" w:rsidP="00F661AE">
            <w:pPr>
              <w:jc w:val="center"/>
              <w:rPr>
                <w:b/>
                <w:bCs/>
                <w:color w:val="000000"/>
                <w:lang w:eastAsia="en-GB"/>
              </w:rPr>
            </w:pPr>
            <w:r w:rsidRPr="001917F5">
              <w:rPr>
                <w:b/>
                <w:bCs/>
                <w:color w:val="000000"/>
                <w:lang w:eastAsia="en-GB"/>
              </w:rPr>
              <w:t>MS</w:t>
            </w:r>
          </w:p>
        </w:tc>
        <w:tc>
          <w:tcPr>
            <w:tcW w:w="566" w:type="dxa"/>
            <w:tcBorders>
              <w:top w:val="single" w:sz="4" w:space="0" w:color="auto"/>
              <w:bottom w:val="single" w:sz="4" w:space="0" w:color="auto"/>
            </w:tcBorders>
            <w:shd w:val="clear" w:color="auto" w:fill="auto"/>
            <w:vAlign w:val="center"/>
            <w:hideMark/>
          </w:tcPr>
          <w:p w14:paraId="2C26A030" w14:textId="77777777" w:rsidR="00F661AE" w:rsidRPr="001917F5" w:rsidRDefault="00F661AE" w:rsidP="00F661AE">
            <w:pPr>
              <w:jc w:val="center"/>
              <w:rPr>
                <w:b/>
                <w:bCs/>
                <w:color w:val="000000"/>
                <w:lang w:eastAsia="en-GB"/>
              </w:rPr>
            </w:pPr>
            <w:r w:rsidRPr="001917F5">
              <w:rPr>
                <w:b/>
                <w:bCs/>
                <w:color w:val="000000"/>
                <w:lang w:eastAsia="en-GB"/>
              </w:rPr>
              <w:t>SD</w:t>
            </w:r>
          </w:p>
        </w:tc>
        <w:tc>
          <w:tcPr>
            <w:tcW w:w="580" w:type="dxa"/>
            <w:tcBorders>
              <w:top w:val="single" w:sz="4" w:space="0" w:color="auto"/>
              <w:bottom w:val="single" w:sz="4" w:space="0" w:color="auto"/>
            </w:tcBorders>
            <w:shd w:val="clear" w:color="auto" w:fill="auto"/>
            <w:vAlign w:val="center"/>
            <w:hideMark/>
          </w:tcPr>
          <w:p w14:paraId="60DC19D1" w14:textId="77777777" w:rsidR="00F661AE" w:rsidRPr="001917F5" w:rsidRDefault="00F661AE" w:rsidP="00F661AE">
            <w:pPr>
              <w:jc w:val="center"/>
              <w:rPr>
                <w:b/>
                <w:bCs/>
                <w:color w:val="000000"/>
                <w:lang w:eastAsia="en-GB"/>
              </w:rPr>
            </w:pPr>
            <w:r w:rsidRPr="001917F5">
              <w:rPr>
                <w:b/>
                <w:bCs/>
                <w:color w:val="000000"/>
                <w:lang w:eastAsia="en-GB"/>
              </w:rPr>
              <w:t>MS</w:t>
            </w:r>
          </w:p>
        </w:tc>
        <w:tc>
          <w:tcPr>
            <w:tcW w:w="566" w:type="dxa"/>
            <w:tcBorders>
              <w:top w:val="single" w:sz="4" w:space="0" w:color="auto"/>
              <w:bottom w:val="single" w:sz="4" w:space="0" w:color="auto"/>
            </w:tcBorders>
            <w:shd w:val="clear" w:color="auto" w:fill="auto"/>
            <w:vAlign w:val="center"/>
            <w:hideMark/>
          </w:tcPr>
          <w:p w14:paraId="76D75298" w14:textId="77777777" w:rsidR="00F661AE" w:rsidRPr="001917F5" w:rsidRDefault="00F661AE" w:rsidP="00F661AE">
            <w:pPr>
              <w:jc w:val="center"/>
              <w:rPr>
                <w:b/>
                <w:bCs/>
                <w:color w:val="000000"/>
                <w:lang w:eastAsia="en-GB"/>
              </w:rPr>
            </w:pPr>
            <w:r w:rsidRPr="001917F5">
              <w:rPr>
                <w:b/>
                <w:bCs/>
                <w:color w:val="000000"/>
                <w:lang w:eastAsia="en-GB"/>
              </w:rPr>
              <w:t>SD</w:t>
            </w:r>
          </w:p>
        </w:tc>
        <w:tc>
          <w:tcPr>
            <w:tcW w:w="580" w:type="dxa"/>
            <w:tcBorders>
              <w:top w:val="single" w:sz="4" w:space="0" w:color="auto"/>
              <w:bottom w:val="single" w:sz="4" w:space="0" w:color="auto"/>
            </w:tcBorders>
            <w:shd w:val="clear" w:color="auto" w:fill="auto"/>
            <w:vAlign w:val="center"/>
            <w:hideMark/>
          </w:tcPr>
          <w:p w14:paraId="3D889219" w14:textId="77777777" w:rsidR="00F661AE" w:rsidRPr="001917F5" w:rsidRDefault="00F661AE" w:rsidP="00F661AE">
            <w:pPr>
              <w:jc w:val="center"/>
              <w:rPr>
                <w:b/>
                <w:bCs/>
                <w:color w:val="000000"/>
                <w:lang w:eastAsia="en-GB"/>
              </w:rPr>
            </w:pPr>
            <w:r w:rsidRPr="001917F5">
              <w:rPr>
                <w:b/>
                <w:bCs/>
                <w:color w:val="000000"/>
                <w:lang w:eastAsia="en-GB"/>
              </w:rPr>
              <w:t>MS</w:t>
            </w:r>
          </w:p>
        </w:tc>
        <w:tc>
          <w:tcPr>
            <w:tcW w:w="566" w:type="dxa"/>
            <w:tcBorders>
              <w:top w:val="single" w:sz="4" w:space="0" w:color="auto"/>
              <w:bottom w:val="single" w:sz="4" w:space="0" w:color="auto"/>
            </w:tcBorders>
            <w:shd w:val="clear" w:color="auto" w:fill="auto"/>
            <w:vAlign w:val="center"/>
            <w:hideMark/>
          </w:tcPr>
          <w:p w14:paraId="3B598CBE" w14:textId="77777777" w:rsidR="00F661AE" w:rsidRPr="001917F5" w:rsidRDefault="00F661AE" w:rsidP="00F661AE">
            <w:pPr>
              <w:jc w:val="center"/>
              <w:rPr>
                <w:b/>
                <w:bCs/>
                <w:color w:val="000000"/>
                <w:lang w:eastAsia="en-GB"/>
              </w:rPr>
            </w:pPr>
            <w:r w:rsidRPr="001917F5">
              <w:rPr>
                <w:b/>
                <w:bCs/>
                <w:color w:val="000000"/>
                <w:lang w:eastAsia="en-GB"/>
              </w:rPr>
              <w:t>SD</w:t>
            </w:r>
          </w:p>
        </w:tc>
      </w:tr>
      <w:tr w:rsidR="00F661AE" w:rsidRPr="001917F5" w14:paraId="48D5EB79" w14:textId="77777777" w:rsidTr="00F661AE">
        <w:trPr>
          <w:trHeight w:val="255"/>
        </w:trPr>
        <w:tc>
          <w:tcPr>
            <w:tcW w:w="1283" w:type="dxa"/>
            <w:tcBorders>
              <w:top w:val="single" w:sz="4" w:space="0" w:color="auto"/>
            </w:tcBorders>
            <w:shd w:val="clear" w:color="auto" w:fill="auto"/>
            <w:noWrap/>
            <w:vAlign w:val="center"/>
            <w:hideMark/>
          </w:tcPr>
          <w:p w14:paraId="45274489" w14:textId="77777777" w:rsidR="00F661AE" w:rsidRPr="001917F5" w:rsidRDefault="00F661AE" w:rsidP="00F661AE">
            <w:pPr>
              <w:rPr>
                <w:color w:val="000000"/>
                <w:lang w:eastAsia="en-GB"/>
              </w:rPr>
            </w:pPr>
            <w:r w:rsidRPr="001917F5">
              <w:rPr>
                <w:color w:val="000000"/>
                <w:lang w:eastAsia="en-GB"/>
              </w:rPr>
              <w:t>Conceptual</w:t>
            </w:r>
          </w:p>
        </w:tc>
        <w:tc>
          <w:tcPr>
            <w:tcW w:w="1605" w:type="dxa"/>
            <w:tcBorders>
              <w:top w:val="single" w:sz="4" w:space="0" w:color="auto"/>
            </w:tcBorders>
            <w:shd w:val="clear" w:color="auto" w:fill="auto"/>
            <w:noWrap/>
            <w:vAlign w:val="center"/>
            <w:hideMark/>
          </w:tcPr>
          <w:p w14:paraId="0E7D0E45" w14:textId="77777777" w:rsidR="00F661AE" w:rsidRPr="001917F5" w:rsidRDefault="00F661AE" w:rsidP="00F661AE">
            <w:pPr>
              <w:rPr>
                <w:color w:val="000000"/>
                <w:lang w:eastAsia="en-GB"/>
              </w:rPr>
            </w:pPr>
            <w:r w:rsidRPr="001917F5">
              <w:rPr>
                <w:bCs/>
                <w:color w:val="000000"/>
                <w:lang w:eastAsia="en-GB"/>
              </w:rPr>
              <w:t>Scoping</w:t>
            </w:r>
          </w:p>
        </w:tc>
        <w:tc>
          <w:tcPr>
            <w:tcW w:w="666" w:type="dxa"/>
            <w:tcBorders>
              <w:top w:val="single" w:sz="4" w:space="0" w:color="auto"/>
            </w:tcBorders>
            <w:shd w:val="clear" w:color="auto" w:fill="auto"/>
            <w:noWrap/>
            <w:vAlign w:val="center"/>
            <w:hideMark/>
          </w:tcPr>
          <w:p w14:paraId="6E992004" w14:textId="77777777" w:rsidR="00F661AE" w:rsidRPr="001917F5" w:rsidRDefault="00F661AE" w:rsidP="00F661AE">
            <w:pPr>
              <w:jc w:val="center"/>
              <w:rPr>
                <w:b/>
                <w:bCs/>
                <w:color w:val="000000"/>
                <w:lang w:eastAsia="en-GB"/>
              </w:rPr>
            </w:pPr>
            <w:r w:rsidRPr="001917F5">
              <w:rPr>
                <w:b/>
                <w:bCs/>
                <w:color w:val="000000"/>
                <w:lang w:eastAsia="en-GB"/>
              </w:rPr>
              <w:t>2.58</w:t>
            </w:r>
          </w:p>
        </w:tc>
        <w:tc>
          <w:tcPr>
            <w:tcW w:w="566" w:type="dxa"/>
            <w:tcBorders>
              <w:top w:val="single" w:sz="4" w:space="0" w:color="auto"/>
            </w:tcBorders>
            <w:shd w:val="clear" w:color="auto" w:fill="auto"/>
            <w:noWrap/>
            <w:vAlign w:val="center"/>
            <w:hideMark/>
          </w:tcPr>
          <w:p w14:paraId="036E2714" w14:textId="77777777" w:rsidR="00F661AE" w:rsidRPr="001917F5" w:rsidRDefault="00F661AE" w:rsidP="00F661AE">
            <w:pPr>
              <w:jc w:val="center"/>
              <w:rPr>
                <w:color w:val="000000"/>
                <w:lang w:eastAsia="en-GB"/>
              </w:rPr>
            </w:pPr>
            <w:r w:rsidRPr="001917F5">
              <w:rPr>
                <w:color w:val="000000"/>
                <w:lang w:eastAsia="en-GB"/>
              </w:rPr>
              <w:t>0.64</w:t>
            </w:r>
          </w:p>
        </w:tc>
        <w:tc>
          <w:tcPr>
            <w:tcW w:w="580" w:type="dxa"/>
            <w:tcBorders>
              <w:top w:val="single" w:sz="4" w:space="0" w:color="auto"/>
            </w:tcBorders>
            <w:shd w:val="clear" w:color="auto" w:fill="auto"/>
            <w:noWrap/>
            <w:vAlign w:val="center"/>
            <w:hideMark/>
          </w:tcPr>
          <w:p w14:paraId="33DDD3DA" w14:textId="77777777" w:rsidR="00F661AE" w:rsidRPr="001917F5" w:rsidRDefault="00F661AE" w:rsidP="00F661AE">
            <w:pPr>
              <w:jc w:val="center"/>
              <w:rPr>
                <w:color w:val="000000"/>
                <w:lang w:eastAsia="en-GB"/>
              </w:rPr>
            </w:pPr>
            <w:r w:rsidRPr="001917F5">
              <w:rPr>
                <w:color w:val="000000"/>
                <w:lang w:eastAsia="en-GB"/>
              </w:rPr>
              <w:t>2.20</w:t>
            </w:r>
          </w:p>
        </w:tc>
        <w:tc>
          <w:tcPr>
            <w:tcW w:w="566" w:type="dxa"/>
            <w:tcBorders>
              <w:top w:val="single" w:sz="4" w:space="0" w:color="auto"/>
            </w:tcBorders>
            <w:shd w:val="clear" w:color="auto" w:fill="auto"/>
            <w:noWrap/>
            <w:vAlign w:val="center"/>
            <w:hideMark/>
          </w:tcPr>
          <w:p w14:paraId="601524C4" w14:textId="77777777" w:rsidR="00F661AE" w:rsidRPr="001917F5" w:rsidRDefault="00F661AE" w:rsidP="00F661AE">
            <w:pPr>
              <w:jc w:val="center"/>
              <w:rPr>
                <w:color w:val="000000"/>
                <w:lang w:eastAsia="en-GB"/>
              </w:rPr>
            </w:pPr>
            <w:r w:rsidRPr="001917F5">
              <w:rPr>
                <w:color w:val="000000"/>
                <w:lang w:eastAsia="en-GB"/>
              </w:rPr>
              <w:t>0.58</w:t>
            </w:r>
          </w:p>
        </w:tc>
        <w:tc>
          <w:tcPr>
            <w:tcW w:w="580" w:type="dxa"/>
            <w:tcBorders>
              <w:top w:val="single" w:sz="4" w:space="0" w:color="auto"/>
            </w:tcBorders>
            <w:shd w:val="clear" w:color="auto" w:fill="auto"/>
            <w:noWrap/>
            <w:vAlign w:val="center"/>
            <w:hideMark/>
          </w:tcPr>
          <w:p w14:paraId="2630537D" w14:textId="77777777" w:rsidR="00F661AE" w:rsidRPr="001917F5" w:rsidRDefault="00F661AE" w:rsidP="00F661AE">
            <w:pPr>
              <w:jc w:val="center"/>
              <w:rPr>
                <w:color w:val="000000"/>
                <w:lang w:eastAsia="en-GB"/>
              </w:rPr>
            </w:pPr>
            <w:r w:rsidRPr="001917F5">
              <w:rPr>
                <w:color w:val="000000"/>
                <w:lang w:eastAsia="en-GB"/>
              </w:rPr>
              <w:t>2.38</w:t>
            </w:r>
          </w:p>
        </w:tc>
        <w:tc>
          <w:tcPr>
            <w:tcW w:w="566" w:type="dxa"/>
            <w:tcBorders>
              <w:top w:val="single" w:sz="4" w:space="0" w:color="auto"/>
            </w:tcBorders>
            <w:shd w:val="clear" w:color="auto" w:fill="auto"/>
            <w:noWrap/>
            <w:vAlign w:val="center"/>
            <w:hideMark/>
          </w:tcPr>
          <w:p w14:paraId="26FFA58C" w14:textId="77777777" w:rsidR="00F661AE" w:rsidRPr="001917F5" w:rsidRDefault="00F661AE" w:rsidP="00F661AE">
            <w:pPr>
              <w:jc w:val="center"/>
              <w:rPr>
                <w:color w:val="000000"/>
                <w:lang w:eastAsia="en-GB"/>
              </w:rPr>
            </w:pPr>
            <w:r w:rsidRPr="001917F5">
              <w:rPr>
                <w:color w:val="000000"/>
                <w:lang w:eastAsia="en-GB"/>
              </w:rPr>
              <w:t>0.70</w:t>
            </w:r>
          </w:p>
        </w:tc>
        <w:tc>
          <w:tcPr>
            <w:tcW w:w="580" w:type="dxa"/>
            <w:tcBorders>
              <w:top w:val="single" w:sz="4" w:space="0" w:color="auto"/>
            </w:tcBorders>
            <w:shd w:val="clear" w:color="auto" w:fill="auto"/>
            <w:noWrap/>
            <w:vAlign w:val="center"/>
            <w:hideMark/>
          </w:tcPr>
          <w:p w14:paraId="387EBC1C" w14:textId="77777777" w:rsidR="00F661AE" w:rsidRPr="001917F5" w:rsidRDefault="00F661AE" w:rsidP="00F661AE">
            <w:pPr>
              <w:jc w:val="center"/>
              <w:rPr>
                <w:b/>
                <w:bCs/>
                <w:color w:val="000000"/>
                <w:lang w:eastAsia="en-GB"/>
              </w:rPr>
            </w:pPr>
            <w:r w:rsidRPr="001917F5">
              <w:rPr>
                <w:b/>
                <w:bCs/>
                <w:color w:val="000000"/>
                <w:lang w:eastAsia="en-GB"/>
              </w:rPr>
              <w:t>2.65</w:t>
            </w:r>
          </w:p>
        </w:tc>
        <w:tc>
          <w:tcPr>
            <w:tcW w:w="566" w:type="dxa"/>
            <w:tcBorders>
              <w:top w:val="single" w:sz="4" w:space="0" w:color="auto"/>
            </w:tcBorders>
            <w:shd w:val="clear" w:color="auto" w:fill="auto"/>
            <w:noWrap/>
            <w:vAlign w:val="center"/>
            <w:hideMark/>
          </w:tcPr>
          <w:p w14:paraId="71034640" w14:textId="77777777" w:rsidR="00F661AE" w:rsidRPr="001917F5" w:rsidRDefault="00F661AE" w:rsidP="00F661AE">
            <w:pPr>
              <w:jc w:val="center"/>
              <w:rPr>
                <w:color w:val="000000"/>
                <w:lang w:eastAsia="en-GB"/>
              </w:rPr>
            </w:pPr>
            <w:r w:rsidRPr="001917F5">
              <w:rPr>
                <w:color w:val="000000"/>
                <w:lang w:eastAsia="en-GB"/>
              </w:rPr>
              <w:t>0.63</w:t>
            </w:r>
          </w:p>
        </w:tc>
        <w:tc>
          <w:tcPr>
            <w:tcW w:w="580" w:type="dxa"/>
            <w:tcBorders>
              <w:top w:val="single" w:sz="4" w:space="0" w:color="auto"/>
            </w:tcBorders>
            <w:shd w:val="clear" w:color="auto" w:fill="auto"/>
            <w:noWrap/>
            <w:vAlign w:val="center"/>
            <w:hideMark/>
          </w:tcPr>
          <w:p w14:paraId="25AAFB6A" w14:textId="77777777" w:rsidR="00F661AE" w:rsidRPr="001917F5" w:rsidRDefault="00F661AE" w:rsidP="00F661AE">
            <w:pPr>
              <w:jc w:val="center"/>
              <w:rPr>
                <w:b/>
                <w:bCs/>
                <w:color w:val="000000"/>
                <w:lang w:eastAsia="en-GB"/>
              </w:rPr>
            </w:pPr>
            <w:r w:rsidRPr="001917F5">
              <w:rPr>
                <w:b/>
                <w:bCs/>
                <w:color w:val="000000"/>
                <w:lang w:eastAsia="en-GB"/>
              </w:rPr>
              <w:t>2.62</w:t>
            </w:r>
          </w:p>
        </w:tc>
        <w:tc>
          <w:tcPr>
            <w:tcW w:w="566" w:type="dxa"/>
            <w:tcBorders>
              <w:top w:val="single" w:sz="4" w:space="0" w:color="auto"/>
            </w:tcBorders>
            <w:shd w:val="clear" w:color="auto" w:fill="auto"/>
            <w:noWrap/>
            <w:vAlign w:val="center"/>
            <w:hideMark/>
          </w:tcPr>
          <w:p w14:paraId="2B7BD638" w14:textId="77777777" w:rsidR="00F661AE" w:rsidRPr="001917F5" w:rsidRDefault="00F661AE" w:rsidP="00F661AE">
            <w:pPr>
              <w:jc w:val="center"/>
              <w:rPr>
                <w:color w:val="000000"/>
                <w:lang w:eastAsia="en-GB"/>
              </w:rPr>
            </w:pPr>
            <w:r w:rsidRPr="001917F5">
              <w:rPr>
                <w:color w:val="000000"/>
                <w:lang w:eastAsia="en-GB"/>
              </w:rPr>
              <w:t>0.64</w:t>
            </w:r>
          </w:p>
        </w:tc>
      </w:tr>
      <w:tr w:rsidR="00F661AE" w:rsidRPr="001917F5" w14:paraId="2680CE6F" w14:textId="77777777" w:rsidTr="00F661AE">
        <w:trPr>
          <w:trHeight w:val="255"/>
        </w:trPr>
        <w:tc>
          <w:tcPr>
            <w:tcW w:w="1283" w:type="dxa"/>
            <w:shd w:val="clear" w:color="auto" w:fill="auto"/>
            <w:noWrap/>
            <w:vAlign w:val="center"/>
            <w:hideMark/>
          </w:tcPr>
          <w:p w14:paraId="51B76596" w14:textId="77777777" w:rsidR="00F661AE" w:rsidRPr="001917F5" w:rsidRDefault="00F661AE" w:rsidP="00F661AE">
            <w:pPr>
              <w:rPr>
                <w:color w:val="000000"/>
                <w:lang w:eastAsia="en-GB"/>
              </w:rPr>
            </w:pPr>
            <w:r w:rsidRPr="001917F5">
              <w:rPr>
                <w:color w:val="000000"/>
                <w:lang w:eastAsia="en-GB"/>
              </w:rPr>
              <w:t>Conceptual</w:t>
            </w:r>
          </w:p>
        </w:tc>
        <w:tc>
          <w:tcPr>
            <w:tcW w:w="1605" w:type="dxa"/>
            <w:shd w:val="clear" w:color="auto" w:fill="auto"/>
            <w:noWrap/>
            <w:vAlign w:val="center"/>
            <w:hideMark/>
          </w:tcPr>
          <w:p w14:paraId="03C1032A" w14:textId="77777777" w:rsidR="00F661AE" w:rsidRPr="001917F5" w:rsidRDefault="00F661AE" w:rsidP="00F661AE">
            <w:pPr>
              <w:rPr>
                <w:color w:val="000000"/>
                <w:lang w:eastAsia="en-GB"/>
              </w:rPr>
            </w:pPr>
            <w:r w:rsidRPr="001917F5">
              <w:rPr>
                <w:bCs/>
                <w:color w:val="000000"/>
                <w:lang w:eastAsia="en-GB"/>
              </w:rPr>
              <w:t>Integration</w:t>
            </w:r>
          </w:p>
        </w:tc>
        <w:tc>
          <w:tcPr>
            <w:tcW w:w="666" w:type="dxa"/>
            <w:shd w:val="clear" w:color="auto" w:fill="auto"/>
            <w:noWrap/>
            <w:vAlign w:val="center"/>
            <w:hideMark/>
          </w:tcPr>
          <w:p w14:paraId="1EA3034E" w14:textId="77777777" w:rsidR="00F661AE" w:rsidRPr="001917F5" w:rsidRDefault="00F661AE" w:rsidP="00F661AE">
            <w:pPr>
              <w:jc w:val="center"/>
              <w:rPr>
                <w:b/>
                <w:bCs/>
                <w:color w:val="000000"/>
                <w:lang w:eastAsia="en-GB"/>
              </w:rPr>
            </w:pPr>
            <w:r w:rsidRPr="001917F5">
              <w:rPr>
                <w:b/>
                <w:bCs/>
                <w:color w:val="000000"/>
                <w:lang w:eastAsia="en-GB"/>
              </w:rPr>
              <w:t>2.50</w:t>
            </w:r>
          </w:p>
        </w:tc>
        <w:tc>
          <w:tcPr>
            <w:tcW w:w="566" w:type="dxa"/>
            <w:shd w:val="clear" w:color="auto" w:fill="auto"/>
            <w:noWrap/>
            <w:vAlign w:val="center"/>
            <w:hideMark/>
          </w:tcPr>
          <w:p w14:paraId="6EC27EC8" w14:textId="77777777" w:rsidR="00F661AE" w:rsidRPr="001917F5" w:rsidRDefault="00F661AE" w:rsidP="00F661AE">
            <w:pPr>
              <w:jc w:val="center"/>
              <w:rPr>
                <w:color w:val="000000"/>
                <w:lang w:eastAsia="en-GB"/>
              </w:rPr>
            </w:pPr>
            <w:r w:rsidRPr="001917F5">
              <w:rPr>
                <w:color w:val="000000"/>
                <w:lang w:eastAsia="en-GB"/>
              </w:rPr>
              <w:t>0.71</w:t>
            </w:r>
          </w:p>
        </w:tc>
        <w:tc>
          <w:tcPr>
            <w:tcW w:w="580" w:type="dxa"/>
            <w:shd w:val="clear" w:color="auto" w:fill="auto"/>
            <w:noWrap/>
            <w:vAlign w:val="center"/>
            <w:hideMark/>
          </w:tcPr>
          <w:p w14:paraId="3686A862" w14:textId="77777777" w:rsidR="00F661AE" w:rsidRPr="001917F5" w:rsidRDefault="00F661AE" w:rsidP="00F661AE">
            <w:pPr>
              <w:jc w:val="center"/>
              <w:rPr>
                <w:color w:val="000000"/>
                <w:lang w:eastAsia="en-GB"/>
              </w:rPr>
            </w:pPr>
            <w:r w:rsidRPr="001917F5">
              <w:rPr>
                <w:color w:val="000000"/>
                <w:lang w:eastAsia="en-GB"/>
              </w:rPr>
              <w:t>2.19</w:t>
            </w:r>
          </w:p>
        </w:tc>
        <w:tc>
          <w:tcPr>
            <w:tcW w:w="566" w:type="dxa"/>
            <w:shd w:val="clear" w:color="auto" w:fill="auto"/>
            <w:noWrap/>
            <w:vAlign w:val="center"/>
            <w:hideMark/>
          </w:tcPr>
          <w:p w14:paraId="66F67677" w14:textId="77777777" w:rsidR="00F661AE" w:rsidRPr="001917F5" w:rsidRDefault="00F661AE" w:rsidP="00F661AE">
            <w:pPr>
              <w:jc w:val="center"/>
              <w:rPr>
                <w:color w:val="000000"/>
                <w:lang w:eastAsia="en-GB"/>
              </w:rPr>
            </w:pPr>
            <w:r w:rsidRPr="001917F5">
              <w:rPr>
                <w:color w:val="000000"/>
                <w:lang w:eastAsia="en-GB"/>
              </w:rPr>
              <w:t>0.57</w:t>
            </w:r>
          </w:p>
        </w:tc>
        <w:tc>
          <w:tcPr>
            <w:tcW w:w="580" w:type="dxa"/>
            <w:shd w:val="clear" w:color="auto" w:fill="auto"/>
            <w:noWrap/>
            <w:vAlign w:val="center"/>
            <w:hideMark/>
          </w:tcPr>
          <w:p w14:paraId="182B9C48" w14:textId="77777777" w:rsidR="00F661AE" w:rsidRPr="001917F5" w:rsidRDefault="00F661AE" w:rsidP="00F661AE">
            <w:pPr>
              <w:jc w:val="center"/>
              <w:rPr>
                <w:color w:val="000000"/>
                <w:lang w:eastAsia="en-GB"/>
              </w:rPr>
            </w:pPr>
            <w:r w:rsidRPr="001917F5">
              <w:rPr>
                <w:color w:val="000000"/>
                <w:lang w:eastAsia="en-GB"/>
              </w:rPr>
              <w:t>2.48</w:t>
            </w:r>
          </w:p>
        </w:tc>
        <w:tc>
          <w:tcPr>
            <w:tcW w:w="566" w:type="dxa"/>
            <w:shd w:val="clear" w:color="auto" w:fill="auto"/>
            <w:noWrap/>
            <w:vAlign w:val="center"/>
            <w:hideMark/>
          </w:tcPr>
          <w:p w14:paraId="5C1742F5" w14:textId="77777777" w:rsidR="00F661AE" w:rsidRPr="001917F5" w:rsidRDefault="00F661AE" w:rsidP="00F661AE">
            <w:pPr>
              <w:jc w:val="center"/>
              <w:rPr>
                <w:color w:val="000000"/>
                <w:lang w:eastAsia="en-GB"/>
              </w:rPr>
            </w:pPr>
            <w:r w:rsidRPr="001917F5">
              <w:rPr>
                <w:color w:val="000000"/>
                <w:lang w:eastAsia="en-GB"/>
              </w:rPr>
              <w:t>0.65</w:t>
            </w:r>
          </w:p>
        </w:tc>
        <w:tc>
          <w:tcPr>
            <w:tcW w:w="580" w:type="dxa"/>
            <w:shd w:val="clear" w:color="auto" w:fill="auto"/>
            <w:noWrap/>
            <w:vAlign w:val="center"/>
            <w:hideMark/>
          </w:tcPr>
          <w:p w14:paraId="037091D1" w14:textId="77777777" w:rsidR="00F661AE" w:rsidRPr="001917F5" w:rsidRDefault="00F661AE" w:rsidP="00F661AE">
            <w:pPr>
              <w:jc w:val="center"/>
              <w:rPr>
                <w:b/>
                <w:bCs/>
                <w:color w:val="000000"/>
                <w:lang w:eastAsia="en-GB"/>
              </w:rPr>
            </w:pPr>
            <w:r w:rsidRPr="001917F5">
              <w:rPr>
                <w:b/>
                <w:bCs/>
                <w:color w:val="000000"/>
                <w:lang w:eastAsia="en-GB"/>
              </w:rPr>
              <w:t>2.68</w:t>
            </w:r>
          </w:p>
        </w:tc>
        <w:tc>
          <w:tcPr>
            <w:tcW w:w="566" w:type="dxa"/>
            <w:shd w:val="clear" w:color="auto" w:fill="auto"/>
            <w:noWrap/>
            <w:vAlign w:val="center"/>
            <w:hideMark/>
          </w:tcPr>
          <w:p w14:paraId="1096A61E" w14:textId="77777777" w:rsidR="00F661AE" w:rsidRPr="001917F5" w:rsidRDefault="00F661AE" w:rsidP="00F661AE">
            <w:pPr>
              <w:jc w:val="center"/>
              <w:rPr>
                <w:color w:val="000000"/>
                <w:lang w:eastAsia="en-GB"/>
              </w:rPr>
            </w:pPr>
            <w:r w:rsidRPr="001917F5">
              <w:rPr>
                <w:color w:val="000000"/>
                <w:lang w:eastAsia="en-GB"/>
              </w:rPr>
              <w:t>0.56</w:t>
            </w:r>
          </w:p>
        </w:tc>
        <w:tc>
          <w:tcPr>
            <w:tcW w:w="580" w:type="dxa"/>
            <w:shd w:val="clear" w:color="auto" w:fill="auto"/>
            <w:noWrap/>
            <w:vAlign w:val="center"/>
            <w:hideMark/>
          </w:tcPr>
          <w:p w14:paraId="7E6F804C" w14:textId="77777777" w:rsidR="00F661AE" w:rsidRPr="001917F5" w:rsidRDefault="00F661AE" w:rsidP="00F661AE">
            <w:pPr>
              <w:jc w:val="center"/>
              <w:rPr>
                <w:b/>
                <w:bCs/>
                <w:color w:val="000000"/>
                <w:lang w:eastAsia="en-GB"/>
              </w:rPr>
            </w:pPr>
            <w:r w:rsidRPr="001917F5">
              <w:rPr>
                <w:b/>
                <w:bCs/>
                <w:color w:val="000000"/>
                <w:lang w:eastAsia="en-GB"/>
              </w:rPr>
              <w:t>2.62</w:t>
            </w:r>
          </w:p>
        </w:tc>
        <w:tc>
          <w:tcPr>
            <w:tcW w:w="566" w:type="dxa"/>
            <w:shd w:val="clear" w:color="auto" w:fill="auto"/>
            <w:noWrap/>
            <w:vAlign w:val="center"/>
            <w:hideMark/>
          </w:tcPr>
          <w:p w14:paraId="1699D4AE" w14:textId="77777777" w:rsidR="00F661AE" w:rsidRPr="001917F5" w:rsidRDefault="00F661AE" w:rsidP="00F661AE">
            <w:pPr>
              <w:jc w:val="center"/>
              <w:rPr>
                <w:color w:val="000000"/>
                <w:lang w:eastAsia="en-GB"/>
              </w:rPr>
            </w:pPr>
            <w:r w:rsidRPr="001917F5">
              <w:rPr>
                <w:color w:val="000000"/>
                <w:lang w:eastAsia="en-GB"/>
              </w:rPr>
              <w:t>0.64</w:t>
            </w:r>
          </w:p>
        </w:tc>
      </w:tr>
      <w:tr w:rsidR="00F661AE" w:rsidRPr="001917F5" w14:paraId="18F8E0F2" w14:textId="77777777" w:rsidTr="00F661AE">
        <w:trPr>
          <w:trHeight w:val="255"/>
        </w:trPr>
        <w:tc>
          <w:tcPr>
            <w:tcW w:w="1283" w:type="dxa"/>
            <w:shd w:val="clear" w:color="auto" w:fill="auto"/>
            <w:noWrap/>
            <w:vAlign w:val="center"/>
            <w:hideMark/>
          </w:tcPr>
          <w:p w14:paraId="367C4D25" w14:textId="77777777" w:rsidR="00F661AE" w:rsidRPr="001917F5" w:rsidRDefault="00F661AE" w:rsidP="00F661AE">
            <w:pPr>
              <w:rPr>
                <w:color w:val="000000"/>
                <w:lang w:eastAsia="en-GB"/>
              </w:rPr>
            </w:pPr>
            <w:r w:rsidRPr="001917F5">
              <w:rPr>
                <w:color w:val="000000"/>
                <w:lang w:eastAsia="en-GB"/>
              </w:rPr>
              <w:t>Conceptual</w:t>
            </w:r>
          </w:p>
        </w:tc>
        <w:tc>
          <w:tcPr>
            <w:tcW w:w="1605" w:type="dxa"/>
            <w:shd w:val="clear" w:color="auto" w:fill="auto"/>
            <w:noWrap/>
            <w:vAlign w:val="center"/>
            <w:hideMark/>
          </w:tcPr>
          <w:p w14:paraId="59A84F98" w14:textId="77777777" w:rsidR="00F661AE" w:rsidRPr="001917F5" w:rsidRDefault="00F661AE" w:rsidP="00F661AE">
            <w:pPr>
              <w:rPr>
                <w:color w:val="000000"/>
                <w:lang w:eastAsia="en-GB"/>
              </w:rPr>
            </w:pPr>
            <w:r w:rsidRPr="001917F5">
              <w:rPr>
                <w:bCs/>
                <w:color w:val="000000"/>
                <w:lang w:eastAsia="en-GB"/>
              </w:rPr>
              <w:t>Visioning</w:t>
            </w:r>
          </w:p>
        </w:tc>
        <w:tc>
          <w:tcPr>
            <w:tcW w:w="666" w:type="dxa"/>
            <w:shd w:val="clear" w:color="auto" w:fill="auto"/>
            <w:noWrap/>
            <w:vAlign w:val="center"/>
            <w:hideMark/>
          </w:tcPr>
          <w:p w14:paraId="29025B2D" w14:textId="77777777" w:rsidR="00F661AE" w:rsidRPr="001917F5" w:rsidRDefault="00F661AE" w:rsidP="00F661AE">
            <w:pPr>
              <w:jc w:val="center"/>
              <w:rPr>
                <w:b/>
                <w:bCs/>
                <w:color w:val="000000"/>
                <w:lang w:eastAsia="en-GB"/>
              </w:rPr>
            </w:pPr>
            <w:r w:rsidRPr="001917F5">
              <w:rPr>
                <w:b/>
                <w:bCs/>
                <w:color w:val="000000"/>
                <w:lang w:eastAsia="en-GB"/>
              </w:rPr>
              <w:t>2.50</w:t>
            </w:r>
          </w:p>
        </w:tc>
        <w:tc>
          <w:tcPr>
            <w:tcW w:w="566" w:type="dxa"/>
            <w:shd w:val="clear" w:color="auto" w:fill="auto"/>
            <w:noWrap/>
            <w:vAlign w:val="center"/>
            <w:hideMark/>
          </w:tcPr>
          <w:p w14:paraId="5A70A8D5" w14:textId="77777777" w:rsidR="00F661AE" w:rsidRPr="001917F5" w:rsidRDefault="00F661AE" w:rsidP="00F661AE">
            <w:pPr>
              <w:jc w:val="center"/>
              <w:rPr>
                <w:color w:val="000000"/>
                <w:lang w:eastAsia="en-GB"/>
              </w:rPr>
            </w:pPr>
            <w:r w:rsidRPr="001917F5">
              <w:rPr>
                <w:color w:val="000000"/>
                <w:lang w:eastAsia="en-GB"/>
              </w:rPr>
              <w:t>0.65</w:t>
            </w:r>
          </w:p>
        </w:tc>
        <w:tc>
          <w:tcPr>
            <w:tcW w:w="580" w:type="dxa"/>
            <w:shd w:val="clear" w:color="auto" w:fill="auto"/>
            <w:noWrap/>
            <w:vAlign w:val="center"/>
            <w:hideMark/>
          </w:tcPr>
          <w:p w14:paraId="2F09EB44" w14:textId="77777777" w:rsidR="00F661AE" w:rsidRPr="001917F5" w:rsidRDefault="00F661AE" w:rsidP="00F661AE">
            <w:pPr>
              <w:jc w:val="center"/>
              <w:rPr>
                <w:color w:val="000000"/>
                <w:lang w:eastAsia="en-GB"/>
              </w:rPr>
            </w:pPr>
            <w:r w:rsidRPr="001917F5">
              <w:rPr>
                <w:color w:val="000000"/>
                <w:lang w:eastAsia="en-GB"/>
              </w:rPr>
              <w:t>2.27</w:t>
            </w:r>
          </w:p>
        </w:tc>
        <w:tc>
          <w:tcPr>
            <w:tcW w:w="566" w:type="dxa"/>
            <w:shd w:val="clear" w:color="auto" w:fill="auto"/>
            <w:noWrap/>
            <w:vAlign w:val="center"/>
            <w:hideMark/>
          </w:tcPr>
          <w:p w14:paraId="2A935B28" w14:textId="77777777" w:rsidR="00F661AE" w:rsidRPr="001917F5" w:rsidRDefault="00F661AE" w:rsidP="00F661AE">
            <w:pPr>
              <w:jc w:val="center"/>
              <w:rPr>
                <w:color w:val="000000"/>
                <w:lang w:eastAsia="en-GB"/>
              </w:rPr>
            </w:pPr>
            <w:r w:rsidRPr="001917F5">
              <w:rPr>
                <w:color w:val="000000"/>
                <w:lang w:eastAsia="en-GB"/>
              </w:rPr>
              <w:t>0.60</w:t>
            </w:r>
          </w:p>
        </w:tc>
        <w:tc>
          <w:tcPr>
            <w:tcW w:w="580" w:type="dxa"/>
            <w:shd w:val="clear" w:color="auto" w:fill="auto"/>
            <w:noWrap/>
            <w:vAlign w:val="center"/>
            <w:hideMark/>
          </w:tcPr>
          <w:p w14:paraId="721CE3FF" w14:textId="77777777" w:rsidR="00F661AE" w:rsidRPr="001917F5" w:rsidRDefault="00F661AE" w:rsidP="00F661AE">
            <w:pPr>
              <w:jc w:val="center"/>
              <w:rPr>
                <w:color w:val="000000"/>
                <w:lang w:eastAsia="en-GB"/>
              </w:rPr>
            </w:pPr>
            <w:r w:rsidRPr="001917F5">
              <w:rPr>
                <w:color w:val="000000"/>
                <w:lang w:eastAsia="en-GB"/>
              </w:rPr>
              <w:t>2.27</w:t>
            </w:r>
          </w:p>
        </w:tc>
        <w:tc>
          <w:tcPr>
            <w:tcW w:w="566" w:type="dxa"/>
            <w:shd w:val="clear" w:color="auto" w:fill="auto"/>
            <w:noWrap/>
            <w:vAlign w:val="center"/>
            <w:hideMark/>
          </w:tcPr>
          <w:p w14:paraId="59639F01" w14:textId="77777777" w:rsidR="00F661AE" w:rsidRPr="001917F5" w:rsidRDefault="00F661AE" w:rsidP="00F661AE">
            <w:pPr>
              <w:jc w:val="center"/>
              <w:rPr>
                <w:color w:val="000000"/>
                <w:lang w:eastAsia="en-GB"/>
              </w:rPr>
            </w:pPr>
            <w:r w:rsidRPr="001917F5">
              <w:rPr>
                <w:color w:val="000000"/>
                <w:lang w:eastAsia="en-GB"/>
              </w:rPr>
              <w:t>0.72</w:t>
            </w:r>
          </w:p>
        </w:tc>
        <w:tc>
          <w:tcPr>
            <w:tcW w:w="580" w:type="dxa"/>
            <w:shd w:val="clear" w:color="auto" w:fill="auto"/>
            <w:noWrap/>
            <w:vAlign w:val="center"/>
            <w:hideMark/>
          </w:tcPr>
          <w:p w14:paraId="5DD7BC75" w14:textId="77777777" w:rsidR="00F661AE" w:rsidRPr="001917F5" w:rsidRDefault="00F661AE" w:rsidP="00F661AE">
            <w:pPr>
              <w:jc w:val="center"/>
              <w:rPr>
                <w:b/>
                <w:bCs/>
                <w:color w:val="000000"/>
                <w:lang w:eastAsia="en-GB"/>
              </w:rPr>
            </w:pPr>
            <w:r w:rsidRPr="001917F5">
              <w:rPr>
                <w:b/>
                <w:bCs/>
                <w:color w:val="000000"/>
                <w:lang w:eastAsia="en-GB"/>
              </w:rPr>
              <w:t>2.69</w:t>
            </w:r>
          </w:p>
        </w:tc>
        <w:tc>
          <w:tcPr>
            <w:tcW w:w="566" w:type="dxa"/>
            <w:shd w:val="clear" w:color="auto" w:fill="auto"/>
            <w:noWrap/>
            <w:vAlign w:val="center"/>
            <w:hideMark/>
          </w:tcPr>
          <w:p w14:paraId="3865BF34" w14:textId="77777777" w:rsidR="00F661AE" w:rsidRPr="001917F5" w:rsidRDefault="00F661AE" w:rsidP="00F661AE">
            <w:pPr>
              <w:jc w:val="center"/>
              <w:rPr>
                <w:color w:val="000000"/>
                <w:lang w:eastAsia="en-GB"/>
              </w:rPr>
            </w:pPr>
            <w:r w:rsidRPr="001917F5">
              <w:rPr>
                <w:color w:val="000000"/>
                <w:lang w:eastAsia="en-GB"/>
              </w:rPr>
              <w:t>0.55</w:t>
            </w:r>
          </w:p>
        </w:tc>
        <w:tc>
          <w:tcPr>
            <w:tcW w:w="580" w:type="dxa"/>
            <w:shd w:val="clear" w:color="auto" w:fill="auto"/>
            <w:noWrap/>
            <w:vAlign w:val="center"/>
            <w:hideMark/>
          </w:tcPr>
          <w:p w14:paraId="3264FA8B" w14:textId="77777777" w:rsidR="00F661AE" w:rsidRPr="001917F5" w:rsidRDefault="00F661AE" w:rsidP="00F661AE">
            <w:pPr>
              <w:jc w:val="center"/>
              <w:rPr>
                <w:b/>
                <w:bCs/>
                <w:color w:val="000000"/>
                <w:lang w:eastAsia="en-GB"/>
              </w:rPr>
            </w:pPr>
            <w:r w:rsidRPr="001917F5">
              <w:rPr>
                <w:b/>
                <w:bCs/>
                <w:color w:val="000000"/>
                <w:lang w:eastAsia="en-GB"/>
              </w:rPr>
              <w:t>2.62</w:t>
            </w:r>
          </w:p>
        </w:tc>
        <w:tc>
          <w:tcPr>
            <w:tcW w:w="566" w:type="dxa"/>
            <w:shd w:val="clear" w:color="auto" w:fill="auto"/>
            <w:noWrap/>
            <w:vAlign w:val="center"/>
            <w:hideMark/>
          </w:tcPr>
          <w:p w14:paraId="66EC795D" w14:textId="77777777" w:rsidR="00F661AE" w:rsidRPr="001917F5" w:rsidRDefault="00F661AE" w:rsidP="00F661AE">
            <w:pPr>
              <w:jc w:val="center"/>
              <w:rPr>
                <w:color w:val="000000"/>
                <w:lang w:eastAsia="en-GB"/>
              </w:rPr>
            </w:pPr>
            <w:r w:rsidRPr="001917F5">
              <w:rPr>
                <w:color w:val="000000"/>
                <w:lang w:eastAsia="en-GB"/>
              </w:rPr>
              <w:t>0.70</w:t>
            </w:r>
          </w:p>
        </w:tc>
      </w:tr>
      <w:tr w:rsidR="00F661AE" w:rsidRPr="001917F5" w14:paraId="48D6D031" w14:textId="77777777" w:rsidTr="00F661AE">
        <w:trPr>
          <w:trHeight w:val="255"/>
        </w:trPr>
        <w:tc>
          <w:tcPr>
            <w:tcW w:w="1283" w:type="dxa"/>
            <w:shd w:val="clear" w:color="auto" w:fill="auto"/>
            <w:noWrap/>
            <w:vAlign w:val="center"/>
            <w:hideMark/>
          </w:tcPr>
          <w:p w14:paraId="1EDA5691" w14:textId="77777777" w:rsidR="00F661AE" w:rsidRPr="001917F5" w:rsidRDefault="00F661AE" w:rsidP="00F661AE">
            <w:pPr>
              <w:rPr>
                <w:color w:val="000000"/>
                <w:lang w:eastAsia="en-GB"/>
              </w:rPr>
            </w:pPr>
            <w:r w:rsidRPr="001917F5">
              <w:rPr>
                <w:bCs/>
                <w:color w:val="000000"/>
                <w:lang w:eastAsia="en-GB"/>
              </w:rPr>
              <w:t>Human</w:t>
            </w:r>
          </w:p>
        </w:tc>
        <w:tc>
          <w:tcPr>
            <w:tcW w:w="1605" w:type="dxa"/>
            <w:shd w:val="clear" w:color="auto" w:fill="auto"/>
            <w:noWrap/>
            <w:vAlign w:val="center"/>
            <w:hideMark/>
          </w:tcPr>
          <w:p w14:paraId="3937CA6C" w14:textId="77777777" w:rsidR="00F661AE" w:rsidRPr="001917F5" w:rsidRDefault="00F661AE" w:rsidP="00F661AE">
            <w:pPr>
              <w:rPr>
                <w:color w:val="000000"/>
                <w:lang w:eastAsia="en-GB"/>
              </w:rPr>
            </w:pPr>
            <w:r w:rsidRPr="001917F5">
              <w:rPr>
                <w:bCs/>
                <w:color w:val="000000"/>
                <w:lang w:eastAsia="en-GB"/>
              </w:rPr>
              <w:t>Emotional intelligence</w:t>
            </w:r>
          </w:p>
        </w:tc>
        <w:tc>
          <w:tcPr>
            <w:tcW w:w="666" w:type="dxa"/>
            <w:shd w:val="clear" w:color="auto" w:fill="auto"/>
            <w:noWrap/>
            <w:vAlign w:val="center"/>
            <w:hideMark/>
          </w:tcPr>
          <w:p w14:paraId="2C5D7198" w14:textId="77777777" w:rsidR="00F661AE" w:rsidRPr="001917F5" w:rsidRDefault="00F661AE" w:rsidP="00F661AE">
            <w:pPr>
              <w:jc w:val="center"/>
              <w:rPr>
                <w:color w:val="000000"/>
                <w:lang w:eastAsia="en-GB"/>
              </w:rPr>
            </w:pPr>
            <w:r w:rsidRPr="001917F5">
              <w:rPr>
                <w:color w:val="000000"/>
                <w:lang w:eastAsia="en-GB"/>
              </w:rPr>
              <w:t>2.12</w:t>
            </w:r>
          </w:p>
        </w:tc>
        <w:tc>
          <w:tcPr>
            <w:tcW w:w="566" w:type="dxa"/>
            <w:shd w:val="clear" w:color="auto" w:fill="auto"/>
            <w:noWrap/>
            <w:vAlign w:val="center"/>
            <w:hideMark/>
          </w:tcPr>
          <w:p w14:paraId="17DB9E53" w14:textId="77777777" w:rsidR="00F661AE" w:rsidRPr="001917F5" w:rsidRDefault="00F661AE" w:rsidP="00F661AE">
            <w:pPr>
              <w:jc w:val="center"/>
              <w:rPr>
                <w:color w:val="000000"/>
                <w:lang w:eastAsia="en-GB"/>
              </w:rPr>
            </w:pPr>
            <w:r w:rsidRPr="001917F5">
              <w:rPr>
                <w:color w:val="000000"/>
                <w:lang w:eastAsia="en-GB"/>
              </w:rPr>
              <w:t>0.71</w:t>
            </w:r>
          </w:p>
        </w:tc>
        <w:tc>
          <w:tcPr>
            <w:tcW w:w="580" w:type="dxa"/>
            <w:shd w:val="clear" w:color="auto" w:fill="auto"/>
            <w:noWrap/>
            <w:vAlign w:val="center"/>
            <w:hideMark/>
          </w:tcPr>
          <w:p w14:paraId="5F55A247" w14:textId="77777777" w:rsidR="00F661AE" w:rsidRPr="001917F5" w:rsidRDefault="00F661AE" w:rsidP="00F661AE">
            <w:pPr>
              <w:jc w:val="center"/>
              <w:rPr>
                <w:color w:val="000000"/>
                <w:lang w:eastAsia="en-GB"/>
              </w:rPr>
            </w:pPr>
            <w:r w:rsidRPr="001917F5">
              <w:rPr>
                <w:color w:val="000000"/>
                <w:lang w:eastAsia="en-GB"/>
              </w:rPr>
              <w:t>2.31</w:t>
            </w:r>
          </w:p>
        </w:tc>
        <w:tc>
          <w:tcPr>
            <w:tcW w:w="566" w:type="dxa"/>
            <w:shd w:val="clear" w:color="auto" w:fill="auto"/>
            <w:noWrap/>
            <w:vAlign w:val="center"/>
            <w:hideMark/>
          </w:tcPr>
          <w:p w14:paraId="733F6C9C" w14:textId="77777777" w:rsidR="00F661AE" w:rsidRPr="001917F5" w:rsidRDefault="00F661AE" w:rsidP="00F661AE">
            <w:pPr>
              <w:jc w:val="center"/>
              <w:rPr>
                <w:color w:val="000000"/>
                <w:lang w:eastAsia="en-GB"/>
              </w:rPr>
            </w:pPr>
            <w:r w:rsidRPr="001917F5">
              <w:rPr>
                <w:color w:val="000000"/>
                <w:lang w:eastAsia="en-GB"/>
              </w:rPr>
              <w:t>0.74</w:t>
            </w:r>
          </w:p>
        </w:tc>
        <w:tc>
          <w:tcPr>
            <w:tcW w:w="580" w:type="dxa"/>
            <w:shd w:val="clear" w:color="auto" w:fill="auto"/>
            <w:noWrap/>
            <w:vAlign w:val="center"/>
            <w:hideMark/>
          </w:tcPr>
          <w:p w14:paraId="63368F4F" w14:textId="77777777" w:rsidR="00F661AE" w:rsidRPr="001917F5" w:rsidRDefault="00F661AE" w:rsidP="00F661AE">
            <w:pPr>
              <w:jc w:val="center"/>
              <w:rPr>
                <w:color w:val="000000"/>
                <w:lang w:eastAsia="en-GB"/>
              </w:rPr>
            </w:pPr>
            <w:r w:rsidRPr="001917F5">
              <w:rPr>
                <w:color w:val="000000"/>
                <w:lang w:eastAsia="en-GB"/>
              </w:rPr>
              <w:t>2.46</w:t>
            </w:r>
          </w:p>
        </w:tc>
        <w:tc>
          <w:tcPr>
            <w:tcW w:w="566" w:type="dxa"/>
            <w:shd w:val="clear" w:color="auto" w:fill="auto"/>
            <w:noWrap/>
            <w:vAlign w:val="center"/>
            <w:hideMark/>
          </w:tcPr>
          <w:p w14:paraId="3F24C69B" w14:textId="77777777" w:rsidR="00F661AE" w:rsidRPr="001917F5" w:rsidRDefault="00F661AE" w:rsidP="00F661AE">
            <w:pPr>
              <w:jc w:val="center"/>
              <w:rPr>
                <w:color w:val="000000"/>
                <w:lang w:eastAsia="en-GB"/>
              </w:rPr>
            </w:pPr>
            <w:r w:rsidRPr="001917F5">
              <w:rPr>
                <w:color w:val="000000"/>
                <w:lang w:eastAsia="en-GB"/>
              </w:rPr>
              <w:t>0.65</w:t>
            </w:r>
          </w:p>
        </w:tc>
        <w:tc>
          <w:tcPr>
            <w:tcW w:w="580" w:type="dxa"/>
            <w:shd w:val="clear" w:color="auto" w:fill="auto"/>
            <w:noWrap/>
            <w:vAlign w:val="center"/>
            <w:hideMark/>
          </w:tcPr>
          <w:p w14:paraId="00E3FA49" w14:textId="77777777" w:rsidR="00F661AE" w:rsidRPr="001917F5" w:rsidRDefault="00F661AE" w:rsidP="00F661AE">
            <w:pPr>
              <w:jc w:val="center"/>
              <w:rPr>
                <w:b/>
                <w:bCs/>
                <w:color w:val="000000"/>
                <w:lang w:eastAsia="en-GB"/>
              </w:rPr>
            </w:pPr>
            <w:r w:rsidRPr="001917F5">
              <w:rPr>
                <w:b/>
                <w:bCs/>
                <w:color w:val="000000"/>
                <w:lang w:eastAsia="en-GB"/>
              </w:rPr>
              <w:t>2.56</w:t>
            </w:r>
          </w:p>
        </w:tc>
        <w:tc>
          <w:tcPr>
            <w:tcW w:w="566" w:type="dxa"/>
            <w:shd w:val="clear" w:color="auto" w:fill="auto"/>
            <w:noWrap/>
            <w:vAlign w:val="center"/>
            <w:hideMark/>
          </w:tcPr>
          <w:p w14:paraId="45056B0E" w14:textId="77777777" w:rsidR="00F661AE" w:rsidRPr="001917F5" w:rsidRDefault="00F661AE" w:rsidP="00F661AE">
            <w:pPr>
              <w:jc w:val="center"/>
              <w:rPr>
                <w:color w:val="000000"/>
                <w:lang w:eastAsia="en-GB"/>
              </w:rPr>
            </w:pPr>
            <w:r w:rsidRPr="001917F5">
              <w:rPr>
                <w:color w:val="000000"/>
                <w:lang w:eastAsia="en-GB"/>
              </w:rPr>
              <w:t>0.65</w:t>
            </w:r>
          </w:p>
        </w:tc>
        <w:tc>
          <w:tcPr>
            <w:tcW w:w="580" w:type="dxa"/>
            <w:shd w:val="clear" w:color="auto" w:fill="auto"/>
            <w:noWrap/>
            <w:vAlign w:val="center"/>
            <w:hideMark/>
          </w:tcPr>
          <w:p w14:paraId="7BE8DC30" w14:textId="77777777" w:rsidR="00F661AE" w:rsidRPr="001917F5" w:rsidRDefault="00F661AE" w:rsidP="00F661AE">
            <w:pPr>
              <w:jc w:val="center"/>
              <w:rPr>
                <w:b/>
                <w:bCs/>
                <w:color w:val="000000"/>
                <w:lang w:eastAsia="en-GB"/>
              </w:rPr>
            </w:pPr>
            <w:r w:rsidRPr="001917F5">
              <w:rPr>
                <w:b/>
                <w:bCs/>
                <w:color w:val="000000"/>
                <w:lang w:eastAsia="en-GB"/>
              </w:rPr>
              <w:t>2.50</w:t>
            </w:r>
          </w:p>
        </w:tc>
        <w:tc>
          <w:tcPr>
            <w:tcW w:w="566" w:type="dxa"/>
            <w:shd w:val="clear" w:color="auto" w:fill="auto"/>
            <w:noWrap/>
            <w:vAlign w:val="center"/>
            <w:hideMark/>
          </w:tcPr>
          <w:p w14:paraId="2F541C84" w14:textId="77777777" w:rsidR="00F661AE" w:rsidRPr="001917F5" w:rsidRDefault="00F661AE" w:rsidP="00F661AE">
            <w:pPr>
              <w:jc w:val="center"/>
              <w:rPr>
                <w:color w:val="000000"/>
                <w:lang w:eastAsia="en-GB"/>
              </w:rPr>
            </w:pPr>
            <w:r w:rsidRPr="001917F5">
              <w:rPr>
                <w:color w:val="000000"/>
                <w:lang w:eastAsia="en-GB"/>
              </w:rPr>
              <w:t>0.72</w:t>
            </w:r>
          </w:p>
        </w:tc>
      </w:tr>
      <w:tr w:rsidR="00F661AE" w:rsidRPr="001917F5" w14:paraId="3F47FC0E" w14:textId="77777777" w:rsidTr="00F661AE">
        <w:trPr>
          <w:trHeight w:val="255"/>
        </w:trPr>
        <w:tc>
          <w:tcPr>
            <w:tcW w:w="1283" w:type="dxa"/>
            <w:shd w:val="clear" w:color="auto" w:fill="auto"/>
            <w:noWrap/>
            <w:vAlign w:val="center"/>
            <w:hideMark/>
          </w:tcPr>
          <w:p w14:paraId="73FDB247" w14:textId="77777777" w:rsidR="00F661AE" w:rsidRPr="001917F5" w:rsidRDefault="00F661AE" w:rsidP="00F661AE">
            <w:pPr>
              <w:rPr>
                <w:color w:val="000000"/>
                <w:lang w:eastAsia="en-GB"/>
              </w:rPr>
            </w:pPr>
            <w:r w:rsidRPr="001917F5">
              <w:rPr>
                <w:color w:val="000000"/>
                <w:lang w:eastAsia="en-GB"/>
              </w:rPr>
              <w:t>Human</w:t>
            </w:r>
          </w:p>
        </w:tc>
        <w:tc>
          <w:tcPr>
            <w:tcW w:w="1605" w:type="dxa"/>
            <w:shd w:val="clear" w:color="auto" w:fill="auto"/>
            <w:noWrap/>
            <w:vAlign w:val="center"/>
            <w:hideMark/>
          </w:tcPr>
          <w:p w14:paraId="66AD3CC2" w14:textId="77777777" w:rsidR="00F661AE" w:rsidRPr="001917F5" w:rsidRDefault="00F661AE" w:rsidP="00F661AE">
            <w:pPr>
              <w:rPr>
                <w:color w:val="000000"/>
                <w:lang w:eastAsia="en-GB"/>
              </w:rPr>
            </w:pPr>
            <w:r w:rsidRPr="001917F5">
              <w:rPr>
                <w:bCs/>
                <w:color w:val="000000"/>
                <w:lang w:eastAsia="en-GB"/>
              </w:rPr>
              <w:t>Interpersonal skill</w:t>
            </w:r>
          </w:p>
        </w:tc>
        <w:tc>
          <w:tcPr>
            <w:tcW w:w="666" w:type="dxa"/>
            <w:shd w:val="clear" w:color="auto" w:fill="auto"/>
            <w:noWrap/>
            <w:vAlign w:val="center"/>
            <w:hideMark/>
          </w:tcPr>
          <w:p w14:paraId="1F00DF21" w14:textId="77777777" w:rsidR="00F661AE" w:rsidRPr="001917F5" w:rsidRDefault="00F661AE" w:rsidP="00F661AE">
            <w:pPr>
              <w:jc w:val="center"/>
              <w:rPr>
                <w:color w:val="000000"/>
                <w:lang w:eastAsia="en-GB"/>
              </w:rPr>
            </w:pPr>
            <w:r w:rsidRPr="001917F5">
              <w:rPr>
                <w:color w:val="000000"/>
                <w:lang w:eastAsia="en-GB"/>
              </w:rPr>
              <w:t>2.35</w:t>
            </w:r>
          </w:p>
        </w:tc>
        <w:tc>
          <w:tcPr>
            <w:tcW w:w="566" w:type="dxa"/>
            <w:shd w:val="clear" w:color="auto" w:fill="auto"/>
            <w:noWrap/>
            <w:vAlign w:val="center"/>
            <w:hideMark/>
          </w:tcPr>
          <w:p w14:paraId="7F7CCA1A" w14:textId="77777777" w:rsidR="00F661AE" w:rsidRPr="001917F5" w:rsidRDefault="00F661AE" w:rsidP="00F661AE">
            <w:pPr>
              <w:jc w:val="center"/>
              <w:rPr>
                <w:color w:val="000000"/>
                <w:lang w:eastAsia="en-GB"/>
              </w:rPr>
            </w:pPr>
            <w:r w:rsidRPr="001917F5">
              <w:rPr>
                <w:color w:val="000000"/>
                <w:lang w:eastAsia="en-GB"/>
              </w:rPr>
              <w:t>0.75</w:t>
            </w:r>
          </w:p>
        </w:tc>
        <w:tc>
          <w:tcPr>
            <w:tcW w:w="580" w:type="dxa"/>
            <w:shd w:val="clear" w:color="auto" w:fill="auto"/>
            <w:noWrap/>
            <w:vAlign w:val="center"/>
            <w:hideMark/>
          </w:tcPr>
          <w:p w14:paraId="716254D5" w14:textId="77777777" w:rsidR="00F661AE" w:rsidRPr="001917F5" w:rsidRDefault="00F661AE" w:rsidP="00F661AE">
            <w:pPr>
              <w:jc w:val="center"/>
              <w:rPr>
                <w:color w:val="000000"/>
                <w:lang w:eastAsia="en-GB"/>
              </w:rPr>
            </w:pPr>
            <w:r w:rsidRPr="001917F5">
              <w:rPr>
                <w:color w:val="000000"/>
                <w:lang w:eastAsia="en-GB"/>
              </w:rPr>
              <w:t>2.27</w:t>
            </w:r>
          </w:p>
        </w:tc>
        <w:tc>
          <w:tcPr>
            <w:tcW w:w="566" w:type="dxa"/>
            <w:shd w:val="clear" w:color="auto" w:fill="auto"/>
            <w:noWrap/>
            <w:vAlign w:val="center"/>
            <w:hideMark/>
          </w:tcPr>
          <w:p w14:paraId="645D664A" w14:textId="77777777" w:rsidR="00F661AE" w:rsidRPr="001917F5" w:rsidRDefault="00F661AE" w:rsidP="00F661AE">
            <w:pPr>
              <w:jc w:val="center"/>
              <w:rPr>
                <w:color w:val="000000"/>
                <w:lang w:eastAsia="en-GB"/>
              </w:rPr>
            </w:pPr>
            <w:r w:rsidRPr="001917F5">
              <w:rPr>
                <w:color w:val="000000"/>
                <w:lang w:eastAsia="en-GB"/>
              </w:rPr>
              <w:t>0.72</w:t>
            </w:r>
          </w:p>
        </w:tc>
        <w:tc>
          <w:tcPr>
            <w:tcW w:w="580" w:type="dxa"/>
            <w:shd w:val="clear" w:color="auto" w:fill="auto"/>
            <w:noWrap/>
            <w:vAlign w:val="center"/>
            <w:hideMark/>
          </w:tcPr>
          <w:p w14:paraId="6E2A08E9" w14:textId="77777777" w:rsidR="00F661AE" w:rsidRPr="001917F5" w:rsidRDefault="00F661AE" w:rsidP="00F661AE">
            <w:pPr>
              <w:jc w:val="center"/>
              <w:rPr>
                <w:color w:val="000000"/>
                <w:lang w:eastAsia="en-GB"/>
              </w:rPr>
            </w:pPr>
            <w:r w:rsidRPr="001917F5">
              <w:rPr>
                <w:color w:val="000000"/>
                <w:lang w:eastAsia="en-GB"/>
              </w:rPr>
              <w:t>2.31</w:t>
            </w:r>
          </w:p>
        </w:tc>
        <w:tc>
          <w:tcPr>
            <w:tcW w:w="566" w:type="dxa"/>
            <w:shd w:val="clear" w:color="auto" w:fill="auto"/>
            <w:noWrap/>
            <w:vAlign w:val="center"/>
            <w:hideMark/>
          </w:tcPr>
          <w:p w14:paraId="5DA4BF4A" w14:textId="77777777" w:rsidR="00F661AE" w:rsidRPr="001917F5" w:rsidRDefault="00F661AE" w:rsidP="00F661AE">
            <w:pPr>
              <w:jc w:val="center"/>
              <w:rPr>
                <w:color w:val="000000"/>
                <w:lang w:eastAsia="en-GB"/>
              </w:rPr>
            </w:pPr>
            <w:r w:rsidRPr="001917F5">
              <w:rPr>
                <w:color w:val="000000"/>
                <w:lang w:eastAsia="en-GB"/>
              </w:rPr>
              <w:t>0.62</w:t>
            </w:r>
          </w:p>
        </w:tc>
        <w:tc>
          <w:tcPr>
            <w:tcW w:w="580" w:type="dxa"/>
            <w:shd w:val="clear" w:color="auto" w:fill="auto"/>
            <w:noWrap/>
            <w:vAlign w:val="center"/>
            <w:hideMark/>
          </w:tcPr>
          <w:p w14:paraId="144B6269" w14:textId="77777777" w:rsidR="00F661AE" w:rsidRPr="001917F5" w:rsidRDefault="00F661AE" w:rsidP="00F661AE">
            <w:pPr>
              <w:jc w:val="center"/>
              <w:rPr>
                <w:b/>
                <w:bCs/>
                <w:color w:val="000000"/>
                <w:lang w:eastAsia="en-GB"/>
              </w:rPr>
            </w:pPr>
            <w:r w:rsidRPr="001917F5">
              <w:rPr>
                <w:b/>
                <w:bCs/>
                <w:color w:val="000000"/>
                <w:lang w:eastAsia="en-GB"/>
              </w:rPr>
              <w:t>2.50</w:t>
            </w:r>
          </w:p>
        </w:tc>
        <w:tc>
          <w:tcPr>
            <w:tcW w:w="566" w:type="dxa"/>
            <w:shd w:val="clear" w:color="auto" w:fill="auto"/>
            <w:noWrap/>
            <w:vAlign w:val="center"/>
            <w:hideMark/>
          </w:tcPr>
          <w:p w14:paraId="2B0B1888" w14:textId="77777777" w:rsidR="00F661AE" w:rsidRPr="001917F5" w:rsidRDefault="00F661AE" w:rsidP="00F661AE">
            <w:pPr>
              <w:jc w:val="center"/>
              <w:rPr>
                <w:color w:val="000000"/>
                <w:lang w:eastAsia="en-GB"/>
              </w:rPr>
            </w:pPr>
            <w:r w:rsidRPr="001917F5">
              <w:rPr>
                <w:color w:val="000000"/>
                <w:lang w:eastAsia="en-GB"/>
              </w:rPr>
              <w:t>0.71</w:t>
            </w:r>
          </w:p>
        </w:tc>
        <w:tc>
          <w:tcPr>
            <w:tcW w:w="580" w:type="dxa"/>
            <w:shd w:val="clear" w:color="auto" w:fill="auto"/>
            <w:noWrap/>
            <w:vAlign w:val="center"/>
            <w:hideMark/>
          </w:tcPr>
          <w:p w14:paraId="63B8F0B2" w14:textId="77777777" w:rsidR="00F661AE" w:rsidRPr="001917F5" w:rsidRDefault="00F661AE" w:rsidP="00F661AE">
            <w:pPr>
              <w:jc w:val="center"/>
              <w:rPr>
                <w:color w:val="000000"/>
                <w:lang w:eastAsia="en-GB"/>
              </w:rPr>
            </w:pPr>
            <w:r w:rsidRPr="001917F5">
              <w:rPr>
                <w:color w:val="000000"/>
                <w:lang w:eastAsia="en-GB"/>
              </w:rPr>
              <w:t>2.46</w:t>
            </w:r>
          </w:p>
        </w:tc>
        <w:tc>
          <w:tcPr>
            <w:tcW w:w="566" w:type="dxa"/>
            <w:shd w:val="clear" w:color="auto" w:fill="auto"/>
            <w:noWrap/>
            <w:vAlign w:val="center"/>
            <w:hideMark/>
          </w:tcPr>
          <w:p w14:paraId="48F6CDF5" w14:textId="77777777" w:rsidR="00F661AE" w:rsidRPr="001917F5" w:rsidRDefault="00F661AE" w:rsidP="00F661AE">
            <w:pPr>
              <w:jc w:val="center"/>
              <w:rPr>
                <w:color w:val="000000"/>
                <w:lang w:eastAsia="en-GB"/>
              </w:rPr>
            </w:pPr>
            <w:r w:rsidRPr="001917F5">
              <w:rPr>
                <w:color w:val="000000"/>
                <w:lang w:eastAsia="en-GB"/>
              </w:rPr>
              <w:t>0.71</w:t>
            </w:r>
          </w:p>
        </w:tc>
      </w:tr>
      <w:tr w:rsidR="00F661AE" w:rsidRPr="001917F5" w14:paraId="0A56F853" w14:textId="77777777" w:rsidTr="00F661AE">
        <w:trPr>
          <w:trHeight w:val="255"/>
        </w:trPr>
        <w:tc>
          <w:tcPr>
            <w:tcW w:w="1283" w:type="dxa"/>
            <w:shd w:val="clear" w:color="auto" w:fill="auto"/>
            <w:noWrap/>
            <w:vAlign w:val="center"/>
            <w:hideMark/>
          </w:tcPr>
          <w:p w14:paraId="479D8CF0" w14:textId="77777777" w:rsidR="00F661AE" w:rsidRPr="001917F5" w:rsidRDefault="00F661AE" w:rsidP="00F661AE">
            <w:pPr>
              <w:rPr>
                <w:color w:val="000000"/>
                <w:lang w:eastAsia="en-GB"/>
              </w:rPr>
            </w:pPr>
            <w:r w:rsidRPr="001917F5">
              <w:rPr>
                <w:color w:val="000000"/>
                <w:lang w:eastAsia="en-GB"/>
              </w:rPr>
              <w:t>Human</w:t>
            </w:r>
          </w:p>
        </w:tc>
        <w:tc>
          <w:tcPr>
            <w:tcW w:w="1605" w:type="dxa"/>
            <w:shd w:val="clear" w:color="auto" w:fill="auto"/>
            <w:noWrap/>
            <w:vAlign w:val="center"/>
            <w:hideMark/>
          </w:tcPr>
          <w:p w14:paraId="0234A397" w14:textId="77777777" w:rsidR="00F661AE" w:rsidRPr="001917F5" w:rsidRDefault="00F661AE" w:rsidP="00F661AE">
            <w:pPr>
              <w:rPr>
                <w:color w:val="000000"/>
                <w:lang w:eastAsia="en-GB"/>
              </w:rPr>
            </w:pPr>
            <w:r w:rsidRPr="001917F5">
              <w:rPr>
                <w:bCs/>
                <w:color w:val="000000"/>
                <w:lang w:eastAsia="en-GB"/>
              </w:rPr>
              <w:t>Transformational leadership</w:t>
            </w:r>
          </w:p>
        </w:tc>
        <w:tc>
          <w:tcPr>
            <w:tcW w:w="666" w:type="dxa"/>
            <w:shd w:val="clear" w:color="auto" w:fill="auto"/>
            <w:noWrap/>
            <w:vAlign w:val="center"/>
            <w:hideMark/>
          </w:tcPr>
          <w:p w14:paraId="38748783"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697F7426" w14:textId="77777777" w:rsidR="00F661AE" w:rsidRPr="001917F5" w:rsidRDefault="00F661AE" w:rsidP="00F661AE">
            <w:pPr>
              <w:jc w:val="center"/>
              <w:rPr>
                <w:color w:val="000000"/>
                <w:lang w:eastAsia="en-GB"/>
              </w:rPr>
            </w:pPr>
            <w:r w:rsidRPr="001917F5">
              <w:rPr>
                <w:color w:val="000000"/>
                <w:lang w:eastAsia="en-GB"/>
              </w:rPr>
              <w:t>0.64</w:t>
            </w:r>
          </w:p>
        </w:tc>
        <w:tc>
          <w:tcPr>
            <w:tcW w:w="580" w:type="dxa"/>
            <w:shd w:val="clear" w:color="auto" w:fill="auto"/>
            <w:noWrap/>
            <w:vAlign w:val="center"/>
            <w:hideMark/>
          </w:tcPr>
          <w:p w14:paraId="5997B231"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2B9BDA38" w14:textId="77777777" w:rsidR="00F661AE" w:rsidRPr="001917F5" w:rsidRDefault="00F661AE" w:rsidP="00F661AE">
            <w:pPr>
              <w:jc w:val="center"/>
              <w:rPr>
                <w:color w:val="000000"/>
                <w:lang w:eastAsia="en-GB"/>
              </w:rPr>
            </w:pPr>
            <w:r w:rsidRPr="001917F5">
              <w:rPr>
                <w:color w:val="000000"/>
                <w:lang w:eastAsia="en-GB"/>
              </w:rPr>
              <w:t>0.64</w:t>
            </w:r>
          </w:p>
        </w:tc>
        <w:tc>
          <w:tcPr>
            <w:tcW w:w="580" w:type="dxa"/>
            <w:shd w:val="clear" w:color="auto" w:fill="auto"/>
            <w:noWrap/>
            <w:vAlign w:val="center"/>
            <w:hideMark/>
          </w:tcPr>
          <w:p w14:paraId="150F56B6" w14:textId="77777777" w:rsidR="00F661AE" w:rsidRPr="001917F5" w:rsidRDefault="00F661AE" w:rsidP="00F661AE">
            <w:pPr>
              <w:jc w:val="center"/>
              <w:rPr>
                <w:b/>
                <w:bCs/>
                <w:color w:val="000000"/>
                <w:lang w:eastAsia="en-GB"/>
              </w:rPr>
            </w:pPr>
            <w:r w:rsidRPr="001917F5">
              <w:rPr>
                <w:b/>
                <w:bCs/>
                <w:color w:val="000000"/>
                <w:lang w:eastAsia="en-GB"/>
              </w:rPr>
              <w:t>2.62</w:t>
            </w:r>
          </w:p>
        </w:tc>
        <w:tc>
          <w:tcPr>
            <w:tcW w:w="566" w:type="dxa"/>
            <w:shd w:val="clear" w:color="auto" w:fill="auto"/>
            <w:noWrap/>
            <w:vAlign w:val="center"/>
            <w:hideMark/>
          </w:tcPr>
          <w:p w14:paraId="087E38B8" w14:textId="77777777" w:rsidR="00F661AE" w:rsidRPr="001917F5" w:rsidRDefault="00F661AE" w:rsidP="00F661AE">
            <w:pPr>
              <w:jc w:val="center"/>
              <w:rPr>
                <w:color w:val="000000"/>
                <w:lang w:eastAsia="en-GB"/>
              </w:rPr>
            </w:pPr>
            <w:r w:rsidRPr="001917F5">
              <w:rPr>
                <w:color w:val="000000"/>
                <w:lang w:eastAsia="en-GB"/>
              </w:rPr>
              <w:t>0.50</w:t>
            </w:r>
          </w:p>
        </w:tc>
        <w:tc>
          <w:tcPr>
            <w:tcW w:w="580" w:type="dxa"/>
            <w:shd w:val="clear" w:color="auto" w:fill="auto"/>
            <w:noWrap/>
            <w:vAlign w:val="center"/>
            <w:hideMark/>
          </w:tcPr>
          <w:p w14:paraId="6D52B1F3" w14:textId="77777777" w:rsidR="00F661AE" w:rsidRPr="001917F5" w:rsidRDefault="00F661AE" w:rsidP="00F661AE">
            <w:pPr>
              <w:jc w:val="center"/>
              <w:rPr>
                <w:b/>
                <w:bCs/>
                <w:color w:val="000000"/>
                <w:lang w:eastAsia="en-GB"/>
              </w:rPr>
            </w:pPr>
            <w:r w:rsidRPr="001917F5">
              <w:rPr>
                <w:b/>
                <w:bCs/>
                <w:color w:val="000000"/>
                <w:lang w:eastAsia="en-GB"/>
              </w:rPr>
              <w:t>2.73</w:t>
            </w:r>
          </w:p>
        </w:tc>
        <w:tc>
          <w:tcPr>
            <w:tcW w:w="566" w:type="dxa"/>
            <w:shd w:val="clear" w:color="auto" w:fill="auto"/>
            <w:noWrap/>
            <w:vAlign w:val="center"/>
            <w:hideMark/>
          </w:tcPr>
          <w:p w14:paraId="18819F95" w14:textId="77777777" w:rsidR="00F661AE" w:rsidRPr="001917F5" w:rsidRDefault="00F661AE" w:rsidP="00F661AE">
            <w:pPr>
              <w:jc w:val="center"/>
              <w:rPr>
                <w:color w:val="000000"/>
                <w:lang w:eastAsia="en-GB"/>
              </w:rPr>
            </w:pPr>
            <w:r w:rsidRPr="001917F5">
              <w:rPr>
                <w:color w:val="000000"/>
                <w:lang w:eastAsia="en-GB"/>
              </w:rPr>
              <w:t>0.45</w:t>
            </w:r>
          </w:p>
        </w:tc>
        <w:tc>
          <w:tcPr>
            <w:tcW w:w="580" w:type="dxa"/>
            <w:shd w:val="clear" w:color="auto" w:fill="auto"/>
            <w:noWrap/>
            <w:vAlign w:val="center"/>
            <w:hideMark/>
          </w:tcPr>
          <w:p w14:paraId="3FD3C49C" w14:textId="77777777" w:rsidR="00F661AE" w:rsidRPr="001917F5" w:rsidRDefault="00F661AE" w:rsidP="00F661AE">
            <w:pPr>
              <w:jc w:val="center"/>
              <w:rPr>
                <w:b/>
                <w:bCs/>
                <w:color w:val="000000"/>
                <w:lang w:eastAsia="en-GB"/>
              </w:rPr>
            </w:pPr>
            <w:r w:rsidRPr="001917F5">
              <w:rPr>
                <w:b/>
                <w:bCs/>
                <w:color w:val="000000"/>
                <w:lang w:eastAsia="en-GB"/>
              </w:rPr>
              <w:t>2.54</w:t>
            </w:r>
          </w:p>
        </w:tc>
        <w:tc>
          <w:tcPr>
            <w:tcW w:w="566" w:type="dxa"/>
            <w:shd w:val="clear" w:color="auto" w:fill="auto"/>
            <w:noWrap/>
            <w:vAlign w:val="center"/>
            <w:hideMark/>
          </w:tcPr>
          <w:p w14:paraId="3A2A7854" w14:textId="77777777" w:rsidR="00F661AE" w:rsidRPr="001917F5" w:rsidRDefault="00F661AE" w:rsidP="00F661AE">
            <w:pPr>
              <w:jc w:val="center"/>
              <w:rPr>
                <w:color w:val="000000"/>
                <w:lang w:eastAsia="en-GB"/>
              </w:rPr>
            </w:pPr>
            <w:r w:rsidRPr="001917F5">
              <w:rPr>
                <w:color w:val="000000"/>
                <w:lang w:eastAsia="en-GB"/>
              </w:rPr>
              <w:t>0.65</w:t>
            </w:r>
          </w:p>
        </w:tc>
      </w:tr>
      <w:tr w:rsidR="00F661AE" w:rsidRPr="001917F5" w14:paraId="68759F43" w14:textId="77777777" w:rsidTr="00F661AE">
        <w:trPr>
          <w:trHeight w:val="255"/>
        </w:trPr>
        <w:tc>
          <w:tcPr>
            <w:tcW w:w="1283" w:type="dxa"/>
            <w:shd w:val="clear" w:color="auto" w:fill="auto"/>
            <w:noWrap/>
            <w:vAlign w:val="center"/>
            <w:hideMark/>
          </w:tcPr>
          <w:p w14:paraId="45813868" w14:textId="77777777" w:rsidR="00F661AE" w:rsidRPr="001917F5" w:rsidRDefault="00F661AE" w:rsidP="00F661AE">
            <w:pPr>
              <w:rPr>
                <w:color w:val="000000"/>
                <w:lang w:eastAsia="en-GB"/>
              </w:rPr>
            </w:pPr>
            <w:r w:rsidRPr="001917F5">
              <w:rPr>
                <w:bCs/>
                <w:color w:val="000000"/>
                <w:lang w:eastAsia="en-GB"/>
              </w:rPr>
              <w:t>Political</w:t>
            </w:r>
          </w:p>
        </w:tc>
        <w:tc>
          <w:tcPr>
            <w:tcW w:w="1605" w:type="dxa"/>
            <w:shd w:val="clear" w:color="auto" w:fill="auto"/>
            <w:noWrap/>
            <w:vAlign w:val="center"/>
            <w:hideMark/>
          </w:tcPr>
          <w:p w14:paraId="095DC6BA" w14:textId="77777777" w:rsidR="00F661AE" w:rsidRPr="001917F5" w:rsidRDefault="00F661AE" w:rsidP="00F661AE">
            <w:pPr>
              <w:rPr>
                <w:color w:val="000000"/>
                <w:lang w:eastAsia="en-GB"/>
              </w:rPr>
            </w:pPr>
            <w:r w:rsidRPr="001917F5">
              <w:rPr>
                <w:bCs/>
                <w:color w:val="000000"/>
                <w:lang w:eastAsia="en-GB"/>
              </w:rPr>
              <w:t>Social astuteness</w:t>
            </w:r>
          </w:p>
        </w:tc>
        <w:tc>
          <w:tcPr>
            <w:tcW w:w="666" w:type="dxa"/>
            <w:shd w:val="clear" w:color="auto" w:fill="auto"/>
            <w:noWrap/>
            <w:vAlign w:val="center"/>
            <w:hideMark/>
          </w:tcPr>
          <w:p w14:paraId="6D9D71FC" w14:textId="77777777" w:rsidR="00F661AE" w:rsidRPr="001917F5" w:rsidRDefault="00F661AE" w:rsidP="00F661AE">
            <w:pPr>
              <w:jc w:val="center"/>
              <w:rPr>
                <w:color w:val="000000"/>
                <w:lang w:eastAsia="en-GB"/>
              </w:rPr>
            </w:pPr>
            <w:r w:rsidRPr="001917F5">
              <w:rPr>
                <w:color w:val="000000"/>
                <w:lang w:eastAsia="en-GB"/>
              </w:rPr>
              <w:t>2.15</w:t>
            </w:r>
          </w:p>
        </w:tc>
        <w:tc>
          <w:tcPr>
            <w:tcW w:w="566" w:type="dxa"/>
            <w:shd w:val="clear" w:color="auto" w:fill="auto"/>
            <w:noWrap/>
            <w:vAlign w:val="center"/>
            <w:hideMark/>
          </w:tcPr>
          <w:p w14:paraId="4C2AB506" w14:textId="77777777" w:rsidR="00F661AE" w:rsidRPr="001917F5" w:rsidRDefault="00F661AE" w:rsidP="00F661AE">
            <w:pPr>
              <w:jc w:val="center"/>
              <w:rPr>
                <w:color w:val="000000"/>
                <w:lang w:eastAsia="en-GB"/>
              </w:rPr>
            </w:pPr>
            <w:r w:rsidRPr="001917F5">
              <w:rPr>
                <w:color w:val="000000"/>
                <w:lang w:eastAsia="en-GB"/>
              </w:rPr>
              <w:t>0.78</w:t>
            </w:r>
          </w:p>
        </w:tc>
        <w:tc>
          <w:tcPr>
            <w:tcW w:w="580" w:type="dxa"/>
            <w:shd w:val="clear" w:color="auto" w:fill="auto"/>
            <w:noWrap/>
            <w:vAlign w:val="center"/>
            <w:hideMark/>
          </w:tcPr>
          <w:p w14:paraId="1D6F975A" w14:textId="77777777" w:rsidR="00F661AE" w:rsidRPr="001917F5" w:rsidRDefault="00F661AE" w:rsidP="00F661AE">
            <w:pPr>
              <w:jc w:val="center"/>
              <w:rPr>
                <w:color w:val="000000"/>
                <w:lang w:eastAsia="en-GB"/>
              </w:rPr>
            </w:pPr>
            <w:r w:rsidRPr="001917F5">
              <w:rPr>
                <w:color w:val="000000"/>
                <w:lang w:eastAsia="en-GB"/>
              </w:rPr>
              <w:t>2.23</w:t>
            </w:r>
          </w:p>
        </w:tc>
        <w:tc>
          <w:tcPr>
            <w:tcW w:w="566" w:type="dxa"/>
            <w:shd w:val="clear" w:color="auto" w:fill="auto"/>
            <w:noWrap/>
            <w:vAlign w:val="center"/>
            <w:hideMark/>
          </w:tcPr>
          <w:p w14:paraId="5D0E07F3" w14:textId="77777777" w:rsidR="00F661AE" w:rsidRPr="001917F5" w:rsidRDefault="00F661AE" w:rsidP="00F661AE">
            <w:pPr>
              <w:jc w:val="center"/>
              <w:rPr>
                <w:color w:val="000000"/>
                <w:lang w:eastAsia="en-GB"/>
              </w:rPr>
            </w:pPr>
            <w:r w:rsidRPr="001917F5">
              <w:rPr>
                <w:color w:val="000000"/>
                <w:lang w:eastAsia="en-GB"/>
              </w:rPr>
              <w:t>0.71</w:t>
            </w:r>
          </w:p>
        </w:tc>
        <w:tc>
          <w:tcPr>
            <w:tcW w:w="580" w:type="dxa"/>
            <w:shd w:val="clear" w:color="auto" w:fill="auto"/>
            <w:noWrap/>
            <w:vAlign w:val="center"/>
            <w:hideMark/>
          </w:tcPr>
          <w:p w14:paraId="7E53CE37" w14:textId="77777777" w:rsidR="00F661AE" w:rsidRPr="001917F5" w:rsidRDefault="00F661AE" w:rsidP="00F661AE">
            <w:pPr>
              <w:jc w:val="center"/>
              <w:rPr>
                <w:color w:val="000000"/>
                <w:lang w:eastAsia="en-GB"/>
              </w:rPr>
            </w:pPr>
            <w:r w:rsidRPr="001917F5">
              <w:rPr>
                <w:color w:val="000000"/>
                <w:lang w:eastAsia="en-GB"/>
              </w:rPr>
              <w:t>2.31</w:t>
            </w:r>
          </w:p>
        </w:tc>
        <w:tc>
          <w:tcPr>
            <w:tcW w:w="566" w:type="dxa"/>
            <w:shd w:val="clear" w:color="auto" w:fill="auto"/>
            <w:noWrap/>
            <w:vAlign w:val="center"/>
            <w:hideMark/>
          </w:tcPr>
          <w:p w14:paraId="701B051F" w14:textId="77777777" w:rsidR="00F661AE" w:rsidRPr="001917F5" w:rsidRDefault="00F661AE" w:rsidP="00F661AE">
            <w:pPr>
              <w:jc w:val="center"/>
              <w:rPr>
                <w:color w:val="000000"/>
                <w:lang w:eastAsia="en-GB"/>
              </w:rPr>
            </w:pPr>
            <w:r w:rsidRPr="001917F5">
              <w:rPr>
                <w:color w:val="000000"/>
                <w:lang w:eastAsia="en-GB"/>
              </w:rPr>
              <w:t>0.74</w:t>
            </w:r>
          </w:p>
        </w:tc>
        <w:tc>
          <w:tcPr>
            <w:tcW w:w="580" w:type="dxa"/>
            <w:shd w:val="clear" w:color="auto" w:fill="auto"/>
            <w:noWrap/>
            <w:vAlign w:val="center"/>
            <w:hideMark/>
          </w:tcPr>
          <w:p w14:paraId="57A05AE4" w14:textId="77777777" w:rsidR="00F661AE" w:rsidRPr="001917F5" w:rsidRDefault="00F661AE" w:rsidP="00F661AE">
            <w:pPr>
              <w:jc w:val="center"/>
              <w:rPr>
                <w:color w:val="000000"/>
                <w:lang w:eastAsia="en-GB"/>
              </w:rPr>
            </w:pPr>
            <w:r w:rsidRPr="001917F5">
              <w:rPr>
                <w:color w:val="000000"/>
                <w:lang w:eastAsia="en-GB"/>
              </w:rPr>
              <w:t>2.38</w:t>
            </w:r>
          </w:p>
        </w:tc>
        <w:tc>
          <w:tcPr>
            <w:tcW w:w="566" w:type="dxa"/>
            <w:shd w:val="clear" w:color="auto" w:fill="auto"/>
            <w:noWrap/>
            <w:vAlign w:val="center"/>
            <w:hideMark/>
          </w:tcPr>
          <w:p w14:paraId="3DCBB492" w14:textId="77777777" w:rsidR="00F661AE" w:rsidRPr="001917F5" w:rsidRDefault="00F661AE" w:rsidP="00F661AE">
            <w:pPr>
              <w:jc w:val="center"/>
              <w:rPr>
                <w:color w:val="000000"/>
                <w:lang w:eastAsia="en-GB"/>
              </w:rPr>
            </w:pPr>
            <w:r w:rsidRPr="001917F5">
              <w:rPr>
                <w:color w:val="000000"/>
                <w:lang w:eastAsia="en-GB"/>
              </w:rPr>
              <w:t>0.70</w:t>
            </w:r>
          </w:p>
        </w:tc>
        <w:tc>
          <w:tcPr>
            <w:tcW w:w="580" w:type="dxa"/>
            <w:shd w:val="clear" w:color="auto" w:fill="auto"/>
            <w:noWrap/>
            <w:vAlign w:val="center"/>
            <w:hideMark/>
          </w:tcPr>
          <w:p w14:paraId="4ADB136A" w14:textId="77777777" w:rsidR="00F661AE" w:rsidRPr="001917F5" w:rsidRDefault="00F661AE" w:rsidP="00F661AE">
            <w:pPr>
              <w:jc w:val="center"/>
              <w:rPr>
                <w:color w:val="000000"/>
                <w:lang w:eastAsia="en-GB"/>
              </w:rPr>
            </w:pPr>
            <w:r w:rsidRPr="001917F5">
              <w:rPr>
                <w:color w:val="000000"/>
                <w:lang w:eastAsia="en-GB"/>
              </w:rPr>
              <w:t>2.27</w:t>
            </w:r>
          </w:p>
        </w:tc>
        <w:tc>
          <w:tcPr>
            <w:tcW w:w="566" w:type="dxa"/>
            <w:shd w:val="clear" w:color="auto" w:fill="auto"/>
            <w:noWrap/>
            <w:vAlign w:val="center"/>
            <w:hideMark/>
          </w:tcPr>
          <w:p w14:paraId="5184A332" w14:textId="77777777" w:rsidR="00F661AE" w:rsidRPr="001917F5" w:rsidRDefault="00F661AE" w:rsidP="00F661AE">
            <w:pPr>
              <w:jc w:val="center"/>
              <w:rPr>
                <w:color w:val="000000"/>
                <w:lang w:eastAsia="en-GB"/>
              </w:rPr>
            </w:pPr>
            <w:r w:rsidRPr="001917F5">
              <w:rPr>
                <w:color w:val="000000"/>
                <w:lang w:eastAsia="en-GB"/>
              </w:rPr>
              <w:t>0.78</w:t>
            </w:r>
          </w:p>
        </w:tc>
      </w:tr>
      <w:tr w:rsidR="00F661AE" w:rsidRPr="001917F5" w14:paraId="1EA03523" w14:textId="77777777" w:rsidTr="00F661AE">
        <w:trPr>
          <w:trHeight w:val="255"/>
        </w:trPr>
        <w:tc>
          <w:tcPr>
            <w:tcW w:w="1283" w:type="dxa"/>
            <w:shd w:val="clear" w:color="auto" w:fill="auto"/>
            <w:noWrap/>
            <w:vAlign w:val="center"/>
            <w:hideMark/>
          </w:tcPr>
          <w:p w14:paraId="036BAEFA" w14:textId="77777777" w:rsidR="00F661AE" w:rsidRPr="001917F5" w:rsidRDefault="00F661AE" w:rsidP="00F661AE">
            <w:pPr>
              <w:rPr>
                <w:color w:val="000000"/>
                <w:lang w:eastAsia="en-GB"/>
              </w:rPr>
            </w:pPr>
            <w:r w:rsidRPr="001917F5">
              <w:rPr>
                <w:color w:val="000000"/>
                <w:lang w:eastAsia="en-GB"/>
              </w:rPr>
              <w:t>Political</w:t>
            </w:r>
          </w:p>
        </w:tc>
        <w:tc>
          <w:tcPr>
            <w:tcW w:w="1605" w:type="dxa"/>
            <w:shd w:val="clear" w:color="auto" w:fill="auto"/>
            <w:noWrap/>
            <w:vAlign w:val="center"/>
            <w:hideMark/>
          </w:tcPr>
          <w:p w14:paraId="552453EF" w14:textId="77777777" w:rsidR="00F661AE" w:rsidRPr="001917F5" w:rsidRDefault="00F661AE" w:rsidP="00F661AE">
            <w:pPr>
              <w:rPr>
                <w:color w:val="000000"/>
                <w:lang w:eastAsia="en-GB"/>
              </w:rPr>
            </w:pPr>
            <w:r w:rsidRPr="001917F5">
              <w:rPr>
                <w:bCs/>
                <w:color w:val="000000"/>
                <w:lang w:eastAsia="en-GB"/>
              </w:rPr>
              <w:t>Interpersonal influence</w:t>
            </w:r>
          </w:p>
        </w:tc>
        <w:tc>
          <w:tcPr>
            <w:tcW w:w="666" w:type="dxa"/>
            <w:shd w:val="clear" w:color="auto" w:fill="auto"/>
            <w:noWrap/>
            <w:vAlign w:val="center"/>
            <w:hideMark/>
          </w:tcPr>
          <w:p w14:paraId="6DB4CA9E" w14:textId="77777777" w:rsidR="00F661AE" w:rsidRPr="001917F5" w:rsidRDefault="00F661AE" w:rsidP="00F661AE">
            <w:pPr>
              <w:jc w:val="center"/>
              <w:rPr>
                <w:color w:val="000000"/>
                <w:lang w:eastAsia="en-GB"/>
              </w:rPr>
            </w:pPr>
            <w:r w:rsidRPr="001917F5">
              <w:rPr>
                <w:color w:val="000000"/>
                <w:lang w:eastAsia="en-GB"/>
              </w:rPr>
              <w:t>2.31</w:t>
            </w:r>
          </w:p>
        </w:tc>
        <w:tc>
          <w:tcPr>
            <w:tcW w:w="566" w:type="dxa"/>
            <w:shd w:val="clear" w:color="auto" w:fill="auto"/>
            <w:noWrap/>
            <w:vAlign w:val="center"/>
            <w:hideMark/>
          </w:tcPr>
          <w:p w14:paraId="4BCE0496" w14:textId="77777777" w:rsidR="00F661AE" w:rsidRPr="001917F5" w:rsidRDefault="00F661AE" w:rsidP="00F661AE">
            <w:pPr>
              <w:jc w:val="center"/>
              <w:rPr>
                <w:color w:val="000000"/>
                <w:lang w:eastAsia="en-GB"/>
              </w:rPr>
            </w:pPr>
            <w:r w:rsidRPr="001917F5">
              <w:rPr>
                <w:color w:val="000000"/>
                <w:lang w:eastAsia="en-GB"/>
              </w:rPr>
              <w:t>0.62</w:t>
            </w:r>
          </w:p>
        </w:tc>
        <w:tc>
          <w:tcPr>
            <w:tcW w:w="580" w:type="dxa"/>
            <w:shd w:val="clear" w:color="auto" w:fill="auto"/>
            <w:noWrap/>
            <w:vAlign w:val="center"/>
            <w:hideMark/>
          </w:tcPr>
          <w:p w14:paraId="3992CBA1" w14:textId="77777777" w:rsidR="00F661AE" w:rsidRPr="001917F5" w:rsidRDefault="00F661AE" w:rsidP="00F661AE">
            <w:pPr>
              <w:jc w:val="center"/>
              <w:rPr>
                <w:color w:val="000000"/>
                <w:lang w:eastAsia="en-GB"/>
              </w:rPr>
            </w:pPr>
            <w:r w:rsidRPr="001917F5">
              <w:rPr>
                <w:color w:val="000000"/>
                <w:lang w:eastAsia="en-GB"/>
              </w:rPr>
              <w:t>2.46</w:t>
            </w:r>
          </w:p>
        </w:tc>
        <w:tc>
          <w:tcPr>
            <w:tcW w:w="566" w:type="dxa"/>
            <w:shd w:val="clear" w:color="auto" w:fill="auto"/>
            <w:noWrap/>
            <w:vAlign w:val="center"/>
            <w:hideMark/>
          </w:tcPr>
          <w:p w14:paraId="4F9AB0DC" w14:textId="77777777" w:rsidR="00F661AE" w:rsidRPr="001917F5" w:rsidRDefault="00F661AE" w:rsidP="00F661AE">
            <w:pPr>
              <w:jc w:val="center"/>
              <w:rPr>
                <w:color w:val="000000"/>
                <w:lang w:eastAsia="en-GB"/>
              </w:rPr>
            </w:pPr>
            <w:r w:rsidRPr="001917F5">
              <w:rPr>
                <w:color w:val="000000"/>
                <w:lang w:eastAsia="en-GB"/>
              </w:rPr>
              <w:t>0.51</w:t>
            </w:r>
          </w:p>
        </w:tc>
        <w:tc>
          <w:tcPr>
            <w:tcW w:w="580" w:type="dxa"/>
            <w:shd w:val="clear" w:color="auto" w:fill="auto"/>
            <w:noWrap/>
            <w:vAlign w:val="center"/>
            <w:hideMark/>
          </w:tcPr>
          <w:p w14:paraId="7C7FCBCC"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4DBA562E" w14:textId="77777777" w:rsidR="00F661AE" w:rsidRPr="001917F5" w:rsidRDefault="00F661AE" w:rsidP="00F661AE">
            <w:pPr>
              <w:jc w:val="center"/>
              <w:rPr>
                <w:color w:val="000000"/>
                <w:lang w:eastAsia="en-GB"/>
              </w:rPr>
            </w:pPr>
            <w:r w:rsidRPr="001917F5">
              <w:rPr>
                <w:color w:val="000000"/>
                <w:lang w:eastAsia="en-GB"/>
              </w:rPr>
              <w:t>0.58</w:t>
            </w:r>
          </w:p>
        </w:tc>
        <w:tc>
          <w:tcPr>
            <w:tcW w:w="580" w:type="dxa"/>
            <w:shd w:val="clear" w:color="auto" w:fill="auto"/>
            <w:noWrap/>
            <w:vAlign w:val="center"/>
            <w:hideMark/>
          </w:tcPr>
          <w:p w14:paraId="00891355" w14:textId="77777777" w:rsidR="00F661AE" w:rsidRPr="001917F5" w:rsidRDefault="00F661AE" w:rsidP="00F661AE">
            <w:pPr>
              <w:jc w:val="center"/>
              <w:rPr>
                <w:b/>
                <w:bCs/>
                <w:color w:val="000000"/>
                <w:lang w:eastAsia="en-GB"/>
              </w:rPr>
            </w:pPr>
            <w:r w:rsidRPr="001917F5">
              <w:rPr>
                <w:b/>
                <w:bCs/>
                <w:color w:val="000000"/>
                <w:lang w:eastAsia="en-GB"/>
              </w:rPr>
              <w:t>2.62</w:t>
            </w:r>
          </w:p>
        </w:tc>
        <w:tc>
          <w:tcPr>
            <w:tcW w:w="566" w:type="dxa"/>
            <w:shd w:val="clear" w:color="auto" w:fill="auto"/>
            <w:noWrap/>
            <w:vAlign w:val="center"/>
            <w:hideMark/>
          </w:tcPr>
          <w:p w14:paraId="25B75795" w14:textId="77777777" w:rsidR="00F661AE" w:rsidRPr="001917F5" w:rsidRDefault="00F661AE" w:rsidP="00F661AE">
            <w:pPr>
              <w:jc w:val="center"/>
              <w:rPr>
                <w:color w:val="000000"/>
                <w:lang w:eastAsia="en-GB"/>
              </w:rPr>
            </w:pPr>
            <w:r w:rsidRPr="001917F5">
              <w:rPr>
                <w:color w:val="000000"/>
                <w:lang w:eastAsia="en-GB"/>
              </w:rPr>
              <w:t>0.50</w:t>
            </w:r>
          </w:p>
        </w:tc>
        <w:tc>
          <w:tcPr>
            <w:tcW w:w="580" w:type="dxa"/>
            <w:shd w:val="clear" w:color="auto" w:fill="auto"/>
            <w:noWrap/>
            <w:vAlign w:val="center"/>
            <w:hideMark/>
          </w:tcPr>
          <w:p w14:paraId="05A7AF59"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0CFE9B80" w14:textId="77777777" w:rsidR="00F661AE" w:rsidRPr="001917F5" w:rsidRDefault="00F661AE" w:rsidP="00F661AE">
            <w:pPr>
              <w:jc w:val="center"/>
              <w:rPr>
                <w:color w:val="000000"/>
                <w:lang w:eastAsia="en-GB"/>
              </w:rPr>
            </w:pPr>
            <w:r w:rsidRPr="001917F5">
              <w:rPr>
                <w:color w:val="000000"/>
                <w:lang w:eastAsia="en-GB"/>
              </w:rPr>
              <w:t>0.58</w:t>
            </w:r>
          </w:p>
        </w:tc>
      </w:tr>
      <w:tr w:rsidR="00F661AE" w:rsidRPr="001917F5" w14:paraId="7F1F4CCF" w14:textId="77777777" w:rsidTr="00F661AE">
        <w:trPr>
          <w:trHeight w:val="255"/>
        </w:trPr>
        <w:tc>
          <w:tcPr>
            <w:tcW w:w="1283" w:type="dxa"/>
            <w:shd w:val="clear" w:color="auto" w:fill="auto"/>
            <w:noWrap/>
            <w:vAlign w:val="center"/>
            <w:hideMark/>
          </w:tcPr>
          <w:p w14:paraId="03234152" w14:textId="77777777" w:rsidR="00F661AE" w:rsidRPr="001917F5" w:rsidRDefault="00F661AE" w:rsidP="00F661AE">
            <w:pPr>
              <w:rPr>
                <w:color w:val="000000"/>
                <w:lang w:eastAsia="en-GB"/>
              </w:rPr>
            </w:pPr>
            <w:r w:rsidRPr="001917F5">
              <w:rPr>
                <w:color w:val="000000"/>
                <w:lang w:eastAsia="en-GB"/>
              </w:rPr>
              <w:t>Political</w:t>
            </w:r>
          </w:p>
        </w:tc>
        <w:tc>
          <w:tcPr>
            <w:tcW w:w="1605" w:type="dxa"/>
            <w:shd w:val="clear" w:color="auto" w:fill="auto"/>
            <w:noWrap/>
            <w:vAlign w:val="center"/>
            <w:hideMark/>
          </w:tcPr>
          <w:p w14:paraId="7A8D8817" w14:textId="77777777" w:rsidR="00F661AE" w:rsidRPr="001917F5" w:rsidRDefault="00F661AE" w:rsidP="00F661AE">
            <w:pPr>
              <w:rPr>
                <w:color w:val="000000"/>
                <w:lang w:eastAsia="en-GB"/>
              </w:rPr>
            </w:pPr>
            <w:r w:rsidRPr="001917F5">
              <w:rPr>
                <w:bCs/>
                <w:color w:val="000000"/>
                <w:lang w:eastAsia="en-GB"/>
              </w:rPr>
              <w:t>Networking ability</w:t>
            </w:r>
          </w:p>
        </w:tc>
        <w:tc>
          <w:tcPr>
            <w:tcW w:w="666" w:type="dxa"/>
            <w:shd w:val="clear" w:color="auto" w:fill="auto"/>
            <w:noWrap/>
            <w:vAlign w:val="center"/>
            <w:hideMark/>
          </w:tcPr>
          <w:p w14:paraId="22AAE3BE" w14:textId="77777777" w:rsidR="00F661AE" w:rsidRPr="001917F5" w:rsidRDefault="00F661AE" w:rsidP="00F661AE">
            <w:pPr>
              <w:jc w:val="center"/>
              <w:rPr>
                <w:color w:val="000000"/>
                <w:lang w:eastAsia="en-GB"/>
              </w:rPr>
            </w:pPr>
            <w:r w:rsidRPr="001917F5">
              <w:rPr>
                <w:color w:val="000000"/>
                <w:lang w:eastAsia="en-GB"/>
              </w:rPr>
              <w:t>2.35</w:t>
            </w:r>
          </w:p>
        </w:tc>
        <w:tc>
          <w:tcPr>
            <w:tcW w:w="566" w:type="dxa"/>
            <w:shd w:val="clear" w:color="auto" w:fill="auto"/>
            <w:noWrap/>
            <w:vAlign w:val="center"/>
            <w:hideMark/>
          </w:tcPr>
          <w:p w14:paraId="10EFA8E6" w14:textId="77777777" w:rsidR="00F661AE" w:rsidRPr="001917F5" w:rsidRDefault="00F661AE" w:rsidP="00F661AE">
            <w:pPr>
              <w:jc w:val="center"/>
              <w:rPr>
                <w:color w:val="000000"/>
                <w:lang w:eastAsia="en-GB"/>
              </w:rPr>
            </w:pPr>
            <w:r w:rsidRPr="001917F5">
              <w:rPr>
                <w:color w:val="000000"/>
                <w:lang w:eastAsia="en-GB"/>
              </w:rPr>
              <w:t>0.56</w:t>
            </w:r>
          </w:p>
        </w:tc>
        <w:tc>
          <w:tcPr>
            <w:tcW w:w="580" w:type="dxa"/>
            <w:shd w:val="clear" w:color="auto" w:fill="auto"/>
            <w:noWrap/>
            <w:vAlign w:val="center"/>
            <w:hideMark/>
          </w:tcPr>
          <w:p w14:paraId="552F2DDC" w14:textId="77777777" w:rsidR="00F661AE" w:rsidRPr="001917F5" w:rsidRDefault="00F661AE" w:rsidP="00F661AE">
            <w:pPr>
              <w:jc w:val="center"/>
              <w:rPr>
                <w:color w:val="000000"/>
                <w:lang w:eastAsia="en-GB"/>
              </w:rPr>
            </w:pPr>
            <w:r w:rsidRPr="001917F5">
              <w:rPr>
                <w:color w:val="000000"/>
                <w:lang w:eastAsia="en-GB"/>
              </w:rPr>
              <w:t>2.38</w:t>
            </w:r>
          </w:p>
        </w:tc>
        <w:tc>
          <w:tcPr>
            <w:tcW w:w="566" w:type="dxa"/>
            <w:shd w:val="clear" w:color="auto" w:fill="auto"/>
            <w:noWrap/>
            <w:vAlign w:val="center"/>
            <w:hideMark/>
          </w:tcPr>
          <w:p w14:paraId="0DFF3481" w14:textId="77777777" w:rsidR="00F661AE" w:rsidRPr="001917F5" w:rsidRDefault="00F661AE" w:rsidP="00F661AE">
            <w:pPr>
              <w:jc w:val="center"/>
              <w:rPr>
                <w:color w:val="000000"/>
                <w:lang w:eastAsia="en-GB"/>
              </w:rPr>
            </w:pPr>
            <w:r w:rsidRPr="001917F5">
              <w:rPr>
                <w:color w:val="000000"/>
                <w:lang w:eastAsia="en-GB"/>
              </w:rPr>
              <w:t>0.64</w:t>
            </w:r>
          </w:p>
        </w:tc>
        <w:tc>
          <w:tcPr>
            <w:tcW w:w="580" w:type="dxa"/>
            <w:shd w:val="clear" w:color="auto" w:fill="auto"/>
            <w:noWrap/>
            <w:vAlign w:val="center"/>
            <w:hideMark/>
          </w:tcPr>
          <w:p w14:paraId="128DFBB4"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6BFDDCC3" w14:textId="77777777" w:rsidR="00F661AE" w:rsidRPr="001917F5" w:rsidRDefault="00F661AE" w:rsidP="00F661AE">
            <w:pPr>
              <w:jc w:val="center"/>
              <w:rPr>
                <w:color w:val="000000"/>
                <w:lang w:eastAsia="en-GB"/>
              </w:rPr>
            </w:pPr>
            <w:r w:rsidRPr="001917F5">
              <w:rPr>
                <w:color w:val="000000"/>
                <w:lang w:eastAsia="en-GB"/>
              </w:rPr>
              <w:t>0.58</w:t>
            </w:r>
          </w:p>
        </w:tc>
        <w:tc>
          <w:tcPr>
            <w:tcW w:w="580" w:type="dxa"/>
            <w:shd w:val="clear" w:color="auto" w:fill="auto"/>
            <w:noWrap/>
            <w:vAlign w:val="center"/>
            <w:hideMark/>
          </w:tcPr>
          <w:p w14:paraId="050B23C6"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17680B05" w14:textId="77777777" w:rsidR="00F661AE" w:rsidRPr="001917F5" w:rsidRDefault="00F661AE" w:rsidP="00F661AE">
            <w:pPr>
              <w:jc w:val="center"/>
              <w:rPr>
                <w:color w:val="000000"/>
                <w:lang w:eastAsia="en-GB"/>
              </w:rPr>
            </w:pPr>
            <w:r w:rsidRPr="001917F5">
              <w:rPr>
                <w:color w:val="000000"/>
                <w:lang w:eastAsia="en-GB"/>
              </w:rPr>
              <w:t>0.58</w:t>
            </w:r>
          </w:p>
        </w:tc>
        <w:tc>
          <w:tcPr>
            <w:tcW w:w="580" w:type="dxa"/>
            <w:shd w:val="clear" w:color="auto" w:fill="auto"/>
            <w:noWrap/>
            <w:vAlign w:val="center"/>
            <w:hideMark/>
          </w:tcPr>
          <w:p w14:paraId="0D7B791D"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54E20D26" w14:textId="77777777" w:rsidR="00F661AE" w:rsidRPr="001917F5" w:rsidRDefault="00F661AE" w:rsidP="00F661AE">
            <w:pPr>
              <w:jc w:val="center"/>
              <w:rPr>
                <w:color w:val="000000"/>
                <w:lang w:eastAsia="en-GB"/>
              </w:rPr>
            </w:pPr>
            <w:r w:rsidRPr="001917F5">
              <w:rPr>
                <w:color w:val="000000"/>
                <w:lang w:eastAsia="en-GB"/>
              </w:rPr>
              <w:t>0.58</w:t>
            </w:r>
          </w:p>
        </w:tc>
      </w:tr>
      <w:tr w:rsidR="00F661AE" w:rsidRPr="001917F5" w14:paraId="2F8079FB" w14:textId="77777777" w:rsidTr="00F661AE">
        <w:trPr>
          <w:trHeight w:val="255"/>
        </w:trPr>
        <w:tc>
          <w:tcPr>
            <w:tcW w:w="1283" w:type="dxa"/>
            <w:shd w:val="clear" w:color="auto" w:fill="auto"/>
            <w:noWrap/>
            <w:vAlign w:val="center"/>
            <w:hideMark/>
          </w:tcPr>
          <w:p w14:paraId="6ED29184" w14:textId="77777777" w:rsidR="00F661AE" w:rsidRPr="001917F5" w:rsidRDefault="00F661AE" w:rsidP="00F661AE">
            <w:pPr>
              <w:rPr>
                <w:color w:val="000000"/>
                <w:lang w:eastAsia="en-GB"/>
              </w:rPr>
            </w:pPr>
            <w:r w:rsidRPr="001917F5">
              <w:rPr>
                <w:color w:val="000000"/>
                <w:lang w:eastAsia="en-GB"/>
              </w:rPr>
              <w:t>Political</w:t>
            </w:r>
          </w:p>
        </w:tc>
        <w:tc>
          <w:tcPr>
            <w:tcW w:w="1605" w:type="dxa"/>
            <w:shd w:val="clear" w:color="auto" w:fill="auto"/>
            <w:noWrap/>
            <w:vAlign w:val="center"/>
            <w:hideMark/>
          </w:tcPr>
          <w:p w14:paraId="1F255996" w14:textId="77777777" w:rsidR="00F661AE" w:rsidRPr="001917F5" w:rsidRDefault="00F661AE" w:rsidP="00F661AE">
            <w:pPr>
              <w:rPr>
                <w:color w:val="000000"/>
                <w:lang w:eastAsia="en-GB"/>
              </w:rPr>
            </w:pPr>
            <w:r w:rsidRPr="001917F5">
              <w:rPr>
                <w:bCs/>
                <w:color w:val="000000"/>
                <w:lang w:eastAsia="en-GB"/>
              </w:rPr>
              <w:t>Apparent sincerity</w:t>
            </w:r>
          </w:p>
        </w:tc>
        <w:tc>
          <w:tcPr>
            <w:tcW w:w="666" w:type="dxa"/>
            <w:shd w:val="clear" w:color="auto" w:fill="auto"/>
            <w:noWrap/>
            <w:vAlign w:val="center"/>
            <w:hideMark/>
          </w:tcPr>
          <w:p w14:paraId="76EA80DE"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1D5EB964" w14:textId="77777777" w:rsidR="00F661AE" w:rsidRPr="001917F5" w:rsidRDefault="00F661AE" w:rsidP="00F661AE">
            <w:pPr>
              <w:jc w:val="center"/>
              <w:rPr>
                <w:color w:val="000000"/>
                <w:lang w:eastAsia="en-GB"/>
              </w:rPr>
            </w:pPr>
            <w:r w:rsidRPr="001917F5">
              <w:rPr>
                <w:color w:val="000000"/>
                <w:lang w:eastAsia="en-GB"/>
              </w:rPr>
              <w:t>0.70</w:t>
            </w:r>
          </w:p>
        </w:tc>
        <w:tc>
          <w:tcPr>
            <w:tcW w:w="580" w:type="dxa"/>
            <w:shd w:val="clear" w:color="auto" w:fill="auto"/>
            <w:noWrap/>
            <w:vAlign w:val="center"/>
            <w:hideMark/>
          </w:tcPr>
          <w:p w14:paraId="55FAE4CE" w14:textId="77777777" w:rsidR="00F661AE" w:rsidRPr="001917F5" w:rsidRDefault="00F661AE" w:rsidP="00F661AE">
            <w:pPr>
              <w:jc w:val="center"/>
              <w:rPr>
                <w:color w:val="000000"/>
                <w:lang w:eastAsia="en-GB"/>
              </w:rPr>
            </w:pPr>
            <w:r w:rsidRPr="001917F5">
              <w:rPr>
                <w:color w:val="000000"/>
                <w:lang w:eastAsia="en-GB"/>
              </w:rPr>
              <w:t>2.27</w:t>
            </w:r>
          </w:p>
        </w:tc>
        <w:tc>
          <w:tcPr>
            <w:tcW w:w="566" w:type="dxa"/>
            <w:shd w:val="clear" w:color="auto" w:fill="auto"/>
            <w:noWrap/>
            <w:vAlign w:val="center"/>
            <w:hideMark/>
          </w:tcPr>
          <w:p w14:paraId="15288483" w14:textId="77777777" w:rsidR="00F661AE" w:rsidRPr="001917F5" w:rsidRDefault="00F661AE" w:rsidP="00F661AE">
            <w:pPr>
              <w:jc w:val="center"/>
              <w:rPr>
                <w:color w:val="000000"/>
                <w:lang w:eastAsia="en-GB"/>
              </w:rPr>
            </w:pPr>
            <w:r w:rsidRPr="001917F5">
              <w:rPr>
                <w:color w:val="000000"/>
                <w:lang w:eastAsia="en-GB"/>
              </w:rPr>
              <w:t>0.60</w:t>
            </w:r>
          </w:p>
        </w:tc>
        <w:tc>
          <w:tcPr>
            <w:tcW w:w="580" w:type="dxa"/>
            <w:shd w:val="clear" w:color="auto" w:fill="auto"/>
            <w:noWrap/>
            <w:vAlign w:val="center"/>
            <w:hideMark/>
          </w:tcPr>
          <w:p w14:paraId="4E70489E" w14:textId="77777777" w:rsidR="00F661AE" w:rsidRPr="001917F5" w:rsidRDefault="00F661AE" w:rsidP="00F661AE">
            <w:pPr>
              <w:jc w:val="center"/>
              <w:rPr>
                <w:color w:val="000000"/>
                <w:lang w:eastAsia="en-GB"/>
              </w:rPr>
            </w:pPr>
            <w:r w:rsidRPr="001917F5">
              <w:rPr>
                <w:color w:val="000000"/>
                <w:lang w:eastAsia="en-GB"/>
              </w:rPr>
              <w:t>2.48</w:t>
            </w:r>
          </w:p>
        </w:tc>
        <w:tc>
          <w:tcPr>
            <w:tcW w:w="566" w:type="dxa"/>
            <w:shd w:val="clear" w:color="auto" w:fill="auto"/>
            <w:noWrap/>
            <w:vAlign w:val="center"/>
            <w:hideMark/>
          </w:tcPr>
          <w:p w14:paraId="449EA3A0" w14:textId="77777777" w:rsidR="00F661AE" w:rsidRPr="001917F5" w:rsidRDefault="00F661AE" w:rsidP="00F661AE">
            <w:pPr>
              <w:jc w:val="center"/>
              <w:rPr>
                <w:color w:val="000000"/>
                <w:lang w:eastAsia="en-GB"/>
              </w:rPr>
            </w:pPr>
            <w:r w:rsidRPr="001917F5">
              <w:rPr>
                <w:color w:val="000000"/>
                <w:lang w:eastAsia="en-GB"/>
              </w:rPr>
              <w:t>0.59</w:t>
            </w:r>
          </w:p>
        </w:tc>
        <w:tc>
          <w:tcPr>
            <w:tcW w:w="580" w:type="dxa"/>
            <w:shd w:val="clear" w:color="auto" w:fill="auto"/>
            <w:noWrap/>
            <w:vAlign w:val="center"/>
            <w:hideMark/>
          </w:tcPr>
          <w:p w14:paraId="14F7FCE1" w14:textId="77777777" w:rsidR="00F661AE" w:rsidRPr="001917F5" w:rsidRDefault="00F661AE" w:rsidP="00F661AE">
            <w:pPr>
              <w:jc w:val="center"/>
              <w:rPr>
                <w:b/>
                <w:bCs/>
                <w:color w:val="000000"/>
                <w:lang w:eastAsia="en-GB"/>
              </w:rPr>
            </w:pPr>
            <w:r w:rsidRPr="001917F5">
              <w:rPr>
                <w:b/>
                <w:bCs/>
                <w:color w:val="000000"/>
                <w:lang w:eastAsia="en-GB"/>
              </w:rPr>
              <w:t>2.65</w:t>
            </w:r>
          </w:p>
        </w:tc>
        <w:tc>
          <w:tcPr>
            <w:tcW w:w="566" w:type="dxa"/>
            <w:shd w:val="clear" w:color="auto" w:fill="auto"/>
            <w:noWrap/>
            <w:vAlign w:val="center"/>
            <w:hideMark/>
          </w:tcPr>
          <w:p w14:paraId="08AD0FB8" w14:textId="77777777" w:rsidR="00F661AE" w:rsidRPr="001917F5" w:rsidRDefault="00F661AE" w:rsidP="00F661AE">
            <w:pPr>
              <w:jc w:val="center"/>
              <w:rPr>
                <w:color w:val="000000"/>
                <w:lang w:eastAsia="en-GB"/>
              </w:rPr>
            </w:pPr>
            <w:r w:rsidRPr="001917F5">
              <w:rPr>
                <w:color w:val="000000"/>
                <w:lang w:eastAsia="en-GB"/>
              </w:rPr>
              <w:t>0.63</w:t>
            </w:r>
          </w:p>
        </w:tc>
        <w:tc>
          <w:tcPr>
            <w:tcW w:w="580" w:type="dxa"/>
            <w:shd w:val="clear" w:color="auto" w:fill="auto"/>
            <w:noWrap/>
            <w:vAlign w:val="center"/>
            <w:hideMark/>
          </w:tcPr>
          <w:p w14:paraId="7240C05C" w14:textId="77777777" w:rsidR="00F661AE" w:rsidRPr="001917F5" w:rsidRDefault="00F661AE" w:rsidP="00F661AE">
            <w:pPr>
              <w:jc w:val="center"/>
              <w:rPr>
                <w:color w:val="000000"/>
                <w:lang w:eastAsia="en-GB"/>
              </w:rPr>
            </w:pPr>
            <w:r w:rsidRPr="001917F5">
              <w:rPr>
                <w:color w:val="000000"/>
                <w:lang w:eastAsia="en-GB"/>
              </w:rPr>
              <w:t>2.46</w:t>
            </w:r>
          </w:p>
        </w:tc>
        <w:tc>
          <w:tcPr>
            <w:tcW w:w="566" w:type="dxa"/>
            <w:shd w:val="clear" w:color="auto" w:fill="auto"/>
            <w:noWrap/>
            <w:vAlign w:val="center"/>
            <w:hideMark/>
          </w:tcPr>
          <w:p w14:paraId="3920844E" w14:textId="77777777" w:rsidR="00F661AE" w:rsidRPr="001917F5" w:rsidRDefault="00F661AE" w:rsidP="00F661AE">
            <w:pPr>
              <w:jc w:val="center"/>
              <w:rPr>
                <w:color w:val="000000"/>
                <w:lang w:eastAsia="en-GB"/>
              </w:rPr>
            </w:pPr>
            <w:r w:rsidRPr="001917F5">
              <w:rPr>
                <w:color w:val="000000"/>
                <w:lang w:eastAsia="en-GB"/>
              </w:rPr>
              <w:t>0.71</w:t>
            </w:r>
          </w:p>
        </w:tc>
      </w:tr>
      <w:tr w:rsidR="00F661AE" w:rsidRPr="001917F5" w14:paraId="2D6DB127" w14:textId="77777777" w:rsidTr="00F661AE">
        <w:trPr>
          <w:trHeight w:val="255"/>
        </w:trPr>
        <w:tc>
          <w:tcPr>
            <w:tcW w:w="1283" w:type="dxa"/>
            <w:shd w:val="clear" w:color="auto" w:fill="auto"/>
            <w:noWrap/>
            <w:vAlign w:val="center"/>
            <w:hideMark/>
          </w:tcPr>
          <w:p w14:paraId="6ED45D42" w14:textId="77777777" w:rsidR="00F661AE" w:rsidRPr="001917F5" w:rsidRDefault="00F661AE" w:rsidP="00F661AE">
            <w:pPr>
              <w:rPr>
                <w:color w:val="000000"/>
                <w:lang w:eastAsia="en-GB"/>
              </w:rPr>
            </w:pPr>
            <w:r w:rsidRPr="001917F5">
              <w:rPr>
                <w:bCs/>
                <w:color w:val="000000"/>
                <w:lang w:eastAsia="en-GB"/>
              </w:rPr>
              <w:lastRenderedPageBreak/>
              <w:t>Technical</w:t>
            </w:r>
          </w:p>
        </w:tc>
        <w:tc>
          <w:tcPr>
            <w:tcW w:w="1605" w:type="dxa"/>
            <w:shd w:val="clear" w:color="auto" w:fill="auto"/>
            <w:noWrap/>
            <w:vAlign w:val="center"/>
            <w:hideMark/>
          </w:tcPr>
          <w:p w14:paraId="640AAD54" w14:textId="77777777" w:rsidR="00F661AE" w:rsidRPr="001917F5" w:rsidRDefault="00F661AE" w:rsidP="00F661AE">
            <w:pPr>
              <w:rPr>
                <w:color w:val="000000"/>
                <w:lang w:eastAsia="en-GB"/>
              </w:rPr>
            </w:pPr>
            <w:r w:rsidRPr="001917F5">
              <w:rPr>
                <w:bCs/>
                <w:color w:val="000000"/>
                <w:lang w:eastAsia="en-GB"/>
              </w:rPr>
              <w:t>Scheduling</w:t>
            </w:r>
          </w:p>
        </w:tc>
        <w:tc>
          <w:tcPr>
            <w:tcW w:w="666" w:type="dxa"/>
            <w:shd w:val="clear" w:color="auto" w:fill="auto"/>
            <w:noWrap/>
            <w:vAlign w:val="center"/>
            <w:hideMark/>
          </w:tcPr>
          <w:p w14:paraId="08A84F34" w14:textId="77777777" w:rsidR="00F661AE" w:rsidRPr="001917F5" w:rsidRDefault="00F661AE" w:rsidP="00F661AE">
            <w:pPr>
              <w:jc w:val="center"/>
              <w:rPr>
                <w:b/>
                <w:bCs/>
                <w:color w:val="000000"/>
                <w:lang w:eastAsia="en-GB"/>
              </w:rPr>
            </w:pPr>
            <w:r w:rsidRPr="001917F5">
              <w:rPr>
                <w:b/>
                <w:bCs/>
                <w:color w:val="000000"/>
                <w:lang w:eastAsia="en-GB"/>
              </w:rPr>
              <w:t>2.65</w:t>
            </w:r>
          </w:p>
        </w:tc>
        <w:tc>
          <w:tcPr>
            <w:tcW w:w="566" w:type="dxa"/>
            <w:shd w:val="clear" w:color="auto" w:fill="auto"/>
            <w:noWrap/>
            <w:vAlign w:val="center"/>
            <w:hideMark/>
          </w:tcPr>
          <w:p w14:paraId="3BF32FA5" w14:textId="77777777" w:rsidR="00F661AE" w:rsidRPr="001917F5" w:rsidRDefault="00F661AE" w:rsidP="00F661AE">
            <w:pPr>
              <w:jc w:val="center"/>
              <w:rPr>
                <w:color w:val="000000"/>
                <w:lang w:eastAsia="en-GB"/>
              </w:rPr>
            </w:pPr>
            <w:r w:rsidRPr="001917F5">
              <w:rPr>
                <w:color w:val="000000"/>
                <w:lang w:eastAsia="en-GB"/>
              </w:rPr>
              <w:t>0.56</w:t>
            </w:r>
          </w:p>
        </w:tc>
        <w:tc>
          <w:tcPr>
            <w:tcW w:w="580" w:type="dxa"/>
            <w:shd w:val="clear" w:color="auto" w:fill="auto"/>
            <w:noWrap/>
            <w:vAlign w:val="center"/>
            <w:hideMark/>
          </w:tcPr>
          <w:p w14:paraId="7B7797CB" w14:textId="77777777" w:rsidR="00F661AE" w:rsidRPr="001917F5" w:rsidRDefault="00F661AE" w:rsidP="00F661AE">
            <w:pPr>
              <w:jc w:val="center"/>
              <w:rPr>
                <w:color w:val="000000"/>
                <w:lang w:eastAsia="en-GB"/>
              </w:rPr>
            </w:pPr>
            <w:r w:rsidRPr="001917F5">
              <w:rPr>
                <w:color w:val="000000"/>
                <w:lang w:eastAsia="en-GB"/>
              </w:rPr>
              <w:t>2.32</w:t>
            </w:r>
          </w:p>
        </w:tc>
        <w:tc>
          <w:tcPr>
            <w:tcW w:w="566" w:type="dxa"/>
            <w:shd w:val="clear" w:color="auto" w:fill="auto"/>
            <w:noWrap/>
            <w:vAlign w:val="center"/>
            <w:hideMark/>
          </w:tcPr>
          <w:p w14:paraId="36073232" w14:textId="77777777" w:rsidR="00F661AE" w:rsidRPr="001917F5" w:rsidRDefault="00F661AE" w:rsidP="00F661AE">
            <w:pPr>
              <w:jc w:val="center"/>
              <w:rPr>
                <w:color w:val="000000"/>
                <w:lang w:eastAsia="en-GB"/>
              </w:rPr>
            </w:pPr>
            <w:r w:rsidRPr="001917F5">
              <w:rPr>
                <w:color w:val="000000"/>
                <w:lang w:eastAsia="en-GB"/>
              </w:rPr>
              <w:t>0.63</w:t>
            </w:r>
          </w:p>
        </w:tc>
        <w:tc>
          <w:tcPr>
            <w:tcW w:w="580" w:type="dxa"/>
            <w:shd w:val="clear" w:color="auto" w:fill="auto"/>
            <w:noWrap/>
            <w:vAlign w:val="center"/>
            <w:hideMark/>
          </w:tcPr>
          <w:p w14:paraId="4D1D6DEC" w14:textId="77777777" w:rsidR="00F661AE" w:rsidRPr="001917F5" w:rsidRDefault="00F661AE" w:rsidP="00F661AE">
            <w:pPr>
              <w:jc w:val="center"/>
              <w:rPr>
                <w:b/>
                <w:bCs/>
                <w:color w:val="000000"/>
                <w:lang w:eastAsia="en-GB"/>
              </w:rPr>
            </w:pPr>
            <w:r w:rsidRPr="001917F5">
              <w:rPr>
                <w:b/>
                <w:bCs/>
                <w:color w:val="000000"/>
                <w:lang w:eastAsia="en-GB"/>
              </w:rPr>
              <w:t>2.58</w:t>
            </w:r>
          </w:p>
        </w:tc>
        <w:tc>
          <w:tcPr>
            <w:tcW w:w="566" w:type="dxa"/>
            <w:shd w:val="clear" w:color="auto" w:fill="auto"/>
            <w:noWrap/>
            <w:vAlign w:val="center"/>
            <w:hideMark/>
          </w:tcPr>
          <w:p w14:paraId="7D0ED4B1" w14:textId="77777777" w:rsidR="00F661AE" w:rsidRPr="001917F5" w:rsidRDefault="00F661AE" w:rsidP="00F661AE">
            <w:pPr>
              <w:jc w:val="center"/>
              <w:rPr>
                <w:color w:val="000000"/>
                <w:lang w:eastAsia="en-GB"/>
              </w:rPr>
            </w:pPr>
            <w:r w:rsidRPr="001917F5">
              <w:rPr>
                <w:color w:val="000000"/>
                <w:lang w:eastAsia="en-GB"/>
              </w:rPr>
              <w:t>0.58</w:t>
            </w:r>
          </w:p>
        </w:tc>
        <w:tc>
          <w:tcPr>
            <w:tcW w:w="580" w:type="dxa"/>
            <w:shd w:val="clear" w:color="auto" w:fill="auto"/>
            <w:noWrap/>
            <w:vAlign w:val="center"/>
            <w:hideMark/>
          </w:tcPr>
          <w:p w14:paraId="3D0281F6" w14:textId="77777777" w:rsidR="00F661AE" w:rsidRPr="001917F5" w:rsidRDefault="00F661AE" w:rsidP="00F661AE">
            <w:pPr>
              <w:jc w:val="center"/>
              <w:rPr>
                <w:b/>
                <w:bCs/>
                <w:color w:val="000000"/>
                <w:lang w:eastAsia="en-GB"/>
              </w:rPr>
            </w:pPr>
            <w:r w:rsidRPr="001917F5">
              <w:rPr>
                <w:b/>
                <w:bCs/>
                <w:color w:val="000000"/>
                <w:lang w:eastAsia="en-GB"/>
              </w:rPr>
              <w:t>2.62</w:t>
            </w:r>
          </w:p>
        </w:tc>
        <w:tc>
          <w:tcPr>
            <w:tcW w:w="566" w:type="dxa"/>
            <w:shd w:val="clear" w:color="auto" w:fill="auto"/>
            <w:noWrap/>
            <w:vAlign w:val="center"/>
            <w:hideMark/>
          </w:tcPr>
          <w:p w14:paraId="2440975B" w14:textId="77777777" w:rsidR="00F661AE" w:rsidRPr="001917F5" w:rsidRDefault="00F661AE" w:rsidP="00F661AE">
            <w:pPr>
              <w:jc w:val="center"/>
              <w:rPr>
                <w:color w:val="000000"/>
                <w:lang w:eastAsia="en-GB"/>
              </w:rPr>
            </w:pPr>
            <w:r w:rsidRPr="001917F5">
              <w:rPr>
                <w:color w:val="000000"/>
                <w:lang w:eastAsia="en-GB"/>
              </w:rPr>
              <w:t>0.70</w:t>
            </w:r>
          </w:p>
        </w:tc>
        <w:tc>
          <w:tcPr>
            <w:tcW w:w="580" w:type="dxa"/>
            <w:shd w:val="clear" w:color="auto" w:fill="auto"/>
            <w:noWrap/>
            <w:vAlign w:val="center"/>
            <w:hideMark/>
          </w:tcPr>
          <w:p w14:paraId="5CFB417E" w14:textId="77777777" w:rsidR="00F661AE" w:rsidRPr="001917F5" w:rsidRDefault="00F661AE" w:rsidP="00F661AE">
            <w:pPr>
              <w:jc w:val="center"/>
              <w:rPr>
                <w:b/>
                <w:bCs/>
                <w:color w:val="000000"/>
                <w:lang w:eastAsia="en-GB"/>
              </w:rPr>
            </w:pPr>
            <w:r w:rsidRPr="001917F5">
              <w:rPr>
                <w:b/>
                <w:bCs/>
                <w:color w:val="000000"/>
                <w:lang w:eastAsia="en-GB"/>
              </w:rPr>
              <w:t>2.62</w:t>
            </w:r>
          </w:p>
        </w:tc>
        <w:tc>
          <w:tcPr>
            <w:tcW w:w="566" w:type="dxa"/>
            <w:shd w:val="clear" w:color="auto" w:fill="auto"/>
            <w:noWrap/>
            <w:vAlign w:val="center"/>
            <w:hideMark/>
          </w:tcPr>
          <w:p w14:paraId="2E0C6AE5" w14:textId="77777777" w:rsidR="00F661AE" w:rsidRPr="001917F5" w:rsidRDefault="00F661AE" w:rsidP="00F661AE">
            <w:pPr>
              <w:jc w:val="center"/>
              <w:rPr>
                <w:color w:val="000000"/>
                <w:lang w:eastAsia="en-GB"/>
              </w:rPr>
            </w:pPr>
            <w:r w:rsidRPr="001917F5">
              <w:rPr>
                <w:color w:val="000000"/>
                <w:lang w:eastAsia="en-GB"/>
              </w:rPr>
              <w:t>0.57</w:t>
            </w:r>
          </w:p>
        </w:tc>
      </w:tr>
      <w:tr w:rsidR="00F661AE" w:rsidRPr="001917F5" w14:paraId="296EE99B" w14:textId="77777777" w:rsidTr="00F661AE">
        <w:trPr>
          <w:trHeight w:val="255"/>
        </w:trPr>
        <w:tc>
          <w:tcPr>
            <w:tcW w:w="1283" w:type="dxa"/>
            <w:shd w:val="clear" w:color="auto" w:fill="auto"/>
            <w:noWrap/>
            <w:vAlign w:val="center"/>
            <w:hideMark/>
          </w:tcPr>
          <w:p w14:paraId="6431F677" w14:textId="77777777" w:rsidR="00F661AE" w:rsidRPr="001917F5" w:rsidRDefault="00F661AE" w:rsidP="00F661AE">
            <w:pPr>
              <w:rPr>
                <w:color w:val="000000"/>
                <w:lang w:eastAsia="en-GB"/>
              </w:rPr>
            </w:pPr>
            <w:r w:rsidRPr="001917F5">
              <w:rPr>
                <w:color w:val="000000"/>
                <w:lang w:eastAsia="en-GB"/>
              </w:rPr>
              <w:t>Technical</w:t>
            </w:r>
          </w:p>
        </w:tc>
        <w:tc>
          <w:tcPr>
            <w:tcW w:w="1605" w:type="dxa"/>
            <w:shd w:val="clear" w:color="auto" w:fill="auto"/>
            <w:noWrap/>
            <w:vAlign w:val="center"/>
            <w:hideMark/>
          </w:tcPr>
          <w:p w14:paraId="6BC91024" w14:textId="77777777" w:rsidR="00F661AE" w:rsidRPr="001917F5" w:rsidRDefault="00F661AE" w:rsidP="00F661AE">
            <w:pPr>
              <w:rPr>
                <w:color w:val="000000"/>
                <w:lang w:eastAsia="en-GB"/>
              </w:rPr>
            </w:pPr>
            <w:r w:rsidRPr="001917F5">
              <w:rPr>
                <w:bCs/>
                <w:color w:val="000000"/>
                <w:lang w:eastAsia="en-GB"/>
              </w:rPr>
              <w:t>Budgeting</w:t>
            </w:r>
          </w:p>
        </w:tc>
        <w:tc>
          <w:tcPr>
            <w:tcW w:w="666" w:type="dxa"/>
            <w:shd w:val="clear" w:color="auto" w:fill="auto"/>
            <w:noWrap/>
            <w:vAlign w:val="center"/>
            <w:hideMark/>
          </w:tcPr>
          <w:p w14:paraId="1B7D17E9" w14:textId="77777777" w:rsidR="00F661AE" w:rsidRPr="001917F5" w:rsidRDefault="00F661AE" w:rsidP="00F661AE">
            <w:pPr>
              <w:jc w:val="center"/>
              <w:rPr>
                <w:b/>
                <w:bCs/>
                <w:color w:val="000000"/>
                <w:lang w:eastAsia="en-GB"/>
              </w:rPr>
            </w:pPr>
            <w:r w:rsidRPr="001917F5">
              <w:rPr>
                <w:b/>
                <w:bCs/>
                <w:color w:val="000000"/>
                <w:lang w:eastAsia="en-GB"/>
              </w:rPr>
              <w:t>2.54</w:t>
            </w:r>
          </w:p>
        </w:tc>
        <w:tc>
          <w:tcPr>
            <w:tcW w:w="566" w:type="dxa"/>
            <w:shd w:val="clear" w:color="auto" w:fill="auto"/>
            <w:noWrap/>
            <w:vAlign w:val="center"/>
            <w:hideMark/>
          </w:tcPr>
          <w:p w14:paraId="290B0F9A" w14:textId="77777777" w:rsidR="00F661AE" w:rsidRPr="001917F5" w:rsidRDefault="00F661AE" w:rsidP="00F661AE">
            <w:pPr>
              <w:jc w:val="center"/>
              <w:rPr>
                <w:color w:val="000000"/>
                <w:lang w:eastAsia="en-GB"/>
              </w:rPr>
            </w:pPr>
            <w:r w:rsidRPr="001917F5">
              <w:rPr>
                <w:color w:val="000000"/>
                <w:lang w:eastAsia="en-GB"/>
              </w:rPr>
              <w:t>0.65</w:t>
            </w:r>
          </w:p>
        </w:tc>
        <w:tc>
          <w:tcPr>
            <w:tcW w:w="580" w:type="dxa"/>
            <w:shd w:val="clear" w:color="auto" w:fill="auto"/>
            <w:noWrap/>
            <w:vAlign w:val="center"/>
            <w:hideMark/>
          </w:tcPr>
          <w:p w14:paraId="28624523" w14:textId="77777777" w:rsidR="00F661AE" w:rsidRPr="001917F5" w:rsidRDefault="00F661AE" w:rsidP="00F661AE">
            <w:pPr>
              <w:jc w:val="center"/>
              <w:rPr>
                <w:color w:val="000000"/>
                <w:lang w:eastAsia="en-GB"/>
              </w:rPr>
            </w:pPr>
            <w:r w:rsidRPr="001917F5">
              <w:rPr>
                <w:color w:val="000000"/>
                <w:lang w:eastAsia="en-GB"/>
              </w:rPr>
              <w:t>2.19</w:t>
            </w:r>
          </w:p>
        </w:tc>
        <w:tc>
          <w:tcPr>
            <w:tcW w:w="566" w:type="dxa"/>
            <w:shd w:val="clear" w:color="auto" w:fill="auto"/>
            <w:noWrap/>
            <w:vAlign w:val="center"/>
            <w:hideMark/>
          </w:tcPr>
          <w:p w14:paraId="5D032069" w14:textId="77777777" w:rsidR="00F661AE" w:rsidRPr="001917F5" w:rsidRDefault="00F661AE" w:rsidP="00F661AE">
            <w:pPr>
              <w:jc w:val="center"/>
              <w:rPr>
                <w:color w:val="000000"/>
                <w:lang w:eastAsia="en-GB"/>
              </w:rPr>
            </w:pPr>
            <w:r w:rsidRPr="001917F5">
              <w:rPr>
                <w:color w:val="000000"/>
                <w:lang w:eastAsia="en-GB"/>
              </w:rPr>
              <w:t>0.63</w:t>
            </w:r>
          </w:p>
        </w:tc>
        <w:tc>
          <w:tcPr>
            <w:tcW w:w="580" w:type="dxa"/>
            <w:shd w:val="clear" w:color="auto" w:fill="auto"/>
            <w:noWrap/>
            <w:vAlign w:val="center"/>
            <w:hideMark/>
          </w:tcPr>
          <w:p w14:paraId="5BFF4E09" w14:textId="77777777" w:rsidR="00F661AE" w:rsidRPr="001917F5" w:rsidRDefault="00F661AE" w:rsidP="00F661AE">
            <w:pPr>
              <w:jc w:val="center"/>
              <w:rPr>
                <w:color w:val="000000"/>
                <w:lang w:eastAsia="en-GB"/>
              </w:rPr>
            </w:pPr>
            <w:r w:rsidRPr="001917F5">
              <w:rPr>
                <w:color w:val="000000"/>
                <w:lang w:eastAsia="en-GB"/>
              </w:rPr>
              <w:t>2.38</w:t>
            </w:r>
          </w:p>
        </w:tc>
        <w:tc>
          <w:tcPr>
            <w:tcW w:w="566" w:type="dxa"/>
            <w:shd w:val="clear" w:color="auto" w:fill="auto"/>
            <w:noWrap/>
            <w:vAlign w:val="center"/>
            <w:hideMark/>
          </w:tcPr>
          <w:p w14:paraId="6C618CB4" w14:textId="77777777" w:rsidR="00F661AE" w:rsidRPr="001917F5" w:rsidRDefault="00F661AE" w:rsidP="00F661AE">
            <w:pPr>
              <w:jc w:val="center"/>
              <w:rPr>
                <w:color w:val="000000"/>
                <w:lang w:eastAsia="en-GB"/>
              </w:rPr>
            </w:pPr>
            <w:r w:rsidRPr="001917F5">
              <w:rPr>
                <w:color w:val="000000"/>
                <w:lang w:eastAsia="en-GB"/>
              </w:rPr>
              <w:t>0.57</w:t>
            </w:r>
          </w:p>
        </w:tc>
        <w:tc>
          <w:tcPr>
            <w:tcW w:w="580" w:type="dxa"/>
            <w:shd w:val="clear" w:color="auto" w:fill="auto"/>
            <w:noWrap/>
            <w:vAlign w:val="center"/>
            <w:hideMark/>
          </w:tcPr>
          <w:p w14:paraId="755FC2A2" w14:textId="77777777" w:rsidR="00F661AE" w:rsidRPr="001917F5" w:rsidRDefault="00F661AE" w:rsidP="00F661AE">
            <w:pPr>
              <w:jc w:val="center"/>
              <w:rPr>
                <w:b/>
                <w:bCs/>
                <w:color w:val="000000"/>
                <w:lang w:eastAsia="en-GB"/>
              </w:rPr>
            </w:pPr>
            <w:r w:rsidRPr="001917F5">
              <w:rPr>
                <w:b/>
                <w:bCs/>
                <w:color w:val="000000"/>
                <w:lang w:eastAsia="en-GB"/>
              </w:rPr>
              <w:t>2.69</w:t>
            </w:r>
          </w:p>
        </w:tc>
        <w:tc>
          <w:tcPr>
            <w:tcW w:w="566" w:type="dxa"/>
            <w:shd w:val="clear" w:color="auto" w:fill="auto"/>
            <w:noWrap/>
            <w:vAlign w:val="center"/>
            <w:hideMark/>
          </w:tcPr>
          <w:p w14:paraId="75BABAC2" w14:textId="77777777" w:rsidR="00F661AE" w:rsidRPr="001917F5" w:rsidRDefault="00F661AE" w:rsidP="00F661AE">
            <w:pPr>
              <w:jc w:val="center"/>
              <w:rPr>
                <w:color w:val="000000"/>
                <w:lang w:eastAsia="en-GB"/>
              </w:rPr>
            </w:pPr>
            <w:r w:rsidRPr="001917F5">
              <w:rPr>
                <w:color w:val="000000"/>
                <w:lang w:eastAsia="en-GB"/>
              </w:rPr>
              <w:t>0.47</w:t>
            </w:r>
          </w:p>
        </w:tc>
        <w:tc>
          <w:tcPr>
            <w:tcW w:w="580" w:type="dxa"/>
            <w:shd w:val="clear" w:color="auto" w:fill="auto"/>
            <w:noWrap/>
            <w:vAlign w:val="center"/>
            <w:hideMark/>
          </w:tcPr>
          <w:p w14:paraId="179B92B3" w14:textId="77777777" w:rsidR="00F661AE" w:rsidRPr="001917F5" w:rsidRDefault="00F661AE" w:rsidP="00F661AE">
            <w:pPr>
              <w:jc w:val="center"/>
              <w:rPr>
                <w:b/>
                <w:bCs/>
                <w:color w:val="000000"/>
                <w:lang w:eastAsia="en-GB"/>
              </w:rPr>
            </w:pPr>
            <w:r w:rsidRPr="001917F5">
              <w:rPr>
                <w:b/>
                <w:bCs/>
                <w:color w:val="000000"/>
                <w:lang w:eastAsia="en-GB"/>
              </w:rPr>
              <w:t>2.64</w:t>
            </w:r>
          </w:p>
        </w:tc>
        <w:tc>
          <w:tcPr>
            <w:tcW w:w="566" w:type="dxa"/>
            <w:shd w:val="clear" w:color="auto" w:fill="auto"/>
            <w:noWrap/>
            <w:vAlign w:val="center"/>
            <w:hideMark/>
          </w:tcPr>
          <w:p w14:paraId="465797FF" w14:textId="77777777" w:rsidR="00F661AE" w:rsidRPr="001917F5" w:rsidRDefault="00F661AE" w:rsidP="00F661AE">
            <w:pPr>
              <w:jc w:val="center"/>
              <w:rPr>
                <w:color w:val="000000"/>
                <w:lang w:eastAsia="en-GB"/>
              </w:rPr>
            </w:pPr>
            <w:r w:rsidRPr="001917F5">
              <w:rPr>
                <w:color w:val="000000"/>
                <w:lang w:eastAsia="en-GB"/>
              </w:rPr>
              <w:t>0.57</w:t>
            </w:r>
          </w:p>
        </w:tc>
      </w:tr>
      <w:tr w:rsidR="00F661AE" w:rsidRPr="001917F5" w14:paraId="62B360C7" w14:textId="77777777" w:rsidTr="00F661AE">
        <w:trPr>
          <w:trHeight w:val="255"/>
        </w:trPr>
        <w:tc>
          <w:tcPr>
            <w:tcW w:w="1283" w:type="dxa"/>
            <w:shd w:val="clear" w:color="auto" w:fill="auto"/>
            <w:noWrap/>
            <w:vAlign w:val="center"/>
            <w:hideMark/>
          </w:tcPr>
          <w:p w14:paraId="1F049C3A" w14:textId="77777777" w:rsidR="00F661AE" w:rsidRPr="001917F5" w:rsidRDefault="00F661AE" w:rsidP="00F661AE">
            <w:pPr>
              <w:rPr>
                <w:color w:val="000000"/>
                <w:lang w:eastAsia="en-GB"/>
              </w:rPr>
            </w:pPr>
            <w:r w:rsidRPr="001917F5">
              <w:rPr>
                <w:color w:val="000000"/>
                <w:lang w:eastAsia="en-GB"/>
              </w:rPr>
              <w:t>Technical</w:t>
            </w:r>
          </w:p>
        </w:tc>
        <w:tc>
          <w:tcPr>
            <w:tcW w:w="1605" w:type="dxa"/>
            <w:shd w:val="clear" w:color="auto" w:fill="auto"/>
            <w:noWrap/>
            <w:vAlign w:val="center"/>
            <w:hideMark/>
          </w:tcPr>
          <w:p w14:paraId="0EEA2A66" w14:textId="77777777" w:rsidR="00F661AE" w:rsidRPr="001917F5" w:rsidRDefault="00F661AE" w:rsidP="00F661AE">
            <w:pPr>
              <w:rPr>
                <w:color w:val="000000"/>
                <w:lang w:eastAsia="en-GB"/>
              </w:rPr>
            </w:pPr>
            <w:r w:rsidRPr="001917F5">
              <w:rPr>
                <w:bCs/>
                <w:color w:val="000000"/>
                <w:lang w:eastAsia="en-GB"/>
              </w:rPr>
              <w:t>Quality management</w:t>
            </w:r>
          </w:p>
        </w:tc>
        <w:tc>
          <w:tcPr>
            <w:tcW w:w="666" w:type="dxa"/>
            <w:shd w:val="clear" w:color="auto" w:fill="auto"/>
            <w:noWrap/>
            <w:vAlign w:val="center"/>
            <w:hideMark/>
          </w:tcPr>
          <w:p w14:paraId="48694FEA" w14:textId="77777777" w:rsidR="00F661AE" w:rsidRPr="001917F5" w:rsidRDefault="00F661AE" w:rsidP="00F661AE">
            <w:pPr>
              <w:jc w:val="center"/>
              <w:rPr>
                <w:b/>
                <w:bCs/>
                <w:color w:val="000000"/>
                <w:lang w:eastAsia="en-GB"/>
              </w:rPr>
            </w:pPr>
            <w:r w:rsidRPr="001917F5">
              <w:rPr>
                <w:b/>
                <w:bCs/>
                <w:color w:val="000000"/>
                <w:lang w:eastAsia="en-GB"/>
              </w:rPr>
              <w:t>2.50</w:t>
            </w:r>
          </w:p>
        </w:tc>
        <w:tc>
          <w:tcPr>
            <w:tcW w:w="566" w:type="dxa"/>
            <w:shd w:val="clear" w:color="auto" w:fill="auto"/>
            <w:noWrap/>
            <w:vAlign w:val="center"/>
            <w:hideMark/>
          </w:tcPr>
          <w:p w14:paraId="0B2B9B14" w14:textId="77777777" w:rsidR="00F661AE" w:rsidRPr="001917F5" w:rsidRDefault="00F661AE" w:rsidP="00F661AE">
            <w:pPr>
              <w:jc w:val="center"/>
              <w:rPr>
                <w:color w:val="000000"/>
                <w:lang w:eastAsia="en-GB"/>
              </w:rPr>
            </w:pPr>
            <w:r w:rsidRPr="001917F5">
              <w:rPr>
                <w:color w:val="000000"/>
                <w:lang w:eastAsia="en-GB"/>
              </w:rPr>
              <w:t>0.65</w:t>
            </w:r>
          </w:p>
        </w:tc>
        <w:tc>
          <w:tcPr>
            <w:tcW w:w="580" w:type="dxa"/>
            <w:shd w:val="clear" w:color="auto" w:fill="auto"/>
            <w:noWrap/>
            <w:vAlign w:val="center"/>
            <w:hideMark/>
          </w:tcPr>
          <w:p w14:paraId="22E9044B" w14:textId="77777777" w:rsidR="00F661AE" w:rsidRPr="001917F5" w:rsidRDefault="00F661AE" w:rsidP="00F661AE">
            <w:pPr>
              <w:jc w:val="center"/>
              <w:rPr>
                <w:color w:val="000000"/>
                <w:lang w:eastAsia="en-GB"/>
              </w:rPr>
            </w:pPr>
            <w:r w:rsidRPr="001917F5">
              <w:rPr>
                <w:color w:val="000000"/>
                <w:lang w:eastAsia="en-GB"/>
              </w:rPr>
              <w:t>2.35</w:t>
            </w:r>
          </w:p>
        </w:tc>
        <w:tc>
          <w:tcPr>
            <w:tcW w:w="566" w:type="dxa"/>
            <w:shd w:val="clear" w:color="auto" w:fill="auto"/>
            <w:noWrap/>
            <w:vAlign w:val="center"/>
            <w:hideMark/>
          </w:tcPr>
          <w:p w14:paraId="6056634C" w14:textId="77777777" w:rsidR="00F661AE" w:rsidRPr="001917F5" w:rsidRDefault="00F661AE" w:rsidP="00F661AE">
            <w:pPr>
              <w:jc w:val="center"/>
              <w:rPr>
                <w:color w:val="000000"/>
                <w:lang w:eastAsia="en-GB"/>
              </w:rPr>
            </w:pPr>
            <w:r w:rsidRPr="001917F5">
              <w:rPr>
                <w:color w:val="000000"/>
                <w:lang w:eastAsia="en-GB"/>
              </w:rPr>
              <w:t>0.56</w:t>
            </w:r>
          </w:p>
        </w:tc>
        <w:tc>
          <w:tcPr>
            <w:tcW w:w="580" w:type="dxa"/>
            <w:shd w:val="clear" w:color="auto" w:fill="auto"/>
            <w:noWrap/>
            <w:vAlign w:val="center"/>
            <w:hideMark/>
          </w:tcPr>
          <w:p w14:paraId="6D2C4155" w14:textId="77777777" w:rsidR="00F661AE" w:rsidRPr="001917F5" w:rsidRDefault="00F661AE" w:rsidP="00F661AE">
            <w:pPr>
              <w:jc w:val="center"/>
              <w:rPr>
                <w:b/>
                <w:bCs/>
                <w:color w:val="000000"/>
                <w:lang w:eastAsia="en-GB"/>
              </w:rPr>
            </w:pPr>
            <w:r w:rsidRPr="001917F5">
              <w:rPr>
                <w:b/>
                <w:bCs/>
                <w:color w:val="000000"/>
                <w:lang w:eastAsia="en-GB"/>
              </w:rPr>
              <w:t>2.50</w:t>
            </w:r>
          </w:p>
        </w:tc>
        <w:tc>
          <w:tcPr>
            <w:tcW w:w="566" w:type="dxa"/>
            <w:shd w:val="clear" w:color="auto" w:fill="auto"/>
            <w:noWrap/>
            <w:vAlign w:val="center"/>
            <w:hideMark/>
          </w:tcPr>
          <w:p w14:paraId="55D35B34" w14:textId="77777777" w:rsidR="00F661AE" w:rsidRPr="001917F5" w:rsidRDefault="00F661AE" w:rsidP="00F661AE">
            <w:pPr>
              <w:jc w:val="center"/>
              <w:rPr>
                <w:color w:val="000000"/>
                <w:lang w:eastAsia="en-GB"/>
              </w:rPr>
            </w:pPr>
            <w:r w:rsidRPr="001917F5">
              <w:rPr>
                <w:color w:val="000000"/>
                <w:lang w:eastAsia="en-GB"/>
              </w:rPr>
              <w:t>0.58</w:t>
            </w:r>
          </w:p>
        </w:tc>
        <w:tc>
          <w:tcPr>
            <w:tcW w:w="580" w:type="dxa"/>
            <w:shd w:val="clear" w:color="auto" w:fill="auto"/>
            <w:noWrap/>
            <w:vAlign w:val="center"/>
            <w:hideMark/>
          </w:tcPr>
          <w:p w14:paraId="285EC783" w14:textId="77777777" w:rsidR="00F661AE" w:rsidRPr="001917F5" w:rsidRDefault="00F661AE" w:rsidP="00F661AE">
            <w:pPr>
              <w:jc w:val="center"/>
              <w:rPr>
                <w:b/>
                <w:bCs/>
                <w:color w:val="000000"/>
                <w:lang w:eastAsia="en-GB"/>
              </w:rPr>
            </w:pPr>
            <w:r w:rsidRPr="001917F5">
              <w:rPr>
                <w:b/>
                <w:bCs/>
                <w:color w:val="000000"/>
                <w:lang w:eastAsia="en-GB"/>
              </w:rPr>
              <w:t>2.77</w:t>
            </w:r>
          </w:p>
        </w:tc>
        <w:tc>
          <w:tcPr>
            <w:tcW w:w="566" w:type="dxa"/>
            <w:shd w:val="clear" w:color="auto" w:fill="auto"/>
            <w:noWrap/>
            <w:vAlign w:val="center"/>
            <w:hideMark/>
          </w:tcPr>
          <w:p w14:paraId="5718BC76" w14:textId="77777777" w:rsidR="00F661AE" w:rsidRPr="001917F5" w:rsidRDefault="00F661AE" w:rsidP="00F661AE">
            <w:pPr>
              <w:jc w:val="center"/>
              <w:rPr>
                <w:color w:val="000000"/>
                <w:lang w:eastAsia="en-GB"/>
              </w:rPr>
            </w:pPr>
            <w:r w:rsidRPr="001917F5">
              <w:rPr>
                <w:color w:val="000000"/>
                <w:lang w:eastAsia="en-GB"/>
              </w:rPr>
              <w:t>0.51</w:t>
            </w:r>
          </w:p>
        </w:tc>
        <w:tc>
          <w:tcPr>
            <w:tcW w:w="580" w:type="dxa"/>
            <w:shd w:val="clear" w:color="auto" w:fill="auto"/>
            <w:noWrap/>
            <w:vAlign w:val="center"/>
            <w:hideMark/>
          </w:tcPr>
          <w:p w14:paraId="6B02ECD5" w14:textId="77777777" w:rsidR="00F661AE" w:rsidRPr="001917F5" w:rsidRDefault="00F661AE" w:rsidP="00F661AE">
            <w:pPr>
              <w:jc w:val="center"/>
              <w:rPr>
                <w:b/>
                <w:bCs/>
                <w:color w:val="000000"/>
                <w:lang w:eastAsia="en-GB"/>
              </w:rPr>
            </w:pPr>
            <w:r w:rsidRPr="001917F5">
              <w:rPr>
                <w:b/>
                <w:bCs/>
                <w:color w:val="000000"/>
                <w:lang w:eastAsia="en-GB"/>
              </w:rPr>
              <w:t>2.54</w:t>
            </w:r>
          </w:p>
        </w:tc>
        <w:tc>
          <w:tcPr>
            <w:tcW w:w="566" w:type="dxa"/>
            <w:shd w:val="clear" w:color="auto" w:fill="auto"/>
            <w:noWrap/>
            <w:vAlign w:val="center"/>
            <w:hideMark/>
          </w:tcPr>
          <w:p w14:paraId="6A448BC8" w14:textId="77777777" w:rsidR="00F661AE" w:rsidRPr="001917F5" w:rsidRDefault="00F661AE" w:rsidP="00F661AE">
            <w:pPr>
              <w:jc w:val="center"/>
              <w:rPr>
                <w:color w:val="000000"/>
                <w:lang w:eastAsia="en-GB"/>
              </w:rPr>
            </w:pPr>
            <w:r w:rsidRPr="001917F5">
              <w:rPr>
                <w:color w:val="000000"/>
                <w:lang w:eastAsia="en-GB"/>
              </w:rPr>
              <w:t>0.58</w:t>
            </w:r>
          </w:p>
        </w:tc>
      </w:tr>
      <w:tr w:rsidR="00F661AE" w:rsidRPr="001917F5" w14:paraId="219BD671" w14:textId="77777777" w:rsidTr="00F661AE">
        <w:trPr>
          <w:trHeight w:val="255"/>
        </w:trPr>
        <w:tc>
          <w:tcPr>
            <w:tcW w:w="1283" w:type="dxa"/>
            <w:shd w:val="clear" w:color="auto" w:fill="auto"/>
            <w:noWrap/>
            <w:vAlign w:val="center"/>
            <w:hideMark/>
          </w:tcPr>
          <w:p w14:paraId="1694AC6E" w14:textId="77777777" w:rsidR="00F661AE" w:rsidRPr="001917F5" w:rsidRDefault="00F661AE" w:rsidP="00F661AE">
            <w:pPr>
              <w:rPr>
                <w:color w:val="000000"/>
                <w:lang w:eastAsia="en-GB"/>
              </w:rPr>
            </w:pPr>
            <w:r w:rsidRPr="001917F5">
              <w:rPr>
                <w:color w:val="000000"/>
                <w:lang w:eastAsia="en-GB"/>
              </w:rPr>
              <w:t>Technical</w:t>
            </w:r>
          </w:p>
        </w:tc>
        <w:tc>
          <w:tcPr>
            <w:tcW w:w="1605" w:type="dxa"/>
            <w:shd w:val="clear" w:color="auto" w:fill="auto"/>
            <w:noWrap/>
            <w:vAlign w:val="center"/>
            <w:hideMark/>
          </w:tcPr>
          <w:p w14:paraId="60A7AE48" w14:textId="77777777" w:rsidR="00F661AE" w:rsidRPr="001917F5" w:rsidRDefault="00F661AE" w:rsidP="00F661AE">
            <w:pPr>
              <w:rPr>
                <w:color w:val="000000"/>
                <w:lang w:eastAsia="en-GB"/>
              </w:rPr>
            </w:pPr>
            <w:r w:rsidRPr="001917F5">
              <w:rPr>
                <w:bCs/>
                <w:color w:val="000000"/>
                <w:lang w:eastAsia="en-GB"/>
              </w:rPr>
              <w:t>Document and contract administration</w:t>
            </w:r>
          </w:p>
        </w:tc>
        <w:tc>
          <w:tcPr>
            <w:tcW w:w="666" w:type="dxa"/>
            <w:shd w:val="clear" w:color="auto" w:fill="auto"/>
            <w:noWrap/>
            <w:vAlign w:val="center"/>
            <w:hideMark/>
          </w:tcPr>
          <w:p w14:paraId="1BD5F473" w14:textId="77777777" w:rsidR="00F661AE" w:rsidRPr="001917F5" w:rsidRDefault="00F661AE" w:rsidP="00F661AE">
            <w:pPr>
              <w:jc w:val="center"/>
              <w:rPr>
                <w:b/>
                <w:bCs/>
                <w:color w:val="000000"/>
                <w:lang w:eastAsia="en-GB"/>
              </w:rPr>
            </w:pPr>
            <w:r w:rsidRPr="001917F5">
              <w:rPr>
                <w:b/>
                <w:bCs/>
                <w:color w:val="000000"/>
                <w:lang w:eastAsia="en-GB"/>
              </w:rPr>
              <w:t>2.58</w:t>
            </w:r>
          </w:p>
        </w:tc>
        <w:tc>
          <w:tcPr>
            <w:tcW w:w="566" w:type="dxa"/>
            <w:shd w:val="clear" w:color="auto" w:fill="auto"/>
            <w:noWrap/>
            <w:vAlign w:val="center"/>
            <w:hideMark/>
          </w:tcPr>
          <w:p w14:paraId="7A0F8FA7" w14:textId="77777777" w:rsidR="00F661AE" w:rsidRPr="001917F5" w:rsidRDefault="00F661AE" w:rsidP="00F661AE">
            <w:pPr>
              <w:jc w:val="center"/>
              <w:rPr>
                <w:color w:val="000000"/>
                <w:lang w:eastAsia="en-GB"/>
              </w:rPr>
            </w:pPr>
            <w:r w:rsidRPr="001917F5">
              <w:rPr>
                <w:color w:val="000000"/>
                <w:lang w:eastAsia="en-GB"/>
              </w:rPr>
              <w:t>0.58</w:t>
            </w:r>
          </w:p>
        </w:tc>
        <w:tc>
          <w:tcPr>
            <w:tcW w:w="580" w:type="dxa"/>
            <w:shd w:val="clear" w:color="auto" w:fill="auto"/>
            <w:noWrap/>
            <w:vAlign w:val="center"/>
            <w:hideMark/>
          </w:tcPr>
          <w:p w14:paraId="4206FC7E" w14:textId="77777777" w:rsidR="00F661AE" w:rsidRPr="001917F5" w:rsidRDefault="00F661AE" w:rsidP="00F661AE">
            <w:pPr>
              <w:jc w:val="center"/>
              <w:rPr>
                <w:color w:val="000000"/>
                <w:lang w:eastAsia="en-GB"/>
              </w:rPr>
            </w:pPr>
            <w:r w:rsidRPr="001917F5">
              <w:rPr>
                <w:color w:val="000000"/>
                <w:lang w:eastAsia="en-GB"/>
              </w:rPr>
              <w:t>2.31</w:t>
            </w:r>
          </w:p>
        </w:tc>
        <w:tc>
          <w:tcPr>
            <w:tcW w:w="566" w:type="dxa"/>
            <w:shd w:val="clear" w:color="auto" w:fill="auto"/>
            <w:noWrap/>
            <w:vAlign w:val="center"/>
            <w:hideMark/>
          </w:tcPr>
          <w:p w14:paraId="21114D4F" w14:textId="77777777" w:rsidR="00F661AE" w:rsidRPr="001917F5" w:rsidRDefault="00F661AE" w:rsidP="00F661AE">
            <w:pPr>
              <w:jc w:val="center"/>
              <w:rPr>
                <w:color w:val="000000"/>
                <w:lang w:eastAsia="en-GB"/>
              </w:rPr>
            </w:pPr>
            <w:r w:rsidRPr="001917F5">
              <w:rPr>
                <w:color w:val="000000"/>
                <w:lang w:eastAsia="en-GB"/>
              </w:rPr>
              <w:t>0.68</w:t>
            </w:r>
          </w:p>
        </w:tc>
        <w:tc>
          <w:tcPr>
            <w:tcW w:w="580" w:type="dxa"/>
            <w:shd w:val="clear" w:color="auto" w:fill="auto"/>
            <w:noWrap/>
            <w:vAlign w:val="center"/>
            <w:hideMark/>
          </w:tcPr>
          <w:p w14:paraId="2FCF99E1"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4A4F1FD5" w14:textId="77777777" w:rsidR="00F661AE" w:rsidRPr="001917F5" w:rsidRDefault="00F661AE" w:rsidP="00F661AE">
            <w:pPr>
              <w:jc w:val="center"/>
              <w:rPr>
                <w:color w:val="000000"/>
                <w:lang w:eastAsia="en-GB"/>
              </w:rPr>
            </w:pPr>
            <w:r w:rsidRPr="001917F5">
              <w:rPr>
                <w:color w:val="000000"/>
                <w:lang w:eastAsia="en-GB"/>
              </w:rPr>
              <w:t>0.64</w:t>
            </w:r>
          </w:p>
        </w:tc>
        <w:tc>
          <w:tcPr>
            <w:tcW w:w="580" w:type="dxa"/>
            <w:shd w:val="clear" w:color="auto" w:fill="auto"/>
            <w:noWrap/>
            <w:vAlign w:val="center"/>
            <w:hideMark/>
          </w:tcPr>
          <w:p w14:paraId="58851913" w14:textId="77777777" w:rsidR="00F661AE" w:rsidRPr="001917F5" w:rsidRDefault="00F661AE" w:rsidP="00F661AE">
            <w:pPr>
              <w:jc w:val="center"/>
              <w:rPr>
                <w:b/>
                <w:bCs/>
                <w:color w:val="000000"/>
                <w:lang w:eastAsia="en-GB"/>
              </w:rPr>
            </w:pPr>
            <w:r w:rsidRPr="001917F5">
              <w:rPr>
                <w:b/>
                <w:bCs/>
                <w:color w:val="000000"/>
                <w:lang w:eastAsia="en-GB"/>
              </w:rPr>
              <w:t>2.58</w:t>
            </w:r>
          </w:p>
        </w:tc>
        <w:tc>
          <w:tcPr>
            <w:tcW w:w="566" w:type="dxa"/>
            <w:shd w:val="clear" w:color="auto" w:fill="auto"/>
            <w:noWrap/>
            <w:vAlign w:val="center"/>
            <w:hideMark/>
          </w:tcPr>
          <w:p w14:paraId="051FE0EC" w14:textId="77777777" w:rsidR="00F661AE" w:rsidRPr="001917F5" w:rsidRDefault="00F661AE" w:rsidP="00F661AE">
            <w:pPr>
              <w:jc w:val="center"/>
              <w:rPr>
                <w:color w:val="000000"/>
                <w:lang w:eastAsia="en-GB"/>
              </w:rPr>
            </w:pPr>
            <w:r w:rsidRPr="001917F5">
              <w:rPr>
                <w:color w:val="000000"/>
                <w:lang w:eastAsia="en-GB"/>
              </w:rPr>
              <w:t>0.58</w:t>
            </w:r>
          </w:p>
        </w:tc>
        <w:tc>
          <w:tcPr>
            <w:tcW w:w="580" w:type="dxa"/>
            <w:shd w:val="clear" w:color="auto" w:fill="auto"/>
            <w:noWrap/>
            <w:vAlign w:val="center"/>
            <w:hideMark/>
          </w:tcPr>
          <w:p w14:paraId="33046A3E" w14:textId="77777777" w:rsidR="00F661AE" w:rsidRPr="001917F5" w:rsidRDefault="00F661AE" w:rsidP="00F661AE">
            <w:pPr>
              <w:jc w:val="center"/>
              <w:rPr>
                <w:b/>
                <w:bCs/>
                <w:color w:val="000000"/>
                <w:lang w:eastAsia="en-GB"/>
              </w:rPr>
            </w:pPr>
            <w:r w:rsidRPr="001917F5">
              <w:rPr>
                <w:b/>
                <w:bCs/>
                <w:color w:val="000000"/>
                <w:lang w:eastAsia="en-GB"/>
              </w:rPr>
              <w:t>2.54</w:t>
            </w:r>
          </w:p>
        </w:tc>
        <w:tc>
          <w:tcPr>
            <w:tcW w:w="566" w:type="dxa"/>
            <w:shd w:val="clear" w:color="auto" w:fill="auto"/>
            <w:noWrap/>
            <w:vAlign w:val="center"/>
            <w:hideMark/>
          </w:tcPr>
          <w:p w14:paraId="4B6CA251" w14:textId="77777777" w:rsidR="00F661AE" w:rsidRPr="001917F5" w:rsidRDefault="00F661AE" w:rsidP="00F661AE">
            <w:pPr>
              <w:jc w:val="center"/>
              <w:rPr>
                <w:color w:val="000000"/>
                <w:lang w:eastAsia="en-GB"/>
              </w:rPr>
            </w:pPr>
            <w:r w:rsidRPr="001917F5">
              <w:rPr>
                <w:color w:val="000000"/>
                <w:lang w:eastAsia="en-GB"/>
              </w:rPr>
              <w:t>0.65</w:t>
            </w:r>
          </w:p>
        </w:tc>
      </w:tr>
      <w:tr w:rsidR="00F661AE" w:rsidRPr="001917F5" w14:paraId="231BC5A4" w14:textId="77777777" w:rsidTr="00F661AE">
        <w:trPr>
          <w:trHeight w:val="255"/>
        </w:trPr>
        <w:tc>
          <w:tcPr>
            <w:tcW w:w="1283" w:type="dxa"/>
            <w:shd w:val="clear" w:color="auto" w:fill="auto"/>
            <w:noWrap/>
            <w:vAlign w:val="center"/>
            <w:hideMark/>
          </w:tcPr>
          <w:p w14:paraId="727E7ECB" w14:textId="77777777" w:rsidR="00F661AE" w:rsidRPr="001917F5" w:rsidRDefault="00F661AE" w:rsidP="00F661AE">
            <w:pPr>
              <w:rPr>
                <w:color w:val="000000"/>
                <w:lang w:eastAsia="en-GB"/>
              </w:rPr>
            </w:pPr>
            <w:r w:rsidRPr="001917F5">
              <w:rPr>
                <w:color w:val="000000"/>
                <w:lang w:eastAsia="en-GB"/>
              </w:rPr>
              <w:t>Technical</w:t>
            </w:r>
          </w:p>
        </w:tc>
        <w:tc>
          <w:tcPr>
            <w:tcW w:w="1605" w:type="dxa"/>
            <w:shd w:val="clear" w:color="auto" w:fill="auto"/>
            <w:noWrap/>
            <w:vAlign w:val="center"/>
            <w:hideMark/>
          </w:tcPr>
          <w:p w14:paraId="79D33877" w14:textId="77777777" w:rsidR="00F661AE" w:rsidRPr="001917F5" w:rsidRDefault="00F661AE" w:rsidP="00F661AE">
            <w:pPr>
              <w:rPr>
                <w:color w:val="000000"/>
                <w:lang w:eastAsia="en-GB"/>
              </w:rPr>
            </w:pPr>
            <w:r w:rsidRPr="001917F5">
              <w:rPr>
                <w:bCs/>
                <w:color w:val="000000"/>
                <w:lang w:eastAsia="en-GB"/>
              </w:rPr>
              <w:t>Risk management</w:t>
            </w:r>
          </w:p>
        </w:tc>
        <w:tc>
          <w:tcPr>
            <w:tcW w:w="666" w:type="dxa"/>
            <w:shd w:val="clear" w:color="auto" w:fill="auto"/>
            <w:noWrap/>
            <w:vAlign w:val="center"/>
            <w:hideMark/>
          </w:tcPr>
          <w:p w14:paraId="372A1DD9" w14:textId="77777777" w:rsidR="00F661AE" w:rsidRPr="001917F5" w:rsidRDefault="00F661AE" w:rsidP="00F661AE">
            <w:pPr>
              <w:jc w:val="center"/>
              <w:rPr>
                <w:color w:val="000000"/>
                <w:lang w:eastAsia="en-GB"/>
              </w:rPr>
            </w:pPr>
            <w:r w:rsidRPr="001917F5">
              <w:rPr>
                <w:color w:val="000000"/>
                <w:lang w:eastAsia="en-GB"/>
              </w:rPr>
              <w:t>2.40</w:t>
            </w:r>
          </w:p>
        </w:tc>
        <w:tc>
          <w:tcPr>
            <w:tcW w:w="566" w:type="dxa"/>
            <w:shd w:val="clear" w:color="auto" w:fill="auto"/>
            <w:noWrap/>
            <w:vAlign w:val="center"/>
            <w:hideMark/>
          </w:tcPr>
          <w:p w14:paraId="65C7E7F8" w14:textId="77777777" w:rsidR="00F661AE" w:rsidRPr="001917F5" w:rsidRDefault="00F661AE" w:rsidP="00F661AE">
            <w:pPr>
              <w:jc w:val="center"/>
              <w:rPr>
                <w:color w:val="000000"/>
                <w:lang w:eastAsia="en-GB"/>
              </w:rPr>
            </w:pPr>
            <w:r w:rsidRPr="001917F5">
              <w:rPr>
                <w:color w:val="000000"/>
                <w:lang w:eastAsia="en-GB"/>
              </w:rPr>
              <w:t>0.71</w:t>
            </w:r>
          </w:p>
        </w:tc>
        <w:tc>
          <w:tcPr>
            <w:tcW w:w="580" w:type="dxa"/>
            <w:shd w:val="clear" w:color="auto" w:fill="auto"/>
            <w:noWrap/>
            <w:vAlign w:val="center"/>
            <w:hideMark/>
          </w:tcPr>
          <w:p w14:paraId="411B02A4" w14:textId="77777777" w:rsidR="00F661AE" w:rsidRPr="001917F5" w:rsidRDefault="00F661AE" w:rsidP="00F661AE">
            <w:pPr>
              <w:jc w:val="center"/>
              <w:rPr>
                <w:color w:val="000000"/>
                <w:lang w:eastAsia="en-GB"/>
              </w:rPr>
            </w:pPr>
            <w:r w:rsidRPr="001917F5">
              <w:rPr>
                <w:color w:val="000000"/>
                <w:lang w:eastAsia="en-GB"/>
              </w:rPr>
              <w:t>2.35</w:t>
            </w:r>
          </w:p>
        </w:tc>
        <w:tc>
          <w:tcPr>
            <w:tcW w:w="566" w:type="dxa"/>
            <w:shd w:val="clear" w:color="auto" w:fill="auto"/>
            <w:noWrap/>
            <w:vAlign w:val="center"/>
            <w:hideMark/>
          </w:tcPr>
          <w:p w14:paraId="4441167C" w14:textId="77777777" w:rsidR="00F661AE" w:rsidRPr="001917F5" w:rsidRDefault="00F661AE" w:rsidP="00F661AE">
            <w:pPr>
              <w:jc w:val="center"/>
              <w:rPr>
                <w:color w:val="000000"/>
                <w:lang w:eastAsia="en-GB"/>
              </w:rPr>
            </w:pPr>
            <w:r w:rsidRPr="001917F5">
              <w:rPr>
                <w:color w:val="000000"/>
                <w:lang w:eastAsia="en-GB"/>
              </w:rPr>
              <w:t>0.63</w:t>
            </w:r>
          </w:p>
        </w:tc>
        <w:tc>
          <w:tcPr>
            <w:tcW w:w="580" w:type="dxa"/>
            <w:shd w:val="clear" w:color="auto" w:fill="auto"/>
            <w:noWrap/>
            <w:vAlign w:val="center"/>
            <w:hideMark/>
          </w:tcPr>
          <w:p w14:paraId="100862C6" w14:textId="77777777" w:rsidR="00F661AE" w:rsidRPr="001917F5" w:rsidRDefault="00F661AE" w:rsidP="00F661AE">
            <w:pPr>
              <w:jc w:val="center"/>
              <w:rPr>
                <w:color w:val="000000"/>
                <w:lang w:eastAsia="en-GB"/>
              </w:rPr>
            </w:pPr>
            <w:r w:rsidRPr="001917F5">
              <w:rPr>
                <w:color w:val="000000"/>
                <w:lang w:eastAsia="en-GB"/>
              </w:rPr>
              <w:t>2.46</w:t>
            </w:r>
          </w:p>
        </w:tc>
        <w:tc>
          <w:tcPr>
            <w:tcW w:w="566" w:type="dxa"/>
            <w:shd w:val="clear" w:color="auto" w:fill="auto"/>
            <w:noWrap/>
            <w:vAlign w:val="center"/>
            <w:hideMark/>
          </w:tcPr>
          <w:p w14:paraId="2CC20399" w14:textId="77777777" w:rsidR="00F661AE" w:rsidRPr="001917F5" w:rsidRDefault="00F661AE" w:rsidP="00F661AE">
            <w:pPr>
              <w:jc w:val="center"/>
              <w:rPr>
                <w:color w:val="000000"/>
                <w:lang w:eastAsia="en-GB"/>
              </w:rPr>
            </w:pPr>
            <w:r w:rsidRPr="001917F5">
              <w:rPr>
                <w:color w:val="000000"/>
                <w:lang w:eastAsia="en-GB"/>
              </w:rPr>
              <w:t>0.51</w:t>
            </w:r>
          </w:p>
        </w:tc>
        <w:tc>
          <w:tcPr>
            <w:tcW w:w="580" w:type="dxa"/>
            <w:shd w:val="clear" w:color="auto" w:fill="auto"/>
            <w:noWrap/>
            <w:vAlign w:val="center"/>
            <w:hideMark/>
          </w:tcPr>
          <w:p w14:paraId="2A10CADE" w14:textId="77777777" w:rsidR="00F661AE" w:rsidRPr="001917F5" w:rsidRDefault="00F661AE" w:rsidP="00F661AE">
            <w:pPr>
              <w:jc w:val="center"/>
              <w:rPr>
                <w:b/>
                <w:bCs/>
                <w:color w:val="000000"/>
                <w:lang w:eastAsia="en-GB"/>
              </w:rPr>
            </w:pPr>
            <w:r w:rsidRPr="001917F5">
              <w:rPr>
                <w:b/>
                <w:bCs/>
                <w:color w:val="000000"/>
                <w:lang w:eastAsia="en-GB"/>
              </w:rPr>
              <w:t>2.62</w:t>
            </w:r>
          </w:p>
        </w:tc>
        <w:tc>
          <w:tcPr>
            <w:tcW w:w="566" w:type="dxa"/>
            <w:shd w:val="clear" w:color="auto" w:fill="auto"/>
            <w:noWrap/>
            <w:vAlign w:val="center"/>
            <w:hideMark/>
          </w:tcPr>
          <w:p w14:paraId="614368A9" w14:textId="77777777" w:rsidR="00F661AE" w:rsidRPr="001917F5" w:rsidRDefault="00F661AE" w:rsidP="00F661AE">
            <w:pPr>
              <w:jc w:val="center"/>
              <w:rPr>
                <w:color w:val="000000"/>
                <w:lang w:eastAsia="en-GB"/>
              </w:rPr>
            </w:pPr>
            <w:r w:rsidRPr="001917F5">
              <w:rPr>
                <w:color w:val="000000"/>
                <w:lang w:eastAsia="en-GB"/>
              </w:rPr>
              <w:t>0.50</w:t>
            </w:r>
          </w:p>
        </w:tc>
        <w:tc>
          <w:tcPr>
            <w:tcW w:w="580" w:type="dxa"/>
            <w:shd w:val="clear" w:color="auto" w:fill="auto"/>
            <w:noWrap/>
            <w:vAlign w:val="center"/>
            <w:hideMark/>
          </w:tcPr>
          <w:p w14:paraId="7212F634" w14:textId="77777777" w:rsidR="00F661AE" w:rsidRPr="001917F5" w:rsidRDefault="00F661AE" w:rsidP="00F661AE">
            <w:pPr>
              <w:jc w:val="center"/>
              <w:rPr>
                <w:color w:val="000000"/>
                <w:lang w:eastAsia="en-GB"/>
              </w:rPr>
            </w:pPr>
            <w:r w:rsidRPr="001917F5">
              <w:rPr>
                <w:color w:val="000000"/>
                <w:lang w:eastAsia="en-GB"/>
              </w:rPr>
              <w:t>2.35</w:t>
            </w:r>
          </w:p>
        </w:tc>
        <w:tc>
          <w:tcPr>
            <w:tcW w:w="566" w:type="dxa"/>
            <w:shd w:val="clear" w:color="auto" w:fill="auto"/>
            <w:noWrap/>
            <w:vAlign w:val="center"/>
            <w:hideMark/>
          </w:tcPr>
          <w:p w14:paraId="5C7C2EC9" w14:textId="77777777" w:rsidR="00F661AE" w:rsidRPr="001917F5" w:rsidRDefault="00F661AE" w:rsidP="00F661AE">
            <w:pPr>
              <w:jc w:val="center"/>
              <w:rPr>
                <w:color w:val="000000"/>
                <w:lang w:eastAsia="en-GB"/>
              </w:rPr>
            </w:pPr>
            <w:r w:rsidRPr="001917F5">
              <w:rPr>
                <w:color w:val="000000"/>
                <w:lang w:eastAsia="en-GB"/>
              </w:rPr>
              <w:t>0.69</w:t>
            </w:r>
          </w:p>
        </w:tc>
      </w:tr>
      <w:tr w:rsidR="00F661AE" w:rsidRPr="001917F5" w14:paraId="373970BE" w14:textId="77777777" w:rsidTr="00F661AE">
        <w:trPr>
          <w:trHeight w:val="255"/>
        </w:trPr>
        <w:tc>
          <w:tcPr>
            <w:tcW w:w="1283" w:type="dxa"/>
            <w:shd w:val="clear" w:color="auto" w:fill="auto"/>
            <w:noWrap/>
            <w:vAlign w:val="center"/>
            <w:hideMark/>
          </w:tcPr>
          <w:p w14:paraId="7B79D846" w14:textId="77777777" w:rsidR="00F661AE" w:rsidRPr="001917F5" w:rsidRDefault="00F661AE" w:rsidP="00F661AE">
            <w:pPr>
              <w:rPr>
                <w:color w:val="000000"/>
                <w:lang w:eastAsia="en-GB"/>
              </w:rPr>
            </w:pPr>
            <w:r w:rsidRPr="001917F5">
              <w:rPr>
                <w:color w:val="000000"/>
                <w:lang w:eastAsia="en-GB"/>
              </w:rPr>
              <w:t>Technical</w:t>
            </w:r>
          </w:p>
        </w:tc>
        <w:tc>
          <w:tcPr>
            <w:tcW w:w="1605" w:type="dxa"/>
            <w:shd w:val="clear" w:color="auto" w:fill="auto"/>
            <w:noWrap/>
            <w:vAlign w:val="center"/>
            <w:hideMark/>
          </w:tcPr>
          <w:p w14:paraId="0C6B0260" w14:textId="77777777" w:rsidR="00F661AE" w:rsidRPr="001917F5" w:rsidRDefault="00F661AE" w:rsidP="00F661AE">
            <w:pPr>
              <w:rPr>
                <w:color w:val="000000"/>
                <w:lang w:eastAsia="en-GB"/>
              </w:rPr>
            </w:pPr>
            <w:r w:rsidRPr="001917F5">
              <w:rPr>
                <w:bCs/>
                <w:color w:val="000000"/>
                <w:lang w:eastAsia="en-GB"/>
              </w:rPr>
              <w:t>Procurement management</w:t>
            </w:r>
          </w:p>
        </w:tc>
        <w:tc>
          <w:tcPr>
            <w:tcW w:w="666" w:type="dxa"/>
            <w:shd w:val="clear" w:color="auto" w:fill="auto"/>
            <w:noWrap/>
            <w:vAlign w:val="center"/>
            <w:hideMark/>
          </w:tcPr>
          <w:p w14:paraId="0046C39E" w14:textId="77777777" w:rsidR="00F661AE" w:rsidRPr="001917F5" w:rsidRDefault="00F661AE" w:rsidP="00F661AE">
            <w:pPr>
              <w:jc w:val="center"/>
              <w:rPr>
                <w:b/>
                <w:bCs/>
                <w:color w:val="000000"/>
                <w:lang w:eastAsia="en-GB"/>
              </w:rPr>
            </w:pPr>
            <w:r w:rsidRPr="001917F5">
              <w:rPr>
                <w:b/>
                <w:bCs/>
                <w:color w:val="000000"/>
                <w:lang w:eastAsia="en-GB"/>
              </w:rPr>
              <w:t>2.50</w:t>
            </w:r>
          </w:p>
        </w:tc>
        <w:tc>
          <w:tcPr>
            <w:tcW w:w="566" w:type="dxa"/>
            <w:shd w:val="clear" w:color="auto" w:fill="auto"/>
            <w:noWrap/>
            <w:vAlign w:val="center"/>
            <w:hideMark/>
          </w:tcPr>
          <w:p w14:paraId="35CB345A" w14:textId="77777777" w:rsidR="00F661AE" w:rsidRPr="001917F5" w:rsidRDefault="00F661AE" w:rsidP="00F661AE">
            <w:pPr>
              <w:jc w:val="center"/>
              <w:rPr>
                <w:color w:val="000000"/>
                <w:lang w:eastAsia="en-GB"/>
              </w:rPr>
            </w:pPr>
            <w:r w:rsidRPr="001917F5">
              <w:rPr>
                <w:color w:val="000000"/>
                <w:lang w:eastAsia="en-GB"/>
              </w:rPr>
              <w:t>0.71</w:t>
            </w:r>
          </w:p>
        </w:tc>
        <w:tc>
          <w:tcPr>
            <w:tcW w:w="580" w:type="dxa"/>
            <w:shd w:val="clear" w:color="auto" w:fill="auto"/>
            <w:noWrap/>
            <w:vAlign w:val="center"/>
            <w:hideMark/>
          </w:tcPr>
          <w:p w14:paraId="4FA44420" w14:textId="77777777" w:rsidR="00F661AE" w:rsidRPr="001917F5" w:rsidRDefault="00F661AE" w:rsidP="00F661AE">
            <w:pPr>
              <w:jc w:val="center"/>
              <w:rPr>
                <w:color w:val="000000"/>
                <w:lang w:eastAsia="en-GB"/>
              </w:rPr>
            </w:pPr>
            <w:r w:rsidRPr="001917F5">
              <w:rPr>
                <w:color w:val="000000"/>
                <w:lang w:eastAsia="en-GB"/>
              </w:rPr>
              <w:t>2.23</w:t>
            </w:r>
          </w:p>
        </w:tc>
        <w:tc>
          <w:tcPr>
            <w:tcW w:w="566" w:type="dxa"/>
            <w:shd w:val="clear" w:color="auto" w:fill="auto"/>
            <w:noWrap/>
            <w:vAlign w:val="center"/>
            <w:hideMark/>
          </w:tcPr>
          <w:p w14:paraId="6BD66946" w14:textId="77777777" w:rsidR="00F661AE" w:rsidRPr="001917F5" w:rsidRDefault="00F661AE" w:rsidP="00F661AE">
            <w:pPr>
              <w:jc w:val="center"/>
              <w:rPr>
                <w:color w:val="000000"/>
                <w:lang w:eastAsia="en-GB"/>
              </w:rPr>
            </w:pPr>
            <w:r w:rsidRPr="001917F5">
              <w:rPr>
                <w:color w:val="000000"/>
                <w:lang w:eastAsia="en-GB"/>
              </w:rPr>
              <w:t>0.65</w:t>
            </w:r>
          </w:p>
        </w:tc>
        <w:tc>
          <w:tcPr>
            <w:tcW w:w="580" w:type="dxa"/>
            <w:shd w:val="clear" w:color="auto" w:fill="auto"/>
            <w:noWrap/>
            <w:vAlign w:val="center"/>
            <w:hideMark/>
          </w:tcPr>
          <w:p w14:paraId="1B91809E" w14:textId="77777777" w:rsidR="00F661AE" w:rsidRPr="001917F5" w:rsidRDefault="00F661AE" w:rsidP="00F661AE">
            <w:pPr>
              <w:jc w:val="center"/>
              <w:rPr>
                <w:color w:val="000000"/>
                <w:lang w:eastAsia="en-GB"/>
              </w:rPr>
            </w:pPr>
            <w:r w:rsidRPr="001917F5">
              <w:rPr>
                <w:color w:val="000000"/>
                <w:lang w:eastAsia="en-GB"/>
              </w:rPr>
              <w:t>2.42</w:t>
            </w:r>
          </w:p>
        </w:tc>
        <w:tc>
          <w:tcPr>
            <w:tcW w:w="566" w:type="dxa"/>
            <w:shd w:val="clear" w:color="auto" w:fill="auto"/>
            <w:noWrap/>
            <w:vAlign w:val="center"/>
            <w:hideMark/>
          </w:tcPr>
          <w:p w14:paraId="37FFED50" w14:textId="77777777" w:rsidR="00F661AE" w:rsidRPr="001917F5" w:rsidRDefault="00F661AE" w:rsidP="00F661AE">
            <w:pPr>
              <w:jc w:val="center"/>
              <w:rPr>
                <w:color w:val="000000"/>
                <w:lang w:eastAsia="en-GB"/>
              </w:rPr>
            </w:pPr>
            <w:r w:rsidRPr="001917F5">
              <w:rPr>
                <w:color w:val="000000"/>
                <w:lang w:eastAsia="en-GB"/>
              </w:rPr>
              <w:t>0.64</w:t>
            </w:r>
          </w:p>
        </w:tc>
        <w:tc>
          <w:tcPr>
            <w:tcW w:w="580" w:type="dxa"/>
            <w:shd w:val="clear" w:color="auto" w:fill="auto"/>
            <w:noWrap/>
            <w:vAlign w:val="center"/>
            <w:hideMark/>
          </w:tcPr>
          <w:p w14:paraId="703FED93" w14:textId="77777777" w:rsidR="00F661AE" w:rsidRPr="001917F5" w:rsidRDefault="00F661AE" w:rsidP="00F661AE">
            <w:pPr>
              <w:jc w:val="center"/>
              <w:rPr>
                <w:b/>
                <w:bCs/>
                <w:color w:val="000000"/>
                <w:lang w:eastAsia="en-GB"/>
              </w:rPr>
            </w:pPr>
            <w:r w:rsidRPr="001917F5">
              <w:rPr>
                <w:b/>
                <w:bCs/>
                <w:color w:val="000000"/>
                <w:lang w:eastAsia="en-GB"/>
              </w:rPr>
              <w:t>2.58</w:t>
            </w:r>
          </w:p>
        </w:tc>
        <w:tc>
          <w:tcPr>
            <w:tcW w:w="566" w:type="dxa"/>
            <w:shd w:val="clear" w:color="auto" w:fill="auto"/>
            <w:noWrap/>
            <w:vAlign w:val="center"/>
            <w:hideMark/>
          </w:tcPr>
          <w:p w14:paraId="5F8A2699" w14:textId="77777777" w:rsidR="00F661AE" w:rsidRPr="001917F5" w:rsidRDefault="00F661AE" w:rsidP="00F661AE">
            <w:pPr>
              <w:jc w:val="center"/>
              <w:rPr>
                <w:color w:val="000000"/>
                <w:lang w:eastAsia="en-GB"/>
              </w:rPr>
            </w:pPr>
            <w:r w:rsidRPr="001917F5">
              <w:rPr>
                <w:color w:val="000000"/>
                <w:lang w:eastAsia="en-GB"/>
              </w:rPr>
              <w:t>0.58</w:t>
            </w:r>
          </w:p>
        </w:tc>
        <w:tc>
          <w:tcPr>
            <w:tcW w:w="580" w:type="dxa"/>
            <w:shd w:val="clear" w:color="auto" w:fill="auto"/>
            <w:noWrap/>
            <w:vAlign w:val="center"/>
            <w:hideMark/>
          </w:tcPr>
          <w:p w14:paraId="51F7A1B5" w14:textId="77777777" w:rsidR="00F661AE" w:rsidRPr="001917F5" w:rsidRDefault="00F661AE" w:rsidP="00F661AE">
            <w:pPr>
              <w:jc w:val="center"/>
              <w:rPr>
                <w:b/>
                <w:bCs/>
                <w:color w:val="000000"/>
                <w:lang w:eastAsia="en-GB"/>
              </w:rPr>
            </w:pPr>
            <w:r w:rsidRPr="001917F5">
              <w:rPr>
                <w:b/>
                <w:bCs/>
                <w:color w:val="000000"/>
                <w:lang w:eastAsia="en-GB"/>
              </w:rPr>
              <w:t>2.54</w:t>
            </w:r>
          </w:p>
        </w:tc>
        <w:tc>
          <w:tcPr>
            <w:tcW w:w="566" w:type="dxa"/>
            <w:shd w:val="clear" w:color="auto" w:fill="auto"/>
            <w:noWrap/>
            <w:vAlign w:val="center"/>
            <w:hideMark/>
          </w:tcPr>
          <w:p w14:paraId="24038CB3" w14:textId="77777777" w:rsidR="00F661AE" w:rsidRPr="001917F5" w:rsidRDefault="00F661AE" w:rsidP="00F661AE">
            <w:pPr>
              <w:jc w:val="center"/>
              <w:rPr>
                <w:color w:val="000000"/>
                <w:lang w:eastAsia="en-GB"/>
              </w:rPr>
            </w:pPr>
            <w:r w:rsidRPr="001917F5">
              <w:rPr>
                <w:color w:val="000000"/>
                <w:lang w:eastAsia="en-GB"/>
              </w:rPr>
              <w:t>0.58</w:t>
            </w:r>
          </w:p>
        </w:tc>
      </w:tr>
    </w:tbl>
    <w:p w14:paraId="31A6E7F7" w14:textId="77777777" w:rsidR="00F661AE" w:rsidRPr="001917F5" w:rsidRDefault="00F661AE" w:rsidP="00F661AE">
      <w:pPr>
        <w:spacing w:line="480" w:lineRule="auto"/>
      </w:pPr>
      <w:r w:rsidRPr="001917F5">
        <w:t>Notes:</w:t>
      </w:r>
      <w:r w:rsidRPr="001917F5">
        <w:tab/>
        <w:t>MS = Mean Score; SD = Standard Deviation</w:t>
      </w:r>
      <w:r>
        <w:t xml:space="preserve">; </w:t>
      </w:r>
      <w:r w:rsidRPr="00C70D16">
        <w:rPr>
          <w:b/>
        </w:rPr>
        <w:t>Bold face</w:t>
      </w:r>
      <w:r>
        <w:t xml:space="preserve"> type indicates significant MS values</w:t>
      </w:r>
    </w:p>
    <w:p w14:paraId="6B1DB862" w14:textId="77777777" w:rsidR="00F661AE" w:rsidRPr="00BC5591" w:rsidRDefault="00F661AE" w:rsidP="00F661AE">
      <w:pPr>
        <w:spacing w:line="360" w:lineRule="auto"/>
        <w:jc w:val="both"/>
        <w:rPr>
          <w:rFonts w:eastAsia="Calibri"/>
          <w:color w:val="000000"/>
          <w:sz w:val="24"/>
          <w:szCs w:val="24"/>
        </w:rPr>
      </w:pPr>
      <w:r w:rsidRPr="00BC5591">
        <w:rPr>
          <w:rFonts w:eastAsia="Calibri"/>
          <w:color w:val="000000"/>
          <w:sz w:val="24"/>
          <w:szCs w:val="24"/>
        </w:rPr>
        <w:t>Only two of the four (4) competencies under the ‘Political’ competency group exerted significant influence on the quality performance of projects only. These were Interpersonal influence, which had a MS of 2.62 and Apparent sincerity</w:t>
      </w:r>
      <w:r>
        <w:rPr>
          <w:rFonts w:eastAsia="Calibri"/>
          <w:color w:val="000000"/>
          <w:sz w:val="24"/>
          <w:szCs w:val="24"/>
        </w:rPr>
        <w:t xml:space="preserve"> (MS = 2.65)</w:t>
      </w:r>
      <w:r w:rsidRPr="00BC5591">
        <w:rPr>
          <w:rFonts w:eastAsia="Calibri"/>
          <w:color w:val="000000"/>
          <w:sz w:val="24"/>
          <w:szCs w:val="24"/>
        </w:rPr>
        <w:t>. It was interesting that the political competency of project managers has significant effect on only quality performance. This might indicate a belief in the pivotal position of quality in construction; it has the ability to affect all other performance indices.</w:t>
      </w:r>
    </w:p>
    <w:p w14:paraId="6E3776A5" w14:textId="77777777" w:rsidR="00F661AE" w:rsidRPr="00BC5591" w:rsidRDefault="00F661AE" w:rsidP="00F661AE">
      <w:pPr>
        <w:spacing w:line="360" w:lineRule="auto"/>
        <w:jc w:val="both"/>
        <w:rPr>
          <w:rFonts w:eastAsia="Calibri"/>
          <w:color w:val="000000"/>
          <w:sz w:val="24"/>
          <w:szCs w:val="24"/>
        </w:rPr>
      </w:pPr>
      <w:r w:rsidRPr="00BC5591">
        <w:rPr>
          <w:rFonts w:eastAsia="Calibri"/>
          <w:color w:val="000000"/>
          <w:sz w:val="24"/>
          <w:szCs w:val="24"/>
        </w:rPr>
        <w:t xml:space="preserve">The ‘Technical’ competency of project managers </w:t>
      </w:r>
      <w:r>
        <w:rPr>
          <w:rFonts w:eastAsia="Calibri"/>
          <w:color w:val="000000"/>
          <w:sz w:val="24"/>
          <w:szCs w:val="24"/>
        </w:rPr>
        <w:t>comprised</w:t>
      </w:r>
      <w:r w:rsidRPr="00BC5591">
        <w:rPr>
          <w:rFonts w:eastAsia="Calibri"/>
          <w:color w:val="000000"/>
          <w:sz w:val="24"/>
          <w:szCs w:val="24"/>
        </w:rPr>
        <w:t xml:space="preserve"> Scheduling, Budgeting, Quality management, Document and contract administration, Risk management and Procurement management</w:t>
      </w:r>
      <w:r>
        <w:rPr>
          <w:rFonts w:eastAsia="Calibri"/>
          <w:color w:val="000000"/>
          <w:sz w:val="24"/>
          <w:szCs w:val="24"/>
        </w:rPr>
        <w:t xml:space="preserve">. </w:t>
      </w:r>
      <w:r w:rsidRPr="00BC5591">
        <w:rPr>
          <w:rFonts w:eastAsia="Calibri"/>
          <w:color w:val="000000"/>
          <w:sz w:val="24"/>
          <w:szCs w:val="24"/>
        </w:rPr>
        <w:t xml:space="preserve">Only dispute resolution performance of projects was uninfluenced by any of the six ‘technical’ competencies. </w:t>
      </w:r>
      <w:r>
        <w:rPr>
          <w:rFonts w:eastAsia="Calibri"/>
          <w:color w:val="000000"/>
          <w:sz w:val="24"/>
          <w:szCs w:val="24"/>
        </w:rPr>
        <w:t>This result</w:t>
      </w:r>
      <w:r w:rsidRPr="00BC5591">
        <w:rPr>
          <w:rFonts w:eastAsia="Calibri"/>
          <w:color w:val="000000"/>
          <w:sz w:val="24"/>
          <w:szCs w:val="24"/>
        </w:rPr>
        <w:t xml:space="preserve"> might not be totally unexpected. Researchers generally agree that project performance encompasses other dimensions such as quality performance and stakeholder satisfaction, which must be considered in order to fully measure project performance (</w:t>
      </w:r>
      <w:proofErr w:type="spellStart"/>
      <w:r w:rsidRPr="00BC5591">
        <w:rPr>
          <w:rFonts w:eastAsia="Calibri"/>
          <w:color w:val="000000"/>
          <w:sz w:val="24"/>
          <w:szCs w:val="24"/>
        </w:rPr>
        <w:t>Berssaneti</w:t>
      </w:r>
      <w:proofErr w:type="spellEnd"/>
      <w:r w:rsidRPr="00BC5591">
        <w:rPr>
          <w:rFonts w:eastAsia="Calibri"/>
          <w:color w:val="000000"/>
          <w:sz w:val="24"/>
          <w:szCs w:val="24"/>
        </w:rPr>
        <w:t xml:space="preserve"> and Carvalho, 2015). </w:t>
      </w:r>
      <w:proofErr w:type="gramStart"/>
      <w:r w:rsidRPr="00BC5591">
        <w:rPr>
          <w:rFonts w:eastAsia="Calibri"/>
          <w:color w:val="000000"/>
          <w:sz w:val="24"/>
          <w:szCs w:val="24"/>
        </w:rPr>
        <w:t>However</w:t>
      </w:r>
      <w:proofErr w:type="gramEnd"/>
      <w:r w:rsidRPr="00BC5591">
        <w:rPr>
          <w:rFonts w:eastAsia="Calibri"/>
          <w:color w:val="000000"/>
          <w:sz w:val="24"/>
          <w:szCs w:val="24"/>
        </w:rPr>
        <w:t xml:space="preserve"> project performance is commonly evaluated in terms of schedule, cost, quality </w:t>
      </w:r>
      <w:r>
        <w:rPr>
          <w:rFonts w:eastAsia="Calibri"/>
          <w:color w:val="000000"/>
          <w:sz w:val="24"/>
          <w:szCs w:val="24"/>
        </w:rPr>
        <w:t>(</w:t>
      </w:r>
      <w:r w:rsidRPr="00BC5591">
        <w:rPr>
          <w:rFonts w:eastAsia="Calibri"/>
          <w:color w:val="000000"/>
          <w:sz w:val="24"/>
          <w:szCs w:val="24"/>
        </w:rPr>
        <w:t>the traditional ‘iron triangle’</w:t>
      </w:r>
      <w:r>
        <w:rPr>
          <w:rFonts w:eastAsia="Calibri"/>
          <w:color w:val="000000"/>
          <w:sz w:val="24"/>
          <w:szCs w:val="24"/>
        </w:rPr>
        <w:t>)</w:t>
      </w:r>
      <w:r w:rsidRPr="00BC5591">
        <w:rPr>
          <w:rFonts w:eastAsia="Calibri"/>
          <w:color w:val="000000"/>
          <w:sz w:val="24"/>
          <w:szCs w:val="24"/>
        </w:rPr>
        <w:t xml:space="preserve"> as well as stakeholder satisfaction (Ahmed and </w:t>
      </w:r>
      <w:proofErr w:type="spellStart"/>
      <w:r w:rsidRPr="00BC5591">
        <w:rPr>
          <w:rFonts w:eastAsia="Calibri"/>
          <w:color w:val="000000"/>
          <w:sz w:val="24"/>
          <w:szCs w:val="24"/>
        </w:rPr>
        <w:t>Anantatmula</w:t>
      </w:r>
      <w:proofErr w:type="spellEnd"/>
      <w:r w:rsidRPr="00BC5591">
        <w:rPr>
          <w:rFonts w:eastAsia="Calibri"/>
          <w:color w:val="000000"/>
          <w:sz w:val="24"/>
          <w:szCs w:val="24"/>
        </w:rPr>
        <w:t xml:space="preserve"> 2017); dispute resolution and health and safety are usually subsumed under stakeholder satisfaction.</w:t>
      </w:r>
      <w:r>
        <w:rPr>
          <w:rFonts w:eastAsia="Calibri"/>
          <w:color w:val="000000"/>
          <w:sz w:val="24"/>
          <w:szCs w:val="24"/>
        </w:rPr>
        <w:t xml:space="preserve"> </w:t>
      </w:r>
      <w:r w:rsidRPr="00BC5591">
        <w:rPr>
          <w:rFonts w:eastAsia="Calibri"/>
          <w:color w:val="000000"/>
          <w:sz w:val="24"/>
          <w:szCs w:val="24"/>
        </w:rPr>
        <w:t xml:space="preserve">Risk management competency exerted significant influence on only performance of projects in term of quality. This might be an indication of the low level of familiarity with risk management by project managers. </w:t>
      </w:r>
    </w:p>
    <w:p w14:paraId="60CF7946" w14:textId="77777777" w:rsidR="00F661AE" w:rsidRPr="00FF5376" w:rsidRDefault="00F661AE" w:rsidP="00F661AE">
      <w:pPr>
        <w:spacing w:line="360" w:lineRule="auto"/>
        <w:jc w:val="both"/>
        <w:rPr>
          <w:rFonts w:eastAsia="Calibri"/>
          <w:b/>
          <w:sz w:val="24"/>
          <w:szCs w:val="24"/>
        </w:rPr>
      </w:pPr>
      <w:r w:rsidRPr="00FF5376">
        <w:rPr>
          <w:rFonts w:eastAsia="Calibri"/>
          <w:b/>
          <w:sz w:val="24"/>
          <w:szCs w:val="24"/>
        </w:rPr>
        <w:t>Cost and Time Performance of Projects</w:t>
      </w:r>
    </w:p>
    <w:p w14:paraId="126C4A79" w14:textId="77777777" w:rsidR="00F661AE" w:rsidRPr="00505ED0" w:rsidRDefault="00F661AE" w:rsidP="00F661AE">
      <w:pPr>
        <w:spacing w:line="360" w:lineRule="auto"/>
        <w:jc w:val="both"/>
        <w:rPr>
          <w:rFonts w:eastAsia="Calibri"/>
          <w:color w:val="000000"/>
          <w:sz w:val="24"/>
          <w:szCs w:val="24"/>
        </w:rPr>
      </w:pPr>
      <w:r w:rsidRPr="00505ED0">
        <w:rPr>
          <w:rFonts w:eastAsia="Calibri"/>
          <w:color w:val="000000"/>
          <w:sz w:val="24"/>
          <w:szCs w:val="24"/>
        </w:rPr>
        <w:t xml:space="preserve">Composite line charts were employed to show the variations in cost and time performance. To control for the effect of size of project, the gross floor area of the projects was included in each chart. The salient points observed in Fig. 4.1 include a small but noticeable improvement in the cost performance of projects as the size of the projects increase; </w:t>
      </w:r>
      <w:r>
        <w:rPr>
          <w:rFonts w:eastAsia="Calibri"/>
          <w:color w:val="000000"/>
          <w:sz w:val="24"/>
          <w:szCs w:val="24"/>
        </w:rPr>
        <w:t>t</w:t>
      </w:r>
      <w:r w:rsidRPr="00505ED0">
        <w:rPr>
          <w:rFonts w:eastAsia="Calibri"/>
          <w:color w:val="000000"/>
          <w:sz w:val="24"/>
          <w:szCs w:val="24"/>
        </w:rPr>
        <w:t xml:space="preserve">he costs of larger projects thus tended to be closer to their initial </w:t>
      </w:r>
      <w:r w:rsidRPr="00505ED0">
        <w:rPr>
          <w:rFonts w:eastAsia="Calibri"/>
          <w:color w:val="000000"/>
          <w:sz w:val="24"/>
          <w:szCs w:val="24"/>
        </w:rPr>
        <w:lastRenderedPageBreak/>
        <w:t>planned costs. Project managers have apparent</w:t>
      </w:r>
      <w:r>
        <w:rPr>
          <w:rFonts w:eastAsia="Calibri"/>
          <w:color w:val="000000"/>
          <w:sz w:val="24"/>
          <w:szCs w:val="24"/>
        </w:rPr>
        <w:t>ly</w:t>
      </w:r>
      <w:r w:rsidRPr="00505ED0">
        <w:rPr>
          <w:rFonts w:eastAsia="Calibri"/>
          <w:color w:val="000000"/>
          <w:sz w:val="24"/>
          <w:szCs w:val="24"/>
        </w:rPr>
        <w:t xml:space="preserve"> been able to complete projects at costs ranging between 0% and 30% higher than were initially planned. </w:t>
      </w:r>
    </w:p>
    <w:p w14:paraId="5F71C7D7" w14:textId="77777777" w:rsidR="00F661AE" w:rsidRPr="001917F5" w:rsidRDefault="00F661AE" w:rsidP="00F661AE">
      <w:pPr>
        <w:spacing w:line="360" w:lineRule="auto"/>
        <w:rPr>
          <w:sz w:val="24"/>
          <w:szCs w:val="24"/>
        </w:rPr>
      </w:pPr>
      <w:r w:rsidRPr="001917F5">
        <w:rPr>
          <w:noProof/>
          <w:sz w:val="24"/>
          <w:szCs w:val="24"/>
          <w:lang w:eastAsia="en-GB"/>
        </w:rPr>
        <w:drawing>
          <wp:inline distT="0" distB="0" distL="0" distR="0" wp14:anchorId="4BBDAF93" wp14:editId="47056747">
            <wp:extent cx="5722531" cy="3274828"/>
            <wp:effectExtent l="19050" t="0" r="11519" b="1772"/>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0C72AD" w14:textId="77777777" w:rsidR="00F661AE" w:rsidRPr="001917F5" w:rsidRDefault="00F661AE" w:rsidP="00F661AE">
      <w:pPr>
        <w:spacing w:line="360" w:lineRule="auto"/>
        <w:jc w:val="center"/>
        <w:rPr>
          <w:sz w:val="24"/>
          <w:szCs w:val="24"/>
        </w:rPr>
      </w:pPr>
      <w:r w:rsidRPr="001917F5">
        <w:rPr>
          <w:bCs/>
          <w:sz w:val="24"/>
          <w:szCs w:val="24"/>
        </w:rPr>
        <w:t>Fig. 4.1: Difference between initial and final costs</w:t>
      </w:r>
    </w:p>
    <w:p w14:paraId="17981C16" w14:textId="77777777" w:rsidR="00F661AE" w:rsidRPr="001917F5" w:rsidRDefault="00F661AE" w:rsidP="00F661AE">
      <w:pPr>
        <w:spacing w:line="480" w:lineRule="auto"/>
        <w:jc w:val="both"/>
        <w:rPr>
          <w:sz w:val="24"/>
          <w:szCs w:val="24"/>
        </w:rPr>
      </w:pPr>
    </w:p>
    <w:p w14:paraId="417A252D" w14:textId="77777777" w:rsidR="00F661AE" w:rsidRPr="00505ED0" w:rsidRDefault="00F661AE" w:rsidP="00F661AE">
      <w:pPr>
        <w:spacing w:line="360" w:lineRule="auto"/>
        <w:jc w:val="both"/>
        <w:rPr>
          <w:rFonts w:eastAsia="Calibri"/>
          <w:color w:val="000000"/>
          <w:sz w:val="24"/>
          <w:szCs w:val="24"/>
        </w:rPr>
      </w:pPr>
      <w:r>
        <w:rPr>
          <w:rFonts w:eastAsia="Calibri"/>
          <w:color w:val="000000"/>
          <w:sz w:val="24"/>
          <w:szCs w:val="24"/>
        </w:rPr>
        <w:t>T</w:t>
      </w:r>
      <w:r w:rsidRPr="00505ED0">
        <w:rPr>
          <w:rFonts w:eastAsia="Calibri"/>
          <w:color w:val="000000"/>
          <w:sz w:val="24"/>
          <w:szCs w:val="24"/>
        </w:rPr>
        <w:t>he time performance of projects, which was presented in Fig. 4.2, showed that projects were generally completed between 0% and 100% of their initially planned periods. The upward sloping trend</w:t>
      </w:r>
      <w:r>
        <w:rPr>
          <w:rFonts w:eastAsia="Calibri"/>
          <w:color w:val="000000"/>
          <w:sz w:val="24"/>
          <w:szCs w:val="24"/>
        </w:rPr>
        <w:t xml:space="preserve"> line indicated that</w:t>
      </w:r>
      <w:r w:rsidRPr="00505ED0">
        <w:rPr>
          <w:rFonts w:eastAsia="Calibri"/>
          <w:color w:val="000000"/>
          <w:sz w:val="24"/>
          <w:szCs w:val="24"/>
        </w:rPr>
        <w:t xml:space="preserve"> larger projects tended to be completed at longer periods than initially planned. These results reveal that time performance of residential housing estate projects should be an area of concern for project managers. Efforts need to be intensified to redress a situation where almost all projects take at least one-and-a-half times as long as planned to complete. The success of such efforts can also be expected to have positive impact on the cost performance of the projects, since there is a close relationship between project cost and time.</w:t>
      </w:r>
    </w:p>
    <w:p w14:paraId="05F0F722" w14:textId="77777777" w:rsidR="00F661AE" w:rsidRPr="001917F5" w:rsidRDefault="00F661AE" w:rsidP="00F661AE">
      <w:pPr>
        <w:spacing w:line="360" w:lineRule="auto"/>
        <w:rPr>
          <w:sz w:val="24"/>
          <w:szCs w:val="24"/>
        </w:rPr>
      </w:pPr>
      <w:r w:rsidRPr="001917F5">
        <w:rPr>
          <w:noProof/>
          <w:sz w:val="24"/>
          <w:szCs w:val="24"/>
          <w:lang w:eastAsia="en-GB"/>
        </w:rPr>
        <w:lastRenderedPageBreak/>
        <w:drawing>
          <wp:inline distT="0" distB="0" distL="0" distR="0" wp14:anchorId="3557F692" wp14:editId="0A9B0879">
            <wp:extent cx="5357495" cy="3211195"/>
            <wp:effectExtent l="19050" t="0" r="14605" b="8255"/>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458748" w14:textId="77777777" w:rsidR="00F661AE" w:rsidRPr="001917F5" w:rsidRDefault="00F661AE" w:rsidP="00F661AE">
      <w:pPr>
        <w:spacing w:line="360" w:lineRule="auto"/>
        <w:jc w:val="center"/>
        <w:rPr>
          <w:bCs/>
          <w:sz w:val="24"/>
          <w:szCs w:val="24"/>
        </w:rPr>
      </w:pPr>
      <w:r w:rsidRPr="001917F5">
        <w:rPr>
          <w:bCs/>
          <w:sz w:val="24"/>
          <w:szCs w:val="24"/>
        </w:rPr>
        <w:t>Fig. 4.2: Difference between initial and final time schedules</w:t>
      </w:r>
    </w:p>
    <w:p w14:paraId="6E6383E9" w14:textId="77777777" w:rsidR="00F661AE" w:rsidRDefault="00F661AE" w:rsidP="00F661AE">
      <w:pPr>
        <w:spacing w:line="360" w:lineRule="auto"/>
        <w:jc w:val="both"/>
        <w:rPr>
          <w:rFonts w:eastAsia="Calibri"/>
          <w:b/>
          <w:sz w:val="24"/>
          <w:szCs w:val="24"/>
        </w:rPr>
      </w:pPr>
    </w:p>
    <w:p w14:paraId="7AC868AB" w14:textId="77777777" w:rsidR="00F661AE" w:rsidRPr="001917F5" w:rsidRDefault="00F661AE" w:rsidP="00F661AE">
      <w:pPr>
        <w:spacing w:line="360" w:lineRule="auto"/>
        <w:jc w:val="both"/>
        <w:rPr>
          <w:rFonts w:eastAsia="Calibri"/>
          <w:b/>
          <w:sz w:val="24"/>
          <w:szCs w:val="24"/>
        </w:rPr>
      </w:pPr>
      <w:r w:rsidRPr="001917F5">
        <w:rPr>
          <w:rFonts w:eastAsia="Calibri"/>
          <w:b/>
          <w:sz w:val="24"/>
          <w:szCs w:val="24"/>
        </w:rPr>
        <w:t xml:space="preserve">CONCLUSION </w:t>
      </w:r>
    </w:p>
    <w:p w14:paraId="75645F08" w14:textId="77777777" w:rsidR="00F661AE" w:rsidRDefault="00F661AE" w:rsidP="00F661AE">
      <w:pPr>
        <w:spacing w:line="360" w:lineRule="auto"/>
        <w:jc w:val="both"/>
        <w:rPr>
          <w:rFonts w:eastAsia="Calibri"/>
          <w:sz w:val="24"/>
          <w:szCs w:val="24"/>
        </w:rPr>
      </w:pPr>
      <w:r w:rsidRPr="001917F5">
        <w:rPr>
          <w:rFonts w:eastAsia="Calibri"/>
          <w:sz w:val="24"/>
          <w:szCs w:val="24"/>
        </w:rPr>
        <w:t xml:space="preserve">This </w:t>
      </w:r>
      <w:r>
        <w:rPr>
          <w:rFonts w:eastAsia="Calibri"/>
          <w:sz w:val="24"/>
          <w:szCs w:val="24"/>
        </w:rPr>
        <w:t>paper</w:t>
      </w:r>
      <w:r w:rsidRPr="001917F5">
        <w:rPr>
          <w:rFonts w:eastAsia="Calibri"/>
          <w:sz w:val="24"/>
          <w:szCs w:val="24"/>
        </w:rPr>
        <w:t xml:space="preserve"> assess</w:t>
      </w:r>
      <w:r>
        <w:rPr>
          <w:rFonts w:eastAsia="Calibri"/>
          <w:sz w:val="24"/>
          <w:szCs w:val="24"/>
        </w:rPr>
        <w:t>ed</w:t>
      </w:r>
      <w:r w:rsidRPr="001917F5">
        <w:rPr>
          <w:rFonts w:eastAsia="Calibri"/>
          <w:sz w:val="24"/>
          <w:szCs w:val="24"/>
        </w:rPr>
        <w:t xml:space="preserve"> the performance of project managers on sustainable construction of residential estates developments. Using close-ended-design questionnaires</w:t>
      </w:r>
      <w:r>
        <w:rPr>
          <w:rFonts w:eastAsia="Calibri"/>
          <w:sz w:val="24"/>
          <w:szCs w:val="24"/>
        </w:rPr>
        <w:t>,</w:t>
      </w:r>
      <w:r w:rsidRPr="001917F5">
        <w:rPr>
          <w:rFonts w:eastAsia="Calibri"/>
          <w:sz w:val="24"/>
          <w:szCs w:val="24"/>
        </w:rPr>
        <w:t xml:space="preserve"> </w:t>
      </w:r>
      <w:r>
        <w:rPr>
          <w:rFonts w:eastAsia="Calibri"/>
          <w:sz w:val="24"/>
          <w:szCs w:val="24"/>
        </w:rPr>
        <w:t>d</w:t>
      </w:r>
      <w:r w:rsidRPr="001917F5">
        <w:rPr>
          <w:rFonts w:eastAsia="Calibri"/>
          <w:sz w:val="24"/>
          <w:szCs w:val="24"/>
        </w:rPr>
        <w:t>ata was collected from 26 Project Managers (PMs)</w:t>
      </w:r>
      <w:r>
        <w:rPr>
          <w:rFonts w:eastAsia="Calibri"/>
          <w:sz w:val="24"/>
          <w:szCs w:val="24"/>
        </w:rPr>
        <w:t>;</w:t>
      </w:r>
      <w:r w:rsidRPr="001917F5">
        <w:rPr>
          <w:rFonts w:eastAsia="Calibri"/>
          <w:sz w:val="24"/>
          <w:szCs w:val="24"/>
        </w:rPr>
        <w:t xml:space="preserve"> project</w:t>
      </w:r>
      <w:r>
        <w:rPr>
          <w:rFonts w:eastAsia="Calibri"/>
          <w:sz w:val="24"/>
          <w:szCs w:val="24"/>
        </w:rPr>
        <w:t xml:space="preserve"> cost</w:t>
      </w:r>
      <w:r w:rsidRPr="001917F5">
        <w:rPr>
          <w:rFonts w:eastAsia="Calibri"/>
          <w:sz w:val="24"/>
          <w:szCs w:val="24"/>
        </w:rPr>
        <w:t xml:space="preserve"> data was obtained on 22 residential estate projects. </w:t>
      </w:r>
      <w:r>
        <w:rPr>
          <w:rFonts w:eastAsia="Calibri"/>
          <w:sz w:val="24"/>
          <w:szCs w:val="24"/>
        </w:rPr>
        <w:t>The findings from a</w:t>
      </w:r>
      <w:r w:rsidRPr="001917F5">
        <w:rPr>
          <w:rFonts w:eastAsia="Calibri"/>
          <w:sz w:val="24"/>
          <w:szCs w:val="24"/>
        </w:rPr>
        <w:t xml:space="preserve">nalysis of data revealed that </w:t>
      </w:r>
      <w:r>
        <w:rPr>
          <w:rFonts w:eastAsia="Calibri"/>
          <w:sz w:val="24"/>
          <w:szCs w:val="24"/>
        </w:rPr>
        <w:t>Project Managers</w:t>
      </w:r>
      <w:r w:rsidRPr="001917F5">
        <w:rPr>
          <w:rFonts w:eastAsia="Calibri"/>
          <w:sz w:val="24"/>
          <w:szCs w:val="24"/>
        </w:rPr>
        <w:t xml:space="preserve"> rated themselves high in ten competencies and </w:t>
      </w:r>
      <w:r w:rsidRPr="001917F5">
        <w:rPr>
          <w:rFonts w:eastAsia="Calibri"/>
          <w:bCs/>
          <w:sz w:val="24"/>
          <w:szCs w:val="24"/>
        </w:rPr>
        <w:t xml:space="preserve">moderate in six competencies that include Budgeting, Risk management, and Emotional intelligence. All three </w:t>
      </w:r>
      <w:r>
        <w:rPr>
          <w:rFonts w:eastAsia="Calibri"/>
          <w:bCs/>
          <w:sz w:val="24"/>
          <w:szCs w:val="24"/>
        </w:rPr>
        <w:t xml:space="preserve">of the </w:t>
      </w:r>
      <w:r w:rsidRPr="001917F5">
        <w:rPr>
          <w:rFonts w:eastAsia="Calibri"/>
          <w:sz w:val="24"/>
          <w:szCs w:val="24"/>
        </w:rPr>
        <w:t>traditional ‘iron triangle’ of project performance</w:t>
      </w:r>
      <w:r>
        <w:rPr>
          <w:rFonts w:eastAsia="Calibri"/>
          <w:sz w:val="24"/>
          <w:szCs w:val="24"/>
        </w:rPr>
        <w:t xml:space="preserve"> indices (cost; quality; time) we</w:t>
      </w:r>
      <w:r w:rsidRPr="001917F5">
        <w:rPr>
          <w:rFonts w:eastAsia="Calibri"/>
          <w:sz w:val="24"/>
          <w:szCs w:val="24"/>
        </w:rPr>
        <w:t xml:space="preserve">re </w:t>
      </w:r>
      <w:r>
        <w:rPr>
          <w:rFonts w:eastAsia="Calibri"/>
          <w:sz w:val="24"/>
          <w:szCs w:val="24"/>
        </w:rPr>
        <w:t>highly</w:t>
      </w:r>
      <w:r w:rsidRPr="001917F5">
        <w:rPr>
          <w:rFonts w:eastAsia="Calibri"/>
          <w:sz w:val="24"/>
          <w:szCs w:val="24"/>
        </w:rPr>
        <w:t xml:space="preserve"> influenced by technical competencies such as </w:t>
      </w:r>
      <w:r w:rsidRPr="001917F5">
        <w:rPr>
          <w:rFonts w:eastAsia="Calibri"/>
          <w:bCs/>
          <w:sz w:val="24"/>
          <w:szCs w:val="24"/>
        </w:rPr>
        <w:t xml:space="preserve">Budgeting </w:t>
      </w:r>
      <w:r w:rsidRPr="001917F5">
        <w:rPr>
          <w:rFonts w:eastAsia="Calibri"/>
          <w:sz w:val="24"/>
          <w:szCs w:val="24"/>
        </w:rPr>
        <w:t xml:space="preserve">and </w:t>
      </w:r>
      <w:r>
        <w:rPr>
          <w:rFonts w:eastAsia="Calibri"/>
          <w:bCs/>
          <w:sz w:val="24"/>
          <w:szCs w:val="24"/>
        </w:rPr>
        <w:t>Procurement management</w:t>
      </w:r>
      <w:r w:rsidRPr="001917F5">
        <w:rPr>
          <w:rFonts w:eastAsia="Calibri"/>
          <w:bCs/>
          <w:sz w:val="24"/>
          <w:szCs w:val="24"/>
        </w:rPr>
        <w:t xml:space="preserve">. </w:t>
      </w:r>
      <w:r>
        <w:rPr>
          <w:rFonts w:eastAsia="Calibri"/>
          <w:bCs/>
          <w:sz w:val="24"/>
          <w:szCs w:val="24"/>
        </w:rPr>
        <w:t>It was inferred from the data that l</w:t>
      </w:r>
      <w:r w:rsidRPr="001917F5">
        <w:rPr>
          <w:rFonts w:eastAsia="Calibri"/>
          <w:sz w:val="24"/>
          <w:szCs w:val="24"/>
        </w:rPr>
        <w:t>arger projects had better cost performance, but poorer schedule performance. Residential estate projects were generally completed at up to 30% higher than initial costs, and up to 100% of initially scheduled completion periods.</w:t>
      </w:r>
    </w:p>
    <w:p w14:paraId="269E99F0" w14:textId="77777777" w:rsidR="00F661AE" w:rsidRPr="00781788" w:rsidRDefault="00F661AE" w:rsidP="00F661AE">
      <w:pPr>
        <w:spacing w:line="360" w:lineRule="auto"/>
        <w:jc w:val="both"/>
        <w:rPr>
          <w:rFonts w:eastAsia="Calibri"/>
          <w:sz w:val="24"/>
          <w:szCs w:val="24"/>
        </w:rPr>
      </w:pPr>
      <w:r>
        <w:rPr>
          <w:rFonts w:eastAsia="Calibri"/>
          <w:sz w:val="24"/>
          <w:szCs w:val="24"/>
        </w:rPr>
        <w:t xml:space="preserve">Based on the findings, it was recommended that </w:t>
      </w:r>
      <w:r w:rsidRPr="001917F5">
        <w:rPr>
          <w:rFonts w:eastAsia="Calibri"/>
          <w:sz w:val="24"/>
          <w:szCs w:val="24"/>
        </w:rPr>
        <w:t xml:space="preserve">Project Managers </w:t>
      </w:r>
      <w:r>
        <w:rPr>
          <w:rFonts w:eastAsia="Calibri"/>
          <w:sz w:val="24"/>
          <w:szCs w:val="24"/>
        </w:rPr>
        <w:t xml:space="preserve">participate in </w:t>
      </w:r>
      <w:r w:rsidRPr="001917F5">
        <w:rPr>
          <w:rFonts w:eastAsia="Calibri"/>
          <w:sz w:val="24"/>
          <w:szCs w:val="24"/>
        </w:rPr>
        <w:t xml:space="preserve">Continuing Professional Development </w:t>
      </w:r>
      <w:r>
        <w:rPr>
          <w:rFonts w:eastAsia="Calibri"/>
          <w:sz w:val="24"/>
          <w:szCs w:val="24"/>
        </w:rPr>
        <w:t xml:space="preserve">(CPD) </w:t>
      </w:r>
      <w:r w:rsidRPr="001917F5">
        <w:rPr>
          <w:rFonts w:eastAsia="Calibri"/>
          <w:sz w:val="24"/>
          <w:szCs w:val="24"/>
        </w:rPr>
        <w:t xml:space="preserve">in order to hone their competencies in areas </w:t>
      </w:r>
      <w:r>
        <w:rPr>
          <w:rFonts w:eastAsia="Calibri"/>
          <w:sz w:val="24"/>
          <w:szCs w:val="24"/>
        </w:rPr>
        <w:t>s</w:t>
      </w:r>
      <w:r w:rsidRPr="001917F5">
        <w:rPr>
          <w:rFonts w:eastAsia="Calibri"/>
          <w:sz w:val="24"/>
          <w:szCs w:val="24"/>
        </w:rPr>
        <w:t xml:space="preserve">uch </w:t>
      </w:r>
      <w:r>
        <w:rPr>
          <w:rFonts w:eastAsia="Calibri"/>
          <w:sz w:val="24"/>
          <w:szCs w:val="24"/>
        </w:rPr>
        <w:t xml:space="preserve">as </w:t>
      </w:r>
      <w:r w:rsidRPr="001917F5">
        <w:rPr>
          <w:rFonts w:eastAsia="Calibri"/>
          <w:bCs/>
          <w:sz w:val="24"/>
          <w:szCs w:val="24"/>
        </w:rPr>
        <w:t>Budgeting, Risk management, and Emotional intelligence</w:t>
      </w:r>
      <w:r w:rsidRPr="001917F5">
        <w:rPr>
          <w:rFonts w:eastAsia="Calibri"/>
          <w:sz w:val="24"/>
          <w:szCs w:val="24"/>
        </w:rPr>
        <w:t xml:space="preserve"> where some weakness has been identified in this study.</w:t>
      </w:r>
      <w:r>
        <w:rPr>
          <w:rFonts w:eastAsia="Calibri"/>
          <w:sz w:val="24"/>
          <w:szCs w:val="24"/>
        </w:rPr>
        <w:t xml:space="preserve"> </w:t>
      </w:r>
      <w:r w:rsidRPr="001917F5">
        <w:rPr>
          <w:rFonts w:eastAsia="Calibri"/>
          <w:sz w:val="24"/>
          <w:szCs w:val="24"/>
        </w:rPr>
        <w:t xml:space="preserve">Project Managers should pay greater attention to managing </w:t>
      </w:r>
      <w:r>
        <w:rPr>
          <w:rFonts w:eastAsia="Calibri"/>
          <w:sz w:val="24"/>
          <w:szCs w:val="24"/>
        </w:rPr>
        <w:t>project</w:t>
      </w:r>
      <w:r w:rsidRPr="001917F5">
        <w:rPr>
          <w:rFonts w:eastAsia="Calibri"/>
          <w:sz w:val="24"/>
          <w:szCs w:val="24"/>
        </w:rPr>
        <w:t xml:space="preserve"> schedule</w:t>
      </w:r>
      <w:r>
        <w:rPr>
          <w:rFonts w:eastAsia="Calibri"/>
          <w:sz w:val="24"/>
          <w:szCs w:val="24"/>
        </w:rPr>
        <w:t>s, because s</w:t>
      </w:r>
      <w:r w:rsidRPr="001917F5">
        <w:rPr>
          <w:rFonts w:eastAsia="Calibri"/>
          <w:sz w:val="24"/>
          <w:szCs w:val="24"/>
        </w:rPr>
        <w:t xml:space="preserve">ignificant unplanned extensions in completion times are bound to have some negative effect on the cost and quality </w:t>
      </w:r>
      <w:r w:rsidRPr="001917F5">
        <w:rPr>
          <w:rFonts w:eastAsia="Calibri"/>
          <w:sz w:val="24"/>
          <w:szCs w:val="24"/>
        </w:rPr>
        <w:lastRenderedPageBreak/>
        <w:t xml:space="preserve">performance of </w:t>
      </w:r>
      <w:r w:rsidRPr="001917F5">
        <w:rPr>
          <w:rFonts w:eastAsia="Calibri"/>
          <w:bCs/>
          <w:sz w:val="24"/>
          <w:szCs w:val="24"/>
        </w:rPr>
        <w:t xml:space="preserve">projects. </w:t>
      </w:r>
      <w:r w:rsidRPr="001917F5">
        <w:rPr>
          <w:rFonts w:eastAsia="Calibri"/>
          <w:sz w:val="24"/>
          <w:szCs w:val="24"/>
        </w:rPr>
        <w:t>This is an area where improvements in ability to apply soft competencies such as those in the Political category (Social astuteness, Interpersonal influence, Networking ability, and Apparent sincerity) will be useful.</w:t>
      </w:r>
    </w:p>
    <w:p w14:paraId="2D84528C" w14:textId="77777777" w:rsidR="00F661AE" w:rsidRDefault="00F661AE" w:rsidP="00F661AE">
      <w:pPr>
        <w:spacing w:line="360" w:lineRule="auto"/>
        <w:jc w:val="both"/>
        <w:rPr>
          <w:rFonts w:eastAsia="Calibri"/>
          <w:sz w:val="24"/>
          <w:szCs w:val="24"/>
        </w:rPr>
      </w:pPr>
    </w:p>
    <w:p w14:paraId="485F8DD7" w14:textId="77777777" w:rsidR="00F661AE" w:rsidRPr="001917F5" w:rsidRDefault="00F661AE" w:rsidP="00F661AE">
      <w:pPr>
        <w:spacing w:line="360" w:lineRule="auto"/>
        <w:jc w:val="both"/>
        <w:rPr>
          <w:rFonts w:eastAsia="Calibri"/>
          <w:sz w:val="24"/>
          <w:szCs w:val="24"/>
        </w:rPr>
      </w:pPr>
    </w:p>
    <w:p w14:paraId="14D147CD" w14:textId="77777777" w:rsidR="00F661AE" w:rsidRPr="001917F5" w:rsidRDefault="00F661AE" w:rsidP="00F661AE">
      <w:pPr>
        <w:spacing w:after="200" w:line="276" w:lineRule="auto"/>
        <w:rPr>
          <w:rFonts w:eastAsia="Calibri"/>
          <w:b/>
          <w:sz w:val="24"/>
          <w:szCs w:val="24"/>
        </w:rPr>
      </w:pPr>
      <w:r w:rsidRPr="001917F5">
        <w:rPr>
          <w:rFonts w:eastAsia="Calibri"/>
          <w:b/>
          <w:sz w:val="24"/>
          <w:szCs w:val="24"/>
        </w:rPr>
        <w:t>REFERENCES</w:t>
      </w:r>
    </w:p>
    <w:p w14:paraId="3BBC3D05" w14:textId="77777777" w:rsidR="00F661AE" w:rsidRPr="001917F5" w:rsidRDefault="00F661AE" w:rsidP="00F661AE">
      <w:pPr>
        <w:spacing w:after="200" w:line="276" w:lineRule="auto"/>
        <w:ind w:left="720" w:hanging="720"/>
        <w:jc w:val="both"/>
        <w:rPr>
          <w:rFonts w:eastAsia="Calibri"/>
          <w:sz w:val="24"/>
          <w:szCs w:val="24"/>
        </w:rPr>
      </w:pPr>
      <w:proofErr w:type="spellStart"/>
      <w:r w:rsidRPr="001917F5">
        <w:rPr>
          <w:rFonts w:eastAsia="Calibri"/>
          <w:sz w:val="24"/>
          <w:szCs w:val="24"/>
        </w:rPr>
        <w:t>Abigo</w:t>
      </w:r>
      <w:proofErr w:type="spellEnd"/>
      <w:r w:rsidRPr="001917F5">
        <w:rPr>
          <w:rFonts w:eastAsia="Calibri"/>
          <w:sz w:val="24"/>
          <w:szCs w:val="24"/>
        </w:rPr>
        <w:t xml:space="preserve">. A., </w:t>
      </w:r>
      <w:proofErr w:type="spellStart"/>
      <w:r w:rsidRPr="001917F5">
        <w:rPr>
          <w:rFonts w:eastAsia="Calibri"/>
          <w:sz w:val="24"/>
          <w:szCs w:val="24"/>
        </w:rPr>
        <w:t>Madgwick</w:t>
      </w:r>
      <w:proofErr w:type="spellEnd"/>
      <w:r w:rsidRPr="001917F5">
        <w:rPr>
          <w:rFonts w:eastAsia="Calibri"/>
          <w:sz w:val="24"/>
          <w:szCs w:val="24"/>
        </w:rPr>
        <w:t xml:space="preserve">. D., Gidado. K. and </w:t>
      </w:r>
      <w:proofErr w:type="spellStart"/>
      <w:r w:rsidRPr="001917F5">
        <w:rPr>
          <w:rFonts w:eastAsia="Calibri"/>
          <w:sz w:val="24"/>
          <w:szCs w:val="24"/>
        </w:rPr>
        <w:t>Okonji.S</w:t>
      </w:r>
      <w:proofErr w:type="spellEnd"/>
      <w:r w:rsidRPr="001917F5">
        <w:rPr>
          <w:rFonts w:eastAsia="Calibri"/>
          <w:sz w:val="24"/>
          <w:szCs w:val="24"/>
        </w:rPr>
        <w:t>. (2012</w:t>
      </w:r>
      <w:proofErr w:type="gramStart"/>
      <w:r w:rsidRPr="001917F5">
        <w:rPr>
          <w:rFonts w:eastAsia="Calibri"/>
          <w:sz w:val="24"/>
          <w:szCs w:val="24"/>
        </w:rPr>
        <w:t>).Embedding</w:t>
      </w:r>
      <w:proofErr w:type="gramEnd"/>
      <w:r w:rsidRPr="001917F5">
        <w:rPr>
          <w:rFonts w:eastAsia="Calibri"/>
          <w:sz w:val="24"/>
          <w:szCs w:val="24"/>
        </w:rPr>
        <w:t xml:space="preserve"> Sustainable Facilities Management in the Management of Public Buildings in Nigeria. EPPM 2012, University of Brighton, Brighton, UK, 10-11 September 2012. Viewed from </w:t>
      </w:r>
      <w:hyperlink r:id="rId12" w:history="1">
        <w:r w:rsidRPr="001917F5">
          <w:rPr>
            <w:rFonts w:eastAsia="Calibri"/>
            <w:color w:val="0000FF"/>
            <w:sz w:val="24"/>
            <w:szCs w:val="24"/>
            <w:u w:val="single"/>
          </w:rPr>
          <w:t>http://www.ppml.url.tw/EPPM/conferences/2012/downioad/</w:t>
        </w:r>
      </w:hyperlink>
      <w:r w:rsidRPr="001917F5">
        <w:rPr>
          <w:rFonts w:eastAsia="Calibri"/>
          <w:sz w:val="24"/>
          <w:szCs w:val="24"/>
        </w:rPr>
        <w:t xml:space="preserve"> SESSON5_B/35%20E139.pdf. Accessed 26/01/2013.</w:t>
      </w:r>
    </w:p>
    <w:p w14:paraId="3F7DAF79" w14:textId="77777777" w:rsidR="00F661AE" w:rsidRPr="001917F5" w:rsidRDefault="00F661AE" w:rsidP="00F661AE">
      <w:pPr>
        <w:spacing w:after="200" w:line="276" w:lineRule="auto"/>
        <w:ind w:left="720" w:hanging="720"/>
        <w:jc w:val="both"/>
        <w:rPr>
          <w:rFonts w:eastAsia="Calibri"/>
          <w:sz w:val="24"/>
          <w:szCs w:val="24"/>
        </w:rPr>
      </w:pPr>
      <w:proofErr w:type="spellStart"/>
      <w:r w:rsidRPr="001917F5">
        <w:rPr>
          <w:rFonts w:eastAsia="Calibri"/>
          <w:sz w:val="24"/>
          <w:szCs w:val="24"/>
        </w:rPr>
        <w:t>Adejimi</w:t>
      </w:r>
      <w:proofErr w:type="spellEnd"/>
      <w:r w:rsidRPr="001917F5">
        <w:rPr>
          <w:rFonts w:eastAsia="Calibri"/>
          <w:sz w:val="24"/>
          <w:szCs w:val="24"/>
        </w:rPr>
        <w:t xml:space="preserve">, A. (2005). Poor Building Maintenance in Nigeria: Are Architects Free from Blames? </w:t>
      </w:r>
      <w:r w:rsidRPr="001917F5">
        <w:rPr>
          <w:rFonts w:eastAsia="Calibri"/>
          <w:i/>
          <w:sz w:val="24"/>
          <w:szCs w:val="24"/>
        </w:rPr>
        <w:t>A Paper Presented at the ENHR International Conference on “Housing: New Challenges and Innovations in Tomorrow’s Cities</w:t>
      </w:r>
      <w:r w:rsidRPr="001917F5">
        <w:rPr>
          <w:rFonts w:eastAsia="Calibri"/>
          <w:sz w:val="24"/>
          <w:szCs w:val="24"/>
        </w:rPr>
        <w:t>” in Iceland between 29th June - 3rd July, 2005.</w:t>
      </w:r>
    </w:p>
    <w:p w14:paraId="53C199CF" w14:textId="77777777" w:rsidR="00F661AE" w:rsidRPr="001917F5" w:rsidRDefault="00F661AE" w:rsidP="00F661AE">
      <w:pPr>
        <w:spacing w:after="200" w:line="276" w:lineRule="auto"/>
        <w:ind w:left="720" w:hanging="720"/>
        <w:jc w:val="both"/>
        <w:rPr>
          <w:rFonts w:eastAsia="Calibri"/>
          <w:sz w:val="24"/>
          <w:szCs w:val="24"/>
        </w:rPr>
      </w:pPr>
      <w:r w:rsidRPr="001917F5">
        <w:rPr>
          <w:rFonts w:eastAsia="Calibri"/>
          <w:sz w:val="24"/>
          <w:szCs w:val="24"/>
        </w:rPr>
        <w:t xml:space="preserve">Ahmed, R. and </w:t>
      </w:r>
      <w:proofErr w:type="spellStart"/>
      <w:r w:rsidRPr="001917F5">
        <w:rPr>
          <w:rFonts w:eastAsia="Calibri"/>
          <w:sz w:val="24"/>
          <w:szCs w:val="24"/>
        </w:rPr>
        <w:t>Anantatmula</w:t>
      </w:r>
      <w:proofErr w:type="spellEnd"/>
      <w:r w:rsidRPr="001917F5">
        <w:rPr>
          <w:rFonts w:eastAsia="Calibri"/>
          <w:sz w:val="24"/>
          <w:szCs w:val="24"/>
        </w:rPr>
        <w:t xml:space="preserve">, V. S. (2017). Empirical Study of Project Manager’s Leadership Competence and Project Performance. </w:t>
      </w:r>
      <w:r w:rsidRPr="001917F5">
        <w:rPr>
          <w:rFonts w:eastAsia="Calibri"/>
          <w:i/>
          <w:sz w:val="24"/>
          <w:szCs w:val="24"/>
        </w:rPr>
        <w:t>Engineering Management Journal</w:t>
      </w:r>
      <w:r w:rsidRPr="001917F5">
        <w:rPr>
          <w:rFonts w:eastAsia="Calibri"/>
          <w:sz w:val="24"/>
          <w:szCs w:val="24"/>
        </w:rPr>
        <w:t>; EMJ · August, DOI: 10.1080/10429247.2017.1343005</w:t>
      </w:r>
    </w:p>
    <w:p w14:paraId="453686C5" w14:textId="77777777" w:rsidR="00F661AE" w:rsidRPr="001917F5" w:rsidRDefault="00F661AE" w:rsidP="00F661AE">
      <w:pPr>
        <w:spacing w:after="200" w:line="276" w:lineRule="auto"/>
        <w:ind w:left="720" w:hanging="720"/>
        <w:jc w:val="both"/>
        <w:rPr>
          <w:rFonts w:eastAsia="Calibri"/>
          <w:sz w:val="24"/>
          <w:szCs w:val="24"/>
        </w:rPr>
      </w:pPr>
      <w:r w:rsidRPr="001917F5">
        <w:rPr>
          <w:rFonts w:eastAsia="Calibri"/>
          <w:sz w:val="24"/>
          <w:szCs w:val="24"/>
        </w:rPr>
        <w:t xml:space="preserve">Akande, O. K., </w:t>
      </w:r>
      <w:proofErr w:type="spellStart"/>
      <w:r w:rsidRPr="001917F5">
        <w:rPr>
          <w:rFonts w:eastAsia="Calibri"/>
          <w:sz w:val="24"/>
          <w:szCs w:val="24"/>
        </w:rPr>
        <w:t>Fabiyi</w:t>
      </w:r>
      <w:proofErr w:type="spellEnd"/>
      <w:r w:rsidRPr="001917F5">
        <w:rPr>
          <w:rFonts w:eastAsia="Calibri"/>
          <w:sz w:val="24"/>
          <w:szCs w:val="24"/>
        </w:rPr>
        <w:t xml:space="preserve">, O., and Mark, I. C. (2015). Sustainable Approach to Developing Energy Efficient Buildings for Resilient Future of the Built Environment in Nigeria. </w:t>
      </w:r>
      <w:r w:rsidRPr="001917F5">
        <w:rPr>
          <w:rFonts w:eastAsia="Calibri"/>
          <w:i/>
          <w:sz w:val="24"/>
          <w:szCs w:val="24"/>
        </w:rPr>
        <w:t>American Journal of Civil Engineering and Architecture</w:t>
      </w:r>
      <w:r w:rsidRPr="001917F5">
        <w:rPr>
          <w:rFonts w:eastAsia="Calibri"/>
          <w:sz w:val="24"/>
          <w:szCs w:val="24"/>
        </w:rPr>
        <w:t>, 3, 4, 144-152.</w:t>
      </w:r>
    </w:p>
    <w:p w14:paraId="57DD14F9" w14:textId="77777777" w:rsidR="00F661AE" w:rsidRDefault="00F661AE" w:rsidP="00F661AE">
      <w:pPr>
        <w:spacing w:after="200" w:line="276" w:lineRule="auto"/>
        <w:ind w:left="720" w:hanging="720"/>
        <w:jc w:val="both"/>
        <w:rPr>
          <w:rFonts w:eastAsia="Calibri"/>
          <w:sz w:val="24"/>
          <w:szCs w:val="24"/>
        </w:rPr>
      </w:pPr>
      <w:proofErr w:type="spellStart"/>
      <w:r w:rsidRPr="00D937A8">
        <w:rPr>
          <w:rFonts w:eastAsia="Calibri"/>
          <w:sz w:val="24"/>
          <w:szCs w:val="24"/>
        </w:rPr>
        <w:t>Almahmoud</w:t>
      </w:r>
      <w:proofErr w:type="spellEnd"/>
      <w:r w:rsidRPr="00D937A8">
        <w:rPr>
          <w:rFonts w:eastAsia="Calibri"/>
          <w:sz w:val="24"/>
          <w:szCs w:val="24"/>
        </w:rPr>
        <w:t xml:space="preserve">, E. S., </w:t>
      </w:r>
      <w:proofErr w:type="spellStart"/>
      <w:r w:rsidRPr="00D937A8">
        <w:rPr>
          <w:rFonts w:eastAsia="Calibri"/>
          <w:sz w:val="24"/>
          <w:szCs w:val="24"/>
        </w:rPr>
        <w:t>Doloi</w:t>
      </w:r>
      <w:proofErr w:type="spellEnd"/>
      <w:r w:rsidRPr="00D937A8">
        <w:rPr>
          <w:rFonts w:eastAsia="Calibri"/>
          <w:sz w:val="24"/>
          <w:szCs w:val="24"/>
        </w:rPr>
        <w:t xml:space="preserve">, H. K., </w:t>
      </w:r>
      <w:r>
        <w:rPr>
          <w:rFonts w:eastAsia="Calibri"/>
          <w:sz w:val="24"/>
          <w:szCs w:val="24"/>
        </w:rPr>
        <w:t>and</w:t>
      </w:r>
      <w:r w:rsidRPr="00D937A8">
        <w:rPr>
          <w:rFonts w:eastAsia="Calibri"/>
          <w:sz w:val="24"/>
          <w:szCs w:val="24"/>
        </w:rPr>
        <w:t xml:space="preserve"> </w:t>
      </w:r>
      <w:proofErr w:type="spellStart"/>
      <w:r w:rsidRPr="00D937A8">
        <w:rPr>
          <w:rFonts w:eastAsia="Calibri"/>
          <w:sz w:val="24"/>
          <w:szCs w:val="24"/>
        </w:rPr>
        <w:t>Panuwatwanich</w:t>
      </w:r>
      <w:proofErr w:type="spellEnd"/>
      <w:r w:rsidRPr="00D937A8">
        <w:rPr>
          <w:rFonts w:eastAsia="Calibri"/>
          <w:sz w:val="24"/>
          <w:szCs w:val="24"/>
        </w:rPr>
        <w:t xml:space="preserve">, K. (2012). Linking project health to project performance indicators: Multiple case studies of construction projects in Saudi Arabia. </w:t>
      </w:r>
      <w:r w:rsidRPr="007968AD">
        <w:rPr>
          <w:rFonts w:eastAsia="Calibri"/>
          <w:i/>
          <w:sz w:val="24"/>
          <w:szCs w:val="24"/>
        </w:rPr>
        <w:t>International Journal of Project Management</w:t>
      </w:r>
      <w:r w:rsidRPr="00D937A8">
        <w:rPr>
          <w:rFonts w:eastAsia="Calibri"/>
          <w:sz w:val="24"/>
          <w:szCs w:val="24"/>
        </w:rPr>
        <w:t>, 30(3), 296-307.</w:t>
      </w:r>
    </w:p>
    <w:p w14:paraId="577A7364" w14:textId="77777777" w:rsidR="00F661AE" w:rsidRDefault="00F661AE" w:rsidP="00F661AE">
      <w:pPr>
        <w:spacing w:after="200" w:line="276" w:lineRule="auto"/>
        <w:ind w:left="720" w:hanging="720"/>
        <w:jc w:val="both"/>
        <w:rPr>
          <w:rFonts w:eastAsia="Calibri"/>
          <w:sz w:val="24"/>
          <w:szCs w:val="24"/>
        </w:rPr>
      </w:pPr>
      <w:proofErr w:type="spellStart"/>
      <w:r w:rsidRPr="00D937A8">
        <w:rPr>
          <w:rFonts w:eastAsia="Calibri"/>
          <w:sz w:val="24"/>
          <w:szCs w:val="24"/>
        </w:rPr>
        <w:t>Anantatmula</w:t>
      </w:r>
      <w:proofErr w:type="spellEnd"/>
      <w:r w:rsidRPr="00D937A8">
        <w:rPr>
          <w:rFonts w:eastAsia="Calibri"/>
          <w:sz w:val="24"/>
          <w:szCs w:val="24"/>
        </w:rPr>
        <w:t xml:space="preserve">, V. S. (2010). Project Manager Leadership Role in Improving Project Performance. </w:t>
      </w:r>
      <w:r w:rsidRPr="007968AD">
        <w:rPr>
          <w:rFonts w:eastAsia="Calibri"/>
          <w:i/>
          <w:sz w:val="24"/>
          <w:szCs w:val="24"/>
        </w:rPr>
        <w:t>Engineering Management Journal</w:t>
      </w:r>
      <w:r w:rsidRPr="00D937A8">
        <w:rPr>
          <w:rFonts w:eastAsia="Calibri"/>
          <w:sz w:val="24"/>
          <w:szCs w:val="24"/>
        </w:rPr>
        <w:t>, 22(1), 13-22.</w:t>
      </w:r>
    </w:p>
    <w:p w14:paraId="0FA9A27E" w14:textId="77777777" w:rsidR="00F661AE" w:rsidRDefault="00F661AE" w:rsidP="00F661AE">
      <w:pPr>
        <w:spacing w:after="200" w:line="276" w:lineRule="auto"/>
        <w:ind w:left="720" w:hanging="720"/>
        <w:jc w:val="both"/>
        <w:rPr>
          <w:rFonts w:eastAsia="Calibri"/>
          <w:sz w:val="24"/>
          <w:szCs w:val="24"/>
        </w:rPr>
      </w:pPr>
      <w:proofErr w:type="spellStart"/>
      <w:r w:rsidRPr="00D937A8">
        <w:rPr>
          <w:rFonts w:eastAsia="Calibri"/>
          <w:sz w:val="24"/>
          <w:szCs w:val="24"/>
        </w:rPr>
        <w:t>Berssaneti</w:t>
      </w:r>
      <w:proofErr w:type="spellEnd"/>
      <w:r w:rsidRPr="00D937A8">
        <w:rPr>
          <w:rFonts w:eastAsia="Calibri"/>
          <w:sz w:val="24"/>
          <w:szCs w:val="24"/>
        </w:rPr>
        <w:t xml:space="preserve">, F. T., </w:t>
      </w:r>
      <w:r>
        <w:rPr>
          <w:rFonts w:eastAsia="Calibri"/>
          <w:sz w:val="24"/>
          <w:szCs w:val="24"/>
        </w:rPr>
        <w:t>and</w:t>
      </w:r>
      <w:r w:rsidRPr="00D937A8">
        <w:rPr>
          <w:rFonts w:eastAsia="Calibri"/>
          <w:sz w:val="24"/>
          <w:szCs w:val="24"/>
        </w:rPr>
        <w:t xml:space="preserve"> Carvalho, M. M. (2015). Identification of variables that impact project</w:t>
      </w:r>
      <w:r>
        <w:rPr>
          <w:rFonts w:eastAsia="Calibri"/>
          <w:sz w:val="24"/>
          <w:szCs w:val="24"/>
        </w:rPr>
        <w:t xml:space="preserve"> </w:t>
      </w:r>
      <w:r w:rsidRPr="00D937A8">
        <w:rPr>
          <w:rFonts w:eastAsia="Calibri"/>
          <w:sz w:val="24"/>
          <w:szCs w:val="24"/>
        </w:rPr>
        <w:t xml:space="preserve">success in Brazilian companies. </w:t>
      </w:r>
      <w:r w:rsidRPr="007968AD">
        <w:rPr>
          <w:rFonts w:eastAsia="Calibri"/>
          <w:i/>
          <w:sz w:val="24"/>
          <w:szCs w:val="24"/>
        </w:rPr>
        <w:t>International Journal of Project Management</w:t>
      </w:r>
      <w:r w:rsidRPr="00D937A8">
        <w:rPr>
          <w:rFonts w:eastAsia="Calibri"/>
          <w:sz w:val="24"/>
          <w:szCs w:val="24"/>
        </w:rPr>
        <w:t>, 33(3), 638-649.</w:t>
      </w:r>
    </w:p>
    <w:p w14:paraId="79CB631C" w14:textId="77777777" w:rsidR="00F661AE" w:rsidRPr="001917F5" w:rsidRDefault="00F661AE" w:rsidP="00F661AE">
      <w:pPr>
        <w:spacing w:after="200" w:line="276" w:lineRule="auto"/>
        <w:ind w:left="720" w:hanging="720"/>
        <w:jc w:val="both"/>
        <w:rPr>
          <w:rFonts w:eastAsia="Calibri"/>
          <w:sz w:val="24"/>
          <w:szCs w:val="24"/>
        </w:rPr>
      </w:pPr>
      <w:r w:rsidRPr="001917F5">
        <w:rPr>
          <w:rFonts w:eastAsia="Calibri"/>
          <w:sz w:val="24"/>
          <w:szCs w:val="24"/>
        </w:rPr>
        <w:t>Chartered Institute of Building (CIOB)</w:t>
      </w:r>
      <w:r w:rsidRPr="001917F5">
        <w:rPr>
          <w:rFonts w:eastAsia="Calibri"/>
          <w:color w:val="FF0000"/>
          <w:sz w:val="24"/>
          <w:szCs w:val="24"/>
        </w:rPr>
        <w:t xml:space="preserve"> </w:t>
      </w:r>
      <w:r w:rsidRPr="001917F5">
        <w:rPr>
          <w:rFonts w:eastAsia="Calibri"/>
          <w:sz w:val="24"/>
          <w:szCs w:val="24"/>
        </w:rPr>
        <w:t>(2004). Sustainability and Construction. Chartered Institute of Building, Ascot.</w:t>
      </w:r>
    </w:p>
    <w:p w14:paraId="0AA610E0" w14:textId="77777777" w:rsidR="00F661AE" w:rsidRDefault="00F661AE" w:rsidP="00F661AE">
      <w:pPr>
        <w:spacing w:after="200"/>
        <w:ind w:left="720" w:hanging="720"/>
        <w:jc w:val="both"/>
        <w:rPr>
          <w:rFonts w:eastAsia="Calibri"/>
          <w:sz w:val="24"/>
          <w:szCs w:val="24"/>
        </w:rPr>
      </w:pPr>
      <w:proofErr w:type="spellStart"/>
      <w:r w:rsidRPr="00F64E5C">
        <w:rPr>
          <w:rFonts w:eastAsia="Calibri"/>
          <w:sz w:val="24"/>
          <w:szCs w:val="24"/>
        </w:rPr>
        <w:t>Gido</w:t>
      </w:r>
      <w:proofErr w:type="spellEnd"/>
      <w:r w:rsidRPr="00F64E5C">
        <w:rPr>
          <w:rFonts w:eastAsia="Calibri"/>
          <w:sz w:val="24"/>
          <w:szCs w:val="24"/>
        </w:rPr>
        <w:t xml:space="preserve">, J., </w:t>
      </w:r>
      <w:r>
        <w:rPr>
          <w:rFonts w:eastAsia="Calibri"/>
          <w:sz w:val="24"/>
          <w:szCs w:val="24"/>
        </w:rPr>
        <w:t>and</w:t>
      </w:r>
      <w:r w:rsidRPr="00D937A8">
        <w:rPr>
          <w:rFonts w:eastAsia="Calibri"/>
          <w:sz w:val="24"/>
          <w:szCs w:val="24"/>
        </w:rPr>
        <w:t xml:space="preserve"> </w:t>
      </w:r>
      <w:r w:rsidRPr="00F64E5C">
        <w:rPr>
          <w:rFonts w:eastAsia="Calibri"/>
          <w:sz w:val="24"/>
          <w:szCs w:val="24"/>
        </w:rPr>
        <w:t xml:space="preserve">Clements, J. (2012). Successful project management (with Microsoft Project and </w:t>
      </w:r>
      <w:proofErr w:type="spellStart"/>
      <w:r w:rsidRPr="00F64E5C">
        <w:rPr>
          <w:rFonts w:eastAsia="Calibri"/>
          <w:sz w:val="24"/>
          <w:szCs w:val="24"/>
        </w:rPr>
        <w:t>InfoTrac</w:t>
      </w:r>
      <w:proofErr w:type="spellEnd"/>
      <w:r w:rsidRPr="00F64E5C">
        <w:rPr>
          <w:rFonts w:eastAsia="Calibri"/>
          <w:sz w:val="24"/>
          <w:szCs w:val="24"/>
        </w:rPr>
        <w:t>). Mason, OH: South-Western College Publishing.</w:t>
      </w:r>
    </w:p>
    <w:p w14:paraId="1FE223D7" w14:textId="77777777" w:rsidR="00F661AE" w:rsidRPr="001917F5" w:rsidRDefault="00F661AE" w:rsidP="00F661AE">
      <w:pPr>
        <w:spacing w:after="200"/>
        <w:ind w:left="720" w:hanging="720"/>
        <w:jc w:val="both"/>
        <w:rPr>
          <w:rFonts w:eastAsia="Calibri"/>
          <w:sz w:val="24"/>
          <w:szCs w:val="24"/>
        </w:rPr>
      </w:pPr>
      <w:proofErr w:type="spellStart"/>
      <w:r w:rsidRPr="001917F5">
        <w:rPr>
          <w:rFonts w:eastAsia="Calibri"/>
          <w:sz w:val="24"/>
          <w:szCs w:val="24"/>
        </w:rPr>
        <w:t>Dimuna</w:t>
      </w:r>
      <w:proofErr w:type="spellEnd"/>
      <w:r w:rsidRPr="001917F5">
        <w:rPr>
          <w:rFonts w:eastAsia="Calibri"/>
          <w:sz w:val="24"/>
          <w:szCs w:val="24"/>
        </w:rPr>
        <w:t xml:space="preserve">, K. O. and </w:t>
      </w:r>
      <w:proofErr w:type="spellStart"/>
      <w:r w:rsidRPr="001917F5">
        <w:rPr>
          <w:rFonts w:eastAsia="Calibri"/>
          <w:sz w:val="24"/>
          <w:szCs w:val="24"/>
        </w:rPr>
        <w:t>Omatsone</w:t>
      </w:r>
      <w:proofErr w:type="spellEnd"/>
      <w:r w:rsidRPr="001917F5">
        <w:rPr>
          <w:rFonts w:eastAsia="Calibri"/>
          <w:sz w:val="24"/>
          <w:szCs w:val="24"/>
        </w:rPr>
        <w:t xml:space="preserve">, M. E. O. (2010). Regeneration in the Nigerian Urban Built Environment. </w:t>
      </w:r>
      <w:r w:rsidRPr="001917F5">
        <w:rPr>
          <w:rFonts w:eastAsia="Calibri"/>
          <w:i/>
          <w:sz w:val="24"/>
          <w:szCs w:val="24"/>
        </w:rPr>
        <w:t xml:space="preserve">J Hum </w:t>
      </w:r>
      <w:proofErr w:type="spellStart"/>
      <w:r w:rsidRPr="001917F5">
        <w:rPr>
          <w:rFonts w:eastAsia="Calibri"/>
          <w:i/>
          <w:sz w:val="24"/>
          <w:szCs w:val="24"/>
        </w:rPr>
        <w:t>Ecol</w:t>
      </w:r>
      <w:proofErr w:type="spellEnd"/>
      <w:r w:rsidRPr="001917F5">
        <w:rPr>
          <w:rFonts w:eastAsia="Calibri"/>
          <w:sz w:val="24"/>
          <w:szCs w:val="24"/>
        </w:rPr>
        <w:t>, 29, 2, 141-149.</w:t>
      </w:r>
    </w:p>
    <w:p w14:paraId="4185A701" w14:textId="77777777" w:rsidR="00F661AE" w:rsidRPr="001917F5" w:rsidRDefault="00F661AE" w:rsidP="00F661AE">
      <w:pPr>
        <w:spacing w:after="200"/>
        <w:ind w:left="720" w:hanging="720"/>
        <w:jc w:val="both"/>
        <w:rPr>
          <w:rFonts w:eastAsia="Calibri"/>
          <w:sz w:val="24"/>
          <w:szCs w:val="24"/>
        </w:rPr>
      </w:pPr>
      <w:r w:rsidRPr="001917F5">
        <w:rPr>
          <w:rFonts w:eastAsia="Calibri"/>
          <w:sz w:val="24"/>
          <w:szCs w:val="24"/>
        </w:rPr>
        <w:lastRenderedPageBreak/>
        <w:t>Edwards, B. (2010). Rough Guide to Sustainability: A Design Primer. 3rd edition, UK, RIBA Publishing.</w:t>
      </w:r>
    </w:p>
    <w:p w14:paraId="3F64982C" w14:textId="77777777" w:rsidR="00F661AE" w:rsidRPr="001917F5" w:rsidRDefault="00F661AE" w:rsidP="00F661AE">
      <w:pPr>
        <w:spacing w:after="200"/>
        <w:ind w:left="720" w:hanging="720"/>
        <w:jc w:val="both"/>
        <w:rPr>
          <w:rFonts w:eastAsia="Calibri"/>
          <w:sz w:val="24"/>
          <w:szCs w:val="24"/>
        </w:rPr>
      </w:pPr>
      <w:bookmarkStart w:id="1" w:name="_Hlk32668739"/>
      <w:r w:rsidRPr="001917F5">
        <w:rPr>
          <w:rFonts w:eastAsia="Calibri"/>
          <w:sz w:val="24"/>
          <w:szCs w:val="24"/>
        </w:rPr>
        <w:t>Emmanuel</w:t>
      </w:r>
      <w:bookmarkEnd w:id="1"/>
      <w:r w:rsidRPr="001917F5">
        <w:rPr>
          <w:rFonts w:eastAsia="Calibri"/>
          <w:sz w:val="24"/>
          <w:szCs w:val="24"/>
        </w:rPr>
        <w:t xml:space="preserve">, R. (2004). Estimating the Environmental Suitability of Wall Materials: Preliminary Results from Sri Lanka. </w:t>
      </w:r>
      <w:r w:rsidRPr="001917F5">
        <w:rPr>
          <w:rFonts w:eastAsia="Calibri"/>
          <w:i/>
          <w:sz w:val="24"/>
          <w:szCs w:val="24"/>
        </w:rPr>
        <w:t>Building and Environment</w:t>
      </w:r>
      <w:r w:rsidRPr="001917F5">
        <w:rPr>
          <w:rFonts w:eastAsia="Calibri"/>
          <w:sz w:val="24"/>
          <w:szCs w:val="24"/>
        </w:rPr>
        <w:t>, 39, 10, pp. 1253–1261.</w:t>
      </w:r>
    </w:p>
    <w:p w14:paraId="112E9C6A" w14:textId="77777777" w:rsidR="00F661AE" w:rsidRPr="00D937A8" w:rsidRDefault="00F661AE" w:rsidP="00F661AE">
      <w:pPr>
        <w:spacing w:after="200"/>
        <w:ind w:left="720" w:hanging="720"/>
        <w:jc w:val="both"/>
        <w:rPr>
          <w:rFonts w:eastAsia="Calibri"/>
          <w:sz w:val="24"/>
          <w:szCs w:val="24"/>
        </w:rPr>
      </w:pPr>
      <w:r w:rsidRPr="00D937A8">
        <w:rPr>
          <w:rFonts w:eastAsia="Calibri"/>
          <w:sz w:val="24"/>
          <w:szCs w:val="24"/>
        </w:rPr>
        <w:t>Fung, H.-P. (2014). Relationships Between Leadership Roles and Project Team Effectiveness as</w:t>
      </w:r>
      <w:r>
        <w:rPr>
          <w:rFonts w:eastAsia="Calibri"/>
          <w:sz w:val="24"/>
          <w:szCs w:val="24"/>
        </w:rPr>
        <w:t xml:space="preserve"> </w:t>
      </w:r>
      <w:r w:rsidRPr="00D937A8">
        <w:rPr>
          <w:rFonts w:eastAsia="Calibri"/>
          <w:sz w:val="24"/>
          <w:szCs w:val="24"/>
        </w:rPr>
        <w:t xml:space="preserve">Perceived by Project Managers in Malaysia. </w:t>
      </w:r>
      <w:r w:rsidRPr="007968AD">
        <w:rPr>
          <w:rFonts w:eastAsia="Calibri"/>
          <w:i/>
          <w:sz w:val="24"/>
          <w:szCs w:val="24"/>
        </w:rPr>
        <w:t>Journal of Empirical Studies</w:t>
      </w:r>
      <w:r w:rsidRPr="00D937A8">
        <w:rPr>
          <w:rFonts w:eastAsia="Calibri"/>
          <w:sz w:val="24"/>
          <w:szCs w:val="24"/>
        </w:rPr>
        <w:t>, 1(1), 1-22.</w:t>
      </w:r>
    </w:p>
    <w:p w14:paraId="44334C79" w14:textId="77777777" w:rsidR="00F661AE" w:rsidRPr="00D937A8" w:rsidRDefault="00F661AE" w:rsidP="00F661AE">
      <w:pPr>
        <w:spacing w:after="200"/>
        <w:ind w:left="720" w:hanging="720"/>
        <w:jc w:val="both"/>
        <w:rPr>
          <w:rFonts w:eastAsia="Calibri"/>
          <w:sz w:val="24"/>
          <w:szCs w:val="24"/>
        </w:rPr>
      </w:pPr>
      <w:r w:rsidRPr="00D937A8">
        <w:rPr>
          <w:rFonts w:eastAsia="Calibri"/>
          <w:sz w:val="24"/>
          <w:szCs w:val="24"/>
        </w:rPr>
        <w:t xml:space="preserve">Hollenbeck, G. P., McCall, M. W., </w:t>
      </w:r>
      <w:r>
        <w:rPr>
          <w:rFonts w:eastAsia="Calibri"/>
          <w:sz w:val="24"/>
          <w:szCs w:val="24"/>
        </w:rPr>
        <w:t>and</w:t>
      </w:r>
      <w:r w:rsidRPr="00D937A8">
        <w:rPr>
          <w:rFonts w:eastAsia="Calibri"/>
          <w:sz w:val="24"/>
          <w:szCs w:val="24"/>
        </w:rPr>
        <w:t xml:space="preserve"> </w:t>
      </w:r>
      <w:proofErr w:type="spellStart"/>
      <w:r w:rsidRPr="00D937A8">
        <w:rPr>
          <w:rFonts w:eastAsia="Calibri"/>
          <w:sz w:val="24"/>
          <w:szCs w:val="24"/>
        </w:rPr>
        <w:t>Silzer</w:t>
      </w:r>
      <w:proofErr w:type="spellEnd"/>
      <w:r w:rsidRPr="00D937A8">
        <w:rPr>
          <w:rFonts w:eastAsia="Calibri"/>
          <w:sz w:val="24"/>
          <w:szCs w:val="24"/>
        </w:rPr>
        <w:t>, R. F. (2006). Leadership Competencies Models.</w:t>
      </w:r>
      <w:r>
        <w:rPr>
          <w:rFonts w:eastAsia="Calibri"/>
          <w:sz w:val="24"/>
          <w:szCs w:val="24"/>
        </w:rPr>
        <w:t xml:space="preserve"> </w:t>
      </w:r>
      <w:r w:rsidRPr="007968AD">
        <w:rPr>
          <w:rFonts w:eastAsia="Calibri"/>
          <w:i/>
          <w:sz w:val="24"/>
          <w:szCs w:val="24"/>
        </w:rPr>
        <w:t>The Leadership Quarterly</w:t>
      </w:r>
      <w:r w:rsidRPr="00D937A8">
        <w:rPr>
          <w:rFonts w:eastAsia="Calibri"/>
          <w:sz w:val="24"/>
          <w:szCs w:val="24"/>
        </w:rPr>
        <w:t>, 17(4), 398-413.</w:t>
      </w:r>
    </w:p>
    <w:p w14:paraId="7F09A01C" w14:textId="77777777" w:rsidR="00F661AE" w:rsidRDefault="00F661AE" w:rsidP="00F661AE">
      <w:pPr>
        <w:spacing w:after="200"/>
        <w:ind w:left="720" w:hanging="720"/>
        <w:jc w:val="both"/>
        <w:rPr>
          <w:rFonts w:eastAsia="Calibri"/>
          <w:sz w:val="24"/>
          <w:szCs w:val="24"/>
        </w:rPr>
      </w:pPr>
      <w:proofErr w:type="spellStart"/>
      <w:r w:rsidRPr="001F16AC">
        <w:rPr>
          <w:rFonts w:eastAsia="Calibri"/>
          <w:sz w:val="24"/>
          <w:szCs w:val="24"/>
        </w:rPr>
        <w:t>Jabar</w:t>
      </w:r>
      <w:proofErr w:type="spellEnd"/>
      <w:r w:rsidRPr="001F16AC">
        <w:rPr>
          <w:rFonts w:eastAsia="Calibri"/>
          <w:sz w:val="24"/>
          <w:szCs w:val="24"/>
        </w:rPr>
        <w:t xml:space="preserve">, I. L., Ismail, F., </w:t>
      </w:r>
      <w:r>
        <w:rPr>
          <w:rFonts w:eastAsia="Calibri"/>
          <w:sz w:val="24"/>
          <w:szCs w:val="24"/>
        </w:rPr>
        <w:t>and</w:t>
      </w:r>
      <w:r w:rsidRPr="00D937A8">
        <w:rPr>
          <w:rFonts w:eastAsia="Calibri"/>
          <w:sz w:val="24"/>
          <w:szCs w:val="24"/>
        </w:rPr>
        <w:t xml:space="preserve"> </w:t>
      </w:r>
      <w:r w:rsidRPr="001F16AC">
        <w:rPr>
          <w:rFonts w:eastAsia="Calibri"/>
          <w:sz w:val="24"/>
          <w:szCs w:val="24"/>
        </w:rPr>
        <w:t>Aziz, N. M. (2018). Managing IBS Project: The evolving roles and competencies of project manager. </w:t>
      </w:r>
      <w:r w:rsidRPr="007968AD">
        <w:rPr>
          <w:rFonts w:eastAsia="Calibri"/>
          <w:i/>
          <w:sz w:val="24"/>
          <w:szCs w:val="24"/>
        </w:rPr>
        <w:t>Asian Journal of Behavioural Studies</w:t>
      </w:r>
      <w:r w:rsidRPr="001F16AC">
        <w:rPr>
          <w:rFonts w:eastAsia="Calibri"/>
          <w:sz w:val="24"/>
          <w:szCs w:val="24"/>
        </w:rPr>
        <w:t>, 3(11), 117-125.</w:t>
      </w:r>
    </w:p>
    <w:p w14:paraId="2F50506D" w14:textId="77777777" w:rsidR="00F661AE" w:rsidRPr="001917F5" w:rsidRDefault="00F661AE" w:rsidP="00F661AE">
      <w:pPr>
        <w:spacing w:after="200"/>
        <w:ind w:left="720" w:hanging="720"/>
        <w:jc w:val="both"/>
        <w:rPr>
          <w:rFonts w:eastAsia="Calibri"/>
          <w:sz w:val="24"/>
          <w:szCs w:val="24"/>
        </w:rPr>
      </w:pPr>
      <w:proofErr w:type="spellStart"/>
      <w:r w:rsidRPr="001917F5">
        <w:rPr>
          <w:rFonts w:eastAsia="Calibri"/>
          <w:sz w:val="24"/>
          <w:szCs w:val="24"/>
        </w:rPr>
        <w:t>Jiboye</w:t>
      </w:r>
      <w:proofErr w:type="spellEnd"/>
      <w:r w:rsidRPr="001917F5">
        <w:rPr>
          <w:rFonts w:eastAsia="Calibri"/>
          <w:sz w:val="24"/>
          <w:szCs w:val="24"/>
        </w:rPr>
        <w:t xml:space="preserve">, A. D. (2012). Post-occupancy evaluation of residential satisfaction in Lagos, Nigeria: feedback for residential improvement. </w:t>
      </w:r>
      <w:r w:rsidRPr="001917F5">
        <w:rPr>
          <w:rFonts w:eastAsia="Calibri"/>
          <w:i/>
          <w:sz w:val="24"/>
          <w:szCs w:val="24"/>
        </w:rPr>
        <w:t>Frontiers of Architectural Research</w:t>
      </w:r>
      <w:r w:rsidRPr="001917F5">
        <w:rPr>
          <w:rFonts w:eastAsia="Calibri"/>
          <w:sz w:val="24"/>
          <w:szCs w:val="24"/>
        </w:rPr>
        <w:t>, 1, 236–243.</w:t>
      </w:r>
    </w:p>
    <w:p w14:paraId="372A41FC" w14:textId="77777777" w:rsidR="00F661AE" w:rsidRPr="001917F5" w:rsidRDefault="00F661AE" w:rsidP="00F661AE">
      <w:pPr>
        <w:spacing w:after="200"/>
        <w:ind w:left="720" w:hanging="720"/>
        <w:jc w:val="both"/>
        <w:rPr>
          <w:rFonts w:eastAsia="Calibri"/>
          <w:sz w:val="24"/>
          <w:szCs w:val="24"/>
        </w:rPr>
      </w:pPr>
      <w:r w:rsidRPr="001917F5">
        <w:rPr>
          <w:rFonts w:eastAsia="Calibri"/>
          <w:sz w:val="24"/>
          <w:szCs w:val="24"/>
        </w:rPr>
        <w:t xml:space="preserve">Kates, Robert, Parris, Thomas and Leiserowitz, Anthony. (2005). “What is sustainable development? Goals, indicators, values and practice”. </w:t>
      </w:r>
      <w:r w:rsidRPr="001917F5">
        <w:rPr>
          <w:rFonts w:eastAsia="Calibri"/>
          <w:i/>
          <w:sz w:val="24"/>
          <w:szCs w:val="24"/>
        </w:rPr>
        <w:t>Environment: Science and Policy for Sustainable Development</w:t>
      </w:r>
      <w:r w:rsidRPr="001917F5">
        <w:rPr>
          <w:rFonts w:eastAsia="Calibri"/>
          <w:sz w:val="24"/>
          <w:szCs w:val="24"/>
        </w:rPr>
        <w:t>, 47, 3, 8–21.</w:t>
      </w:r>
    </w:p>
    <w:p w14:paraId="6B3238F6" w14:textId="77777777" w:rsidR="00F661AE" w:rsidRPr="00C46770" w:rsidRDefault="00F661AE" w:rsidP="00F661AE">
      <w:pPr>
        <w:ind w:left="720" w:hanging="720"/>
        <w:jc w:val="both"/>
        <w:rPr>
          <w:sz w:val="24"/>
          <w:szCs w:val="24"/>
        </w:rPr>
      </w:pPr>
      <w:proofErr w:type="spellStart"/>
      <w:proofErr w:type="gramStart"/>
      <w:r>
        <w:rPr>
          <w:sz w:val="24"/>
          <w:szCs w:val="24"/>
        </w:rPr>
        <w:t>Lee,W.L</w:t>
      </w:r>
      <w:proofErr w:type="spellEnd"/>
      <w:r>
        <w:rPr>
          <w:sz w:val="24"/>
          <w:szCs w:val="24"/>
        </w:rPr>
        <w:t>.</w:t>
      </w:r>
      <w:proofErr w:type="gramEnd"/>
      <w:r w:rsidRPr="00683132">
        <w:rPr>
          <w:rFonts w:eastAsia="Calibri"/>
          <w:sz w:val="24"/>
          <w:szCs w:val="24"/>
        </w:rPr>
        <w:t xml:space="preserve"> </w:t>
      </w:r>
      <w:r>
        <w:rPr>
          <w:rFonts w:eastAsia="Calibri"/>
          <w:sz w:val="24"/>
          <w:szCs w:val="24"/>
        </w:rPr>
        <w:t>and</w:t>
      </w:r>
      <w:r w:rsidRPr="00D937A8">
        <w:rPr>
          <w:rFonts w:eastAsia="Calibri"/>
          <w:sz w:val="24"/>
          <w:szCs w:val="24"/>
        </w:rPr>
        <w:t xml:space="preserve"> </w:t>
      </w:r>
      <w:r w:rsidRPr="002E0438">
        <w:rPr>
          <w:sz w:val="24"/>
          <w:szCs w:val="24"/>
        </w:rPr>
        <w:t xml:space="preserve">Burnett, J. </w:t>
      </w:r>
      <w:r>
        <w:rPr>
          <w:sz w:val="24"/>
          <w:szCs w:val="24"/>
        </w:rPr>
        <w:t>(</w:t>
      </w:r>
      <w:r w:rsidRPr="002E0438">
        <w:rPr>
          <w:sz w:val="24"/>
          <w:szCs w:val="24"/>
        </w:rPr>
        <w:t>2008</w:t>
      </w:r>
      <w:r>
        <w:rPr>
          <w:sz w:val="24"/>
          <w:szCs w:val="24"/>
        </w:rPr>
        <w:t xml:space="preserve">). </w:t>
      </w:r>
      <w:r w:rsidRPr="002E0438">
        <w:rPr>
          <w:sz w:val="24"/>
          <w:szCs w:val="24"/>
        </w:rPr>
        <w:t xml:space="preserve">Benchmarking energy use assessment of HK-BEAM, BREEAM and LEED. </w:t>
      </w:r>
      <w:r w:rsidRPr="007968AD">
        <w:rPr>
          <w:i/>
          <w:sz w:val="24"/>
          <w:szCs w:val="24"/>
        </w:rPr>
        <w:t>Build. Environ</w:t>
      </w:r>
      <w:r w:rsidRPr="002E0438">
        <w:rPr>
          <w:sz w:val="24"/>
          <w:szCs w:val="24"/>
        </w:rPr>
        <w:t>., 43, 1882–1891.</w:t>
      </w:r>
    </w:p>
    <w:p w14:paraId="00C01C19" w14:textId="77777777" w:rsidR="00F661AE" w:rsidRPr="00D937A8" w:rsidRDefault="00F661AE" w:rsidP="00F661AE">
      <w:pPr>
        <w:spacing w:after="200"/>
        <w:ind w:left="720" w:hanging="720"/>
        <w:jc w:val="both"/>
        <w:rPr>
          <w:rFonts w:eastAsia="Calibri"/>
          <w:sz w:val="24"/>
          <w:szCs w:val="24"/>
        </w:rPr>
      </w:pPr>
      <w:proofErr w:type="spellStart"/>
      <w:r w:rsidRPr="00D937A8">
        <w:rPr>
          <w:rFonts w:eastAsia="Calibri"/>
          <w:sz w:val="24"/>
          <w:szCs w:val="24"/>
        </w:rPr>
        <w:t>Loufrani-Fedida</w:t>
      </w:r>
      <w:proofErr w:type="spellEnd"/>
      <w:r w:rsidRPr="00D937A8">
        <w:rPr>
          <w:rFonts w:eastAsia="Calibri"/>
          <w:sz w:val="24"/>
          <w:szCs w:val="24"/>
        </w:rPr>
        <w:t xml:space="preserve">, S., </w:t>
      </w:r>
      <w:r>
        <w:rPr>
          <w:rFonts w:eastAsia="Calibri"/>
          <w:sz w:val="24"/>
          <w:szCs w:val="24"/>
        </w:rPr>
        <w:t>and</w:t>
      </w:r>
      <w:r w:rsidRPr="00D937A8">
        <w:rPr>
          <w:rFonts w:eastAsia="Calibri"/>
          <w:sz w:val="24"/>
          <w:szCs w:val="24"/>
        </w:rPr>
        <w:t xml:space="preserve"> </w:t>
      </w:r>
      <w:proofErr w:type="spellStart"/>
      <w:r w:rsidRPr="00D937A8">
        <w:rPr>
          <w:rFonts w:eastAsia="Calibri"/>
          <w:sz w:val="24"/>
          <w:szCs w:val="24"/>
        </w:rPr>
        <w:t>Missonier</w:t>
      </w:r>
      <w:proofErr w:type="spellEnd"/>
      <w:r w:rsidRPr="00D937A8">
        <w:rPr>
          <w:rFonts w:eastAsia="Calibri"/>
          <w:sz w:val="24"/>
          <w:szCs w:val="24"/>
        </w:rPr>
        <w:t>, S. (2015). The project manager cannot be a hero anymore!</w:t>
      </w:r>
      <w:r>
        <w:rPr>
          <w:rFonts w:eastAsia="Calibri"/>
          <w:sz w:val="24"/>
          <w:szCs w:val="24"/>
        </w:rPr>
        <w:t xml:space="preserve"> </w:t>
      </w:r>
      <w:r w:rsidRPr="00D937A8">
        <w:rPr>
          <w:rFonts w:eastAsia="Calibri"/>
          <w:sz w:val="24"/>
          <w:szCs w:val="24"/>
        </w:rPr>
        <w:t>Understanding critical competencies in project-based organizations from a multilevel</w:t>
      </w:r>
      <w:r>
        <w:rPr>
          <w:rFonts w:eastAsia="Calibri"/>
          <w:sz w:val="24"/>
          <w:szCs w:val="24"/>
        </w:rPr>
        <w:t xml:space="preserve"> </w:t>
      </w:r>
      <w:r w:rsidRPr="00D937A8">
        <w:rPr>
          <w:rFonts w:eastAsia="Calibri"/>
          <w:sz w:val="24"/>
          <w:szCs w:val="24"/>
        </w:rPr>
        <w:t xml:space="preserve">approach. </w:t>
      </w:r>
      <w:r w:rsidRPr="007968AD">
        <w:rPr>
          <w:rFonts w:eastAsia="Calibri"/>
          <w:i/>
          <w:sz w:val="24"/>
          <w:szCs w:val="24"/>
        </w:rPr>
        <w:t>International Journal of Project Management</w:t>
      </w:r>
      <w:r w:rsidRPr="00D937A8">
        <w:rPr>
          <w:rFonts w:eastAsia="Calibri"/>
          <w:sz w:val="24"/>
          <w:szCs w:val="24"/>
        </w:rPr>
        <w:t>, 33(6), 1220-1235.</w:t>
      </w:r>
    </w:p>
    <w:p w14:paraId="65029FC1" w14:textId="77777777" w:rsidR="00F661AE" w:rsidRDefault="00F661AE" w:rsidP="00F661AE">
      <w:pPr>
        <w:spacing w:after="200"/>
        <w:ind w:left="720" w:hanging="720"/>
        <w:jc w:val="both"/>
        <w:rPr>
          <w:rFonts w:eastAsia="Calibri"/>
          <w:sz w:val="24"/>
          <w:szCs w:val="24"/>
        </w:rPr>
      </w:pPr>
      <w:proofErr w:type="spellStart"/>
      <w:r w:rsidRPr="00D937A8">
        <w:rPr>
          <w:rFonts w:eastAsia="Calibri"/>
          <w:sz w:val="24"/>
          <w:szCs w:val="24"/>
        </w:rPr>
        <w:t>Mattoni</w:t>
      </w:r>
      <w:proofErr w:type="spellEnd"/>
      <w:r w:rsidRPr="00D937A8">
        <w:rPr>
          <w:rFonts w:eastAsia="Calibri"/>
          <w:sz w:val="24"/>
          <w:szCs w:val="24"/>
        </w:rPr>
        <w:t xml:space="preserve">, B.; </w:t>
      </w:r>
      <w:proofErr w:type="spellStart"/>
      <w:r w:rsidRPr="00D937A8">
        <w:rPr>
          <w:rFonts w:eastAsia="Calibri"/>
          <w:sz w:val="24"/>
          <w:szCs w:val="24"/>
        </w:rPr>
        <w:t>Guattari</w:t>
      </w:r>
      <w:proofErr w:type="spellEnd"/>
      <w:r w:rsidRPr="00D937A8">
        <w:rPr>
          <w:rFonts w:eastAsia="Calibri"/>
          <w:sz w:val="24"/>
          <w:szCs w:val="24"/>
        </w:rPr>
        <w:t xml:space="preserve">, C.; </w:t>
      </w:r>
      <w:proofErr w:type="spellStart"/>
      <w:r w:rsidRPr="00D937A8">
        <w:rPr>
          <w:rFonts w:eastAsia="Calibri"/>
          <w:sz w:val="24"/>
          <w:szCs w:val="24"/>
        </w:rPr>
        <w:t>Evangel</w:t>
      </w:r>
      <w:r>
        <w:rPr>
          <w:rFonts w:eastAsia="Calibri"/>
          <w:sz w:val="24"/>
          <w:szCs w:val="24"/>
        </w:rPr>
        <w:t>isti</w:t>
      </w:r>
      <w:proofErr w:type="spellEnd"/>
      <w:r>
        <w:rPr>
          <w:rFonts w:eastAsia="Calibri"/>
          <w:sz w:val="24"/>
          <w:szCs w:val="24"/>
        </w:rPr>
        <w:t xml:space="preserve">, L.; </w:t>
      </w:r>
      <w:proofErr w:type="spellStart"/>
      <w:r>
        <w:rPr>
          <w:rFonts w:eastAsia="Calibri"/>
          <w:sz w:val="24"/>
          <w:szCs w:val="24"/>
        </w:rPr>
        <w:t>Bisegna</w:t>
      </w:r>
      <w:proofErr w:type="spellEnd"/>
      <w:r>
        <w:rPr>
          <w:rFonts w:eastAsia="Calibri"/>
          <w:sz w:val="24"/>
          <w:szCs w:val="24"/>
        </w:rPr>
        <w:t>, F.; Gori, P. and</w:t>
      </w:r>
      <w:r w:rsidRPr="00D937A8">
        <w:rPr>
          <w:rFonts w:eastAsia="Calibri"/>
          <w:sz w:val="24"/>
          <w:szCs w:val="24"/>
        </w:rPr>
        <w:t xml:space="preserve"> </w:t>
      </w:r>
      <w:proofErr w:type="spellStart"/>
      <w:r w:rsidRPr="00D937A8">
        <w:rPr>
          <w:rFonts w:eastAsia="Calibri"/>
          <w:sz w:val="24"/>
          <w:szCs w:val="24"/>
        </w:rPr>
        <w:t>Asdrubali</w:t>
      </w:r>
      <w:proofErr w:type="spellEnd"/>
      <w:r w:rsidRPr="00D937A8">
        <w:rPr>
          <w:rFonts w:eastAsia="Calibri"/>
          <w:sz w:val="24"/>
          <w:szCs w:val="24"/>
        </w:rPr>
        <w:t xml:space="preserve">, F. </w:t>
      </w:r>
      <w:r>
        <w:rPr>
          <w:rFonts w:eastAsia="Calibri"/>
          <w:sz w:val="24"/>
          <w:szCs w:val="24"/>
        </w:rPr>
        <w:t>(</w:t>
      </w:r>
      <w:r w:rsidRPr="00D937A8">
        <w:rPr>
          <w:rFonts w:eastAsia="Calibri"/>
          <w:sz w:val="24"/>
          <w:szCs w:val="24"/>
        </w:rPr>
        <w:t>2018</w:t>
      </w:r>
      <w:r>
        <w:rPr>
          <w:rFonts w:eastAsia="Calibri"/>
          <w:sz w:val="24"/>
          <w:szCs w:val="24"/>
        </w:rPr>
        <w:t xml:space="preserve">). </w:t>
      </w:r>
      <w:r w:rsidRPr="00D937A8">
        <w:rPr>
          <w:rFonts w:eastAsia="Calibri"/>
          <w:sz w:val="24"/>
          <w:szCs w:val="24"/>
        </w:rPr>
        <w:t xml:space="preserve">Critical review and methodological approach to evaluate the differences among international green building rating tools. </w:t>
      </w:r>
      <w:r w:rsidRPr="007968AD">
        <w:rPr>
          <w:rFonts w:eastAsia="Calibri"/>
          <w:i/>
          <w:sz w:val="24"/>
          <w:szCs w:val="24"/>
        </w:rPr>
        <w:t>Renew. Sustain. Energy Rev</w:t>
      </w:r>
      <w:r w:rsidRPr="00D937A8">
        <w:rPr>
          <w:rFonts w:eastAsia="Calibri"/>
          <w:sz w:val="24"/>
          <w:szCs w:val="24"/>
        </w:rPr>
        <w:t>., 82, 950–960.</w:t>
      </w:r>
    </w:p>
    <w:p w14:paraId="30B7A38E" w14:textId="77777777" w:rsidR="00F661AE" w:rsidRPr="00D937A8" w:rsidRDefault="00F661AE" w:rsidP="00F661AE">
      <w:pPr>
        <w:spacing w:after="200"/>
        <w:ind w:left="720" w:hanging="720"/>
        <w:jc w:val="both"/>
        <w:rPr>
          <w:rFonts w:eastAsia="Calibri"/>
          <w:sz w:val="24"/>
          <w:szCs w:val="24"/>
        </w:rPr>
      </w:pPr>
      <w:r w:rsidRPr="00D937A8">
        <w:rPr>
          <w:rFonts w:eastAsia="Calibri"/>
          <w:sz w:val="24"/>
          <w:szCs w:val="24"/>
        </w:rPr>
        <w:t>Meng, X. (2012). The effect of relationship management on project performance in construction.</w:t>
      </w:r>
      <w:r>
        <w:rPr>
          <w:rFonts w:eastAsia="Calibri"/>
          <w:sz w:val="24"/>
          <w:szCs w:val="24"/>
        </w:rPr>
        <w:t xml:space="preserve"> </w:t>
      </w:r>
      <w:r w:rsidRPr="00D937A8">
        <w:rPr>
          <w:rFonts w:eastAsia="Calibri"/>
          <w:sz w:val="24"/>
          <w:szCs w:val="24"/>
        </w:rPr>
        <w:t>International journal of project management, 30(2), 188-198.</w:t>
      </w:r>
    </w:p>
    <w:p w14:paraId="100A47DE" w14:textId="77777777" w:rsidR="00F661AE" w:rsidRPr="001917F5" w:rsidRDefault="00F661AE" w:rsidP="00F661AE">
      <w:pPr>
        <w:spacing w:after="200"/>
        <w:ind w:left="720" w:hanging="720"/>
        <w:jc w:val="both"/>
        <w:rPr>
          <w:rFonts w:eastAsia="Calibri"/>
          <w:sz w:val="24"/>
          <w:szCs w:val="24"/>
        </w:rPr>
      </w:pPr>
      <w:r w:rsidRPr="001917F5">
        <w:rPr>
          <w:rFonts w:eastAsia="Calibri"/>
          <w:sz w:val="24"/>
          <w:szCs w:val="24"/>
        </w:rPr>
        <w:t xml:space="preserve">Mora. R., </w:t>
      </w:r>
      <w:proofErr w:type="spellStart"/>
      <w:r w:rsidRPr="001917F5">
        <w:rPr>
          <w:rFonts w:eastAsia="Calibri"/>
          <w:sz w:val="24"/>
          <w:szCs w:val="24"/>
        </w:rPr>
        <w:t>Bitsuamlak</w:t>
      </w:r>
      <w:proofErr w:type="spellEnd"/>
      <w:r w:rsidRPr="001917F5">
        <w:rPr>
          <w:rFonts w:eastAsia="Calibri"/>
          <w:sz w:val="24"/>
          <w:szCs w:val="24"/>
        </w:rPr>
        <w:t xml:space="preserve">. G. and Horvat. M. (2011). Integrated life-cycle design of building enclosures. </w:t>
      </w:r>
      <w:r w:rsidRPr="001917F5">
        <w:rPr>
          <w:rFonts w:eastAsia="Calibri"/>
          <w:i/>
          <w:sz w:val="24"/>
          <w:szCs w:val="24"/>
        </w:rPr>
        <w:t>Building and Environment</w:t>
      </w:r>
      <w:r w:rsidRPr="001917F5">
        <w:rPr>
          <w:rFonts w:eastAsia="Calibri"/>
          <w:sz w:val="24"/>
          <w:szCs w:val="24"/>
        </w:rPr>
        <w:t>, 46, 1469-1479.</w:t>
      </w:r>
    </w:p>
    <w:p w14:paraId="7573DBD9" w14:textId="77777777" w:rsidR="00F661AE" w:rsidRDefault="00F661AE" w:rsidP="00F661AE">
      <w:pPr>
        <w:spacing w:after="200"/>
        <w:ind w:left="720" w:hanging="720"/>
        <w:jc w:val="both"/>
        <w:rPr>
          <w:rFonts w:eastAsia="Calibri"/>
          <w:sz w:val="24"/>
          <w:szCs w:val="24"/>
        </w:rPr>
      </w:pPr>
      <w:r w:rsidRPr="00D937A8">
        <w:rPr>
          <w:rFonts w:eastAsia="Calibri"/>
          <w:sz w:val="24"/>
          <w:szCs w:val="24"/>
        </w:rPr>
        <w:t xml:space="preserve">Nixon, P., Harrington, M., </w:t>
      </w:r>
      <w:r>
        <w:rPr>
          <w:rFonts w:eastAsia="Calibri"/>
          <w:sz w:val="24"/>
          <w:szCs w:val="24"/>
        </w:rPr>
        <w:t>and</w:t>
      </w:r>
      <w:r w:rsidRPr="00D937A8">
        <w:rPr>
          <w:rFonts w:eastAsia="Calibri"/>
          <w:sz w:val="24"/>
          <w:szCs w:val="24"/>
        </w:rPr>
        <w:t xml:space="preserve"> Parker, D. (2012). Leadership performance is significant to project</w:t>
      </w:r>
      <w:r>
        <w:rPr>
          <w:rFonts w:eastAsia="Calibri"/>
          <w:sz w:val="24"/>
          <w:szCs w:val="24"/>
        </w:rPr>
        <w:t xml:space="preserve"> </w:t>
      </w:r>
      <w:r w:rsidRPr="00D937A8">
        <w:rPr>
          <w:rFonts w:eastAsia="Calibri"/>
          <w:sz w:val="24"/>
          <w:szCs w:val="24"/>
        </w:rPr>
        <w:t xml:space="preserve">success or failure: a critical analysis. </w:t>
      </w:r>
      <w:r w:rsidRPr="007968AD">
        <w:rPr>
          <w:rFonts w:eastAsia="Calibri"/>
          <w:i/>
          <w:sz w:val="24"/>
          <w:szCs w:val="24"/>
        </w:rPr>
        <w:t>International Journal of Productivity and Performance Management</w:t>
      </w:r>
      <w:r w:rsidRPr="00D937A8">
        <w:rPr>
          <w:rFonts w:eastAsia="Calibri"/>
          <w:sz w:val="24"/>
          <w:szCs w:val="24"/>
        </w:rPr>
        <w:t>, 61(2), 204-216.</w:t>
      </w:r>
    </w:p>
    <w:p w14:paraId="78C6099E" w14:textId="77777777" w:rsidR="00F661AE" w:rsidRDefault="00F661AE" w:rsidP="00F661AE">
      <w:pPr>
        <w:spacing w:after="200"/>
        <w:ind w:left="720" w:hanging="720"/>
        <w:jc w:val="both"/>
        <w:rPr>
          <w:rFonts w:eastAsia="Calibri"/>
          <w:sz w:val="24"/>
          <w:szCs w:val="24"/>
        </w:rPr>
      </w:pPr>
      <w:proofErr w:type="spellStart"/>
      <w:r>
        <w:rPr>
          <w:rFonts w:eastAsia="Calibri"/>
          <w:sz w:val="24"/>
          <w:szCs w:val="24"/>
        </w:rPr>
        <w:t>Olubunmi</w:t>
      </w:r>
      <w:proofErr w:type="spellEnd"/>
      <w:r>
        <w:rPr>
          <w:rFonts w:eastAsia="Calibri"/>
          <w:sz w:val="24"/>
          <w:szCs w:val="24"/>
        </w:rPr>
        <w:t>, O.A.; Xia, P.B. and</w:t>
      </w:r>
      <w:r w:rsidRPr="00D937A8">
        <w:rPr>
          <w:rFonts w:eastAsia="Calibri"/>
          <w:sz w:val="24"/>
          <w:szCs w:val="24"/>
        </w:rPr>
        <w:t xml:space="preserve"> </w:t>
      </w:r>
      <w:proofErr w:type="spellStart"/>
      <w:r w:rsidRPr="00877E49">
        <w:rPr>
          <w:rFonts w:eastAsia="Calibri"/>
          <w:sz w:val="24"/>
          <w:szCs w:val="24"/>
        </w:rPr>
        <w:t>Skitmore</w:t>
      </w:r>
      <w:proofErr w:type="spellEnd"/>
      <w:r w:rsidRPr="00877E49">
        <w:rPr>
          <w:rFonts w:eastAsia="Calibri"/>
          <w:sz w:val="24"/>
          <w:szCs w:val="24"/>
        </w:rPr>
        <w:t xml:space="preserve">, M. </w:t>
      </w:r>
      <w:r>
        <w:rPr>
          <w:rFonts w:eastAsia="Calibri"/>
          <w:sz w:val="24"/>
          <w:szCs w:val="24"/>
        </w:rPr>
        <w:t>(</w:t>
      </w:r>
      <w:r w:rsidRPr="007968AD">
        <w:rPr>
          <w:rFonts w:eastAsia="Calibri"/>
          <w:bCs/>
          <w:sz w:val="24"/>
          <w:szCs w:val="24"/>
        </w:rPr>
        <w:t>2016</w:t>
      </w:r>
      <w:r>
        <w:rPr>
          <w:rFonts w:eastAsia="Calibri"/>
          <w:bCs/>
          <w:sz w:val="24"/>
          <w:szCs w:val="24"/>
        </w:rPr>
        <w:t xml:space="preserve">). </w:t>
      </w:r>
      <w:r w:rsidRPr="007968AD">
        <w:rPr>
          <w:rFonts w:eastAsia="Calibri"/>
          <w:sz w:val="24"/>
          <w:szCs w:val="24"/>
        </w:rPr>
        <w:t>Green</w:t>
      </w:r>
      <w:r w:rsidRPr="00877E49">
        <w:rPr>
          <w:rFonts w:eastAsia="Calibri"/>
          <w:sz w:val="24"/>
          <w:szCs w:val="24"/>
        </w:rPr>
        <w:t xml:space="preserve"> building incentives: A review. </w:t>
      </w:r>
      <w:r w:rsidRPr="007968AD">
        <w:rPr>
          <w:rFonts w:eastAsia="Calibri"/>
          <w:i/>
          <w:sz w:val="24"/>
          <w:szCs w:val="24"/>
        </w:rPr>
        <w:t>Renew. Sustain. Energy Rev</w:t>
      </w:r>
      <w:r w:rsidRPr="00877E49">
        <w:rPr>
          <w:rFonts w:eastAsia="Calibri"/>
          <w:sz w:val="24"/>
          <w:szCs w:val="24"/>
        </w:rPr>
        <w:t>., 59, 1611–1621.</w:t>
      </w:r>
    </w:p>
    <w:p w14:paraId="606BE0EB" w14:textId="77777777" w:rsidR="00F661AE" w:rsidRPr="00D937A8" w:rsidRDefault="00F661AE" w:rsidP="00F661AE">
      <w:pPr>
        <w:spacing w:after="200"/>
        <w:ind w:left="720" w:hanging="720"/>
        <w:jc w:val="both"/>
        <w:rPr>
          <w:rFonts w:eastAsia="Calibri"/>
          <w:sz w:val="24"/>
          <w:szCs w:val="24"/>
        </w:rPr>
      </w:pPr>
      <w:r w:rsidRPr="00D937A8">
        <w:rPr>
          <w:rFonts w:eastAsia="Calibri"/>
          <w:sz w:val="24"/>
          <w:szCs w:val="24"/>
        </w:rPr>
        <w:t>PMI. (2013). A Guide to the Project Management Body of Knowledge (PMBOK) (5th ed.).</w:t>
      </w:r>
      <w:r>
        <w:rPr>
          <w:rFonts w:eastAsia="Calibri"/>
          <w:sz w:val="24"/>
          <w:szCs w:val="24"/>
        </w:rPr>
        <w:t xml:space="preserve"> </w:t>
      </w:r>
      <w:r w:rsidRPr="00D937A8">
        <w:rPr>
          <w:rFonts w:eastAsia="Calibri"/>
          <w:sz w:val="24"/>
          <w:szCs w:val="24"/>
        </w:rPr>
        <w:t>Newtown Square, Pennsylvania, USA: Project Management Institute (PMI).</w:t>
      </w:r>
    </w:p>
    <w:p w14:paraId="25A06E37" w14:textId="77777777" w:rsidR="00F661AE" w:rsidRPr="001917F5" w:rsidRDefault="00F661AE" w:rsidP="00F661AE">
      <w:pPr>
        <w:spacing w:after="200"/>
        <w:ind w:left="720" w:hanging="720"/>
        <w:jc w:val="both"/>
        <w:rPr>
          <w:rFonts w:eastAsia="Calibri"/>
          <w:sz w:val="24"/>
          <w:szCs w:val="24"/>
        </w:rPr>
      </w:pPr>
      <w:r w:rsidRPr="001917F5">
        <w:rPr>
          <w:rFonts w:eastAsia="Calibri"/>
          <w:sz w:val="24"/>
          <w:szCs w:val="24"/>
        </w:rPr>
        <w:lastRenderedPageBreak/>
        <w:t xml:space="preserve">Reed, R. Wilkinson, S., </w:t>
      </w:r>
      <w:proofErr w:type="spellStart"/>
      <w:r w:rsidRPr="001917F5">
        <w:rPr>
          <w:rFonts w:eastAsia="Calibri"/>
          <w:sz w:val="24"/>
          <w:szCs w:val="24"/>
        </w:rPr>
        <w:t>Bilos</w:t>
      </w:r>
      <w:proofErr w:type="spellEnd"/>
      <w:r w:rsidRPr="001917F5">
        <w:rPr>
          <w:rFonts w:eastAsia="Calibri"/>
          <w:sz w:val="24"/>
          <w:szCs w:val="24"/>
        </w:rPr>
        <w:t xml:space="preserve">, A. and Schulte, K. (2011). A Comparison of International Sustainable Building Tools – An Update. </w:t>
      </w:r>
      <w:r w:rsidRPr="007968AD">
        <w:rPr>
          <w:rFonts w:eastAsia="Calibri"/>
          <w:i/>
          <w:sz w:val="24"/>
          <w:szCs w:val="24"/>
        </w:rPr>
        <w:t>The 17</w:t>
      </w:r>
      <w:r w:rsidRPr="007968AD">
        <w:rPr>
          <w:rFonts w:eastAsia="Calibri"/>
          <w:i/>
          <w:sz w:val="24"/>
          <w:szCs w:val="24"/>
          <w:vertAlign w:val="superscript"/>
        </w:rPr>
        <w:t>th</w:t>
      </w:r>
      <w:r w:rsidRPr="007968AD">
        <w:rPr>
          <w:rFonts w:eastAsia="Calibri"/>
          <w:i/>
          <w:sz w:val="24"/>
          <w:szCs w:val="24"/>
        </w:rPr>
        <w:t xml:space="preserve"> Annual Pacific Rim Real Estate Society Conference</w:t>
      </w:r>
      <w:r w:rsidRPr="001917F5">
        <w:rPr>
          <w:rFonts w:eastAsia="Calibri"/>
          <w:sz w:val="24"/>
          <w:szCs w:val="24"/>
        </w:rPr>
        <w:t>, Gold Coast 16-19.</w:t>
      </w:r>
    </w:p>
    <w:p w14:paraId="16B0FB77" w14:textId="77777777" w:rsidR="00F661AE" w:rsidRDefault="00F661AE" w:rsidP="00F661AE">
      <w:pPr>
        <w:spacing w:after="200"/>
        <w:ind w:left="720" w:hanging="720"/>
        <w:jc w:val="both"/>
        <w:rPr>
          <w:rFonts w:eastAsia="Calibri"/>
          <w:sz w:val="24"/>
          <w:szCs w:val="24"/>
        </w:rPr>
      </w:pPr>
      <w:r w:rsidRPr="00615DE6">
        <w:rPr>
          <w:rFonts w:eastAsia="Calibri"/>
          <w:sz w:val="24"/>
          <w:szCs w:val="24"/>
        </w:rPr>
        <w:t xml:space="preserve">Retzlaff, R. </w:t>
      </w:r>
      <w:r>
        <w:rPr>
          <w:rFonts w:eastAsia="Calibri"/>
          <w:sz w:val="24"/>
          <w:szCs w:val="24"/>
        </w:rPr>
        <w:t>(</w:t>
      </w:r>
      <w:r w:rsidRPr="00615DE6">
        <w:rPr>
          <w:rFonts w:eastAsia="Calibri"/>
          <w:sz w:val="24"/>
          <w:szCs w:val="24"/>
        </w:rPr>
        <w:t>2010</w:t>
      </w:r>
      <w:r>
        <w:rPr>
          <w:rFonts w:eastAsia="Calibri"/>
          <w:sz w:val="24"/>
          <w:szCs w:val="24"/>
        </w:rPr>
        <w:t xml:space="preserve">). </w:t>
      </w:r>
      <w:r w:rsidRPr="00615DE6">
        <w:rPr>
          <w:rFonts w:eastAsia="Calibri"/>
          <w:sz w:val="24"/>
          <w:szCs w:val="24"/>
        </w:rPr>
        <w:t xml:space="preserve">Developing policies for green buildings: What can the United States learn from the Netherlands? </w:t>
      </w:r>
      <w:r w:rsidRPr="007968AD">
        <w:rPr>
          <w:rFonts w:eastAsia="Calibri"/>
          <w:i/>
          <w:sz w:val="24"/>
          <w:szCs w:val="24"/>
        </w:rPr>
        <w:t xml:space="preserve">Sustain. Sci. </w:t>
      </w:r>
      <w:proofErr w:type="spellStart"/>
      <w:r w:rsidRPr="007968AD">
        <w:rPr>
          <w:rFonts w:eastAsia="Calibri"/>
          <w:i/>
          <w:sz w:val="24"/>
          <w:szCs w:val="24"/>
        </w:rPr>
        <w:t>Pract</w:t>
      </w:r>
      <w:proofErr w:type="spellEnd"/>
      <w:r w:rsidRPr="007968AD">
        <w:rPr>
          <w:rFonts w:eastAsia="Calibri"/>
          <w:i/>
          <w:sz w:val="24"/>
          <w:szCs w:val="24"/>
        </w:rPr>
        <w:t>. Policy</w:t>
      </w:r>
      <w:r w:rsidRPr="00615DE6">
        <w:rPr>
          <w:rFonts w:eastAsia="Calibri"/>
          <w:sz w:val="24"/>
          <w:szCs w:val="24"/>
        </w:rPr>
        <w:t>, 6, 28–38.</w:t>
      </w:r>
    </w:p>
    <w:p w14:paraId="1EABC2A6" w14:textId="77777777" w:rsidR="00F661AE" w:rsidRDefault="00F661AE" w:rsidP="00F661AE">
      <w:pPr>
        <w:spacing w:after="200"/>
        <w:ind w:left="720" w:hanging="720"/>
        <w:jc w:val="both"/>
        <w:rPr>
          <w:rFonts w:eastAsia="Calibri"/>
          <w:sz w:val="24"/>
          <w:szCs w:val="24"/>
        </w:rPr>
      </w:pPr>
      <w:r w:rsidRPr="00C67061">
        <w:rPr>
          <w:rFonts w:eastAsia="Calibri"/>
          <w:sz w:val="24"/>
          <w:szCs w:val="24"/>
        </w:rPr>
        <w:t xml:space="preserve">Sang, P., Liu, J., Zhang, L., Zheng, L., Yao, H. and Wang, Y. (2018). Effects of Project Manager Competency on Green Construction Performance: The Chinese Context. </w:t>
      </w:r>
      <w:r w:rsidRPr="007968AD">
        <w:rPr>
          <w:rFonts w:eastAsia="Calibri"/>
          <w:i/>
          <w:sz w:val="24"/>
          <w:szCs w:val="24"/>
        </w:rPr>
        <w:t>Sustainability</w:t>
      </w:r>
      <w:r w:rsidRPr="00C67061">
        <w:rPr>
          <w:rFonts w:eastAsia="Calibri"/>
          <w:sz w:val="24"/>
          <w:szCs w:val="24"/>
        </w:rPr>
        <w:t xml:space="preserve"> 10, 3406; 1-17.</w:t>
      </w:r>
    </w:p>
    <w:p w14:paraId="3E57198B" w14:textId="77777777" w:rsidR="00F661AE" w:rsidRDefault="00F661AE" w:rsidP="00F661AE">
      <w:pPr>
        <w:spacing w:after="200"/>
        <w:ind w:left="720" w:hanging="720"/>
        <w:jc w:val="both"/>
        <w:rPr>
          <w:rFonts w:eastAsia="Calibri"/>
          <w:sz w:val="24"/>
          <w:szCs w:val="24"/>
        </w:rPr>
      </w:pPr>
      <w:r w:rsidRPr="001F16AC">
        <w:rPr>
          <w:rFonts w:eastAsia="Calibri"/>
          <w:sz w:val="24"/>
          <w:szCs w:val="24"/>
        </w:rPr>
        <w:t>Sutton, J. (2011). The consultant conundrum (the importance of hiring the right consultant to the success of a project). </w:t>
      </w:r>
      <w:r w:rsidRPr="001F16AC">
        <w:rPr>
          <w:rFonts w:eastAsia="Calibri"/>
          <w:i/>
          <w:iCs/>
          <w:sz w:val="24"/>
          <w:szCs w:val="24"/>
        </w:rPr>
        <w:t>Strategic Direction</w:t>
      </w:r>
      <w:r w:rsidRPr="001F16AC">
        <w:rPr>
          <w:rFonts w:eastAsia="Calibri"/>
          <w:sz w:val="24"/>
          <w:szCs w:val="24"/>
        </w:rPr>
        <w:t>.</w:t>
      </w:r>
    </w:p>
    <w:p w14:paraId="2E7BCF06" w14:textId="77777777" w:rsidR="00F661AE" w:rsidRPr="002E0438" w:rsidRDefault="00F661AE" w:rsidP="00F661AE">
      <w:pPr>
        <w:ind w:left="720" w:hanging="720"/>
        <w:jc w:val="both"/>
        <w:rPr>
          <w:sz w:val="24"/>
          <w:szCs w:val="24"/>
        </w:rPr>
      </w:pPr>
      <w:proofErr w:type="spellStart"/>
      <w:r w:rsidRPr="002E0438">
        <w:rPr>
          <w:sz w:val="24"/>
          <w:szCs w:val="24"/>
        </w:rPr>
        <w:t>Suzer</w:t>
      </w:r>
      <w:proofErr w:type="spellEnd"/>
      <w:r w:rsidRPr="002E0438">
        <w:rPr>
          <w:sz w:val="24"/>
          <w:szCs w:val="24"/>
        </w:rPr>
        <w:t xml:space="preserve">, O. </w:t>
      </w:r>
      <w:r>
        <w:rPr>
          <w:sz w:val="24"/>
          <w:szCs w:val="24"/>
        </w:rPr>
        <w:t>(</w:t>
      </w:r>
      <w:r w:rsidRPr="002E0438">
        <w:rPr>
          <w:sz w:val="24"/>
          <w:szCs w:val="24"/>
        </w:rPr>
        <w:t>2015</w:t>
      </w:r>
      <w:r>
        <w:rPr>
          <w:sz w:val="24"/>
          <w:szCs w:val="24"/>
        </w:rPr>
        <w:t xml:space="preserve">). </w:t>
      </w:r>
      <w:r w:rsidRPr="002E0438">
        <w:rPr>
          <w:sz w:val="24"/>
          <w:szCs w:val="24"/>
        </w:rPr>
        <w:t xml:space="preserve">A comparative review of environmental concern prioritization: LEED vs other major certification systems. </w:t>
      </w:r>
      <w:r w:rsidRPr="007968AD">
        <w:rPr>
          <w:i/>
          <w:sz w:val="24"/>
          <w:szCs w:val="24"/>
        </w:rPr>
        <w:t xml:space="preserve">J. Environ. </w:t>
      </w:r>
      <w:proofErr w:type="spellStart"/>
      <w:r w:rsidRPr="007968AD">
        <w:rPr>
          <w:i/>
          <w:sz w:val="24"/>
          <w:szCs w:val="24"/>
        </w:rPr>
        <w:t>Manag</w:t>
      </w:r>
      <w:proofErr w:type="spellEnd"/>
      <w:r w:rsidRPr="002E0438">
        <w:rPr>
          <w:sz w:val="24"/>
          <w:szCs w:val="24"/>
        </w:rPr>
        <w:t>., 154, 266–283.</w:t>
      </w:r>
    </w:p>
    <w:p w14:paraId="5EC1F7BD" w14:textId="77777777" w:rsidR="00F661AE" w:rsidRDefault="00F661AE" w:rsidP="00F661AE">
      <w:pPr>
        <w:spacing w:after="200" w:line="276" w:lineRule="auto"/>
        <w:ind w:left="720" w:hanging="720"/>
        <w:jc w:val="both"/>
        <w:rPr>
          <w:rFonts w:eastAsia="Calibri"/>
          <w:sz w:val="24"/>
          <w:szCs w:val="24"/>
        </w:rPr>
      </w:pPr>
      <w:proofErr w:type="spellStart"/>
      <w:r w:rsidRPr="00C67061">
        <w:rPr>
          <w:rFonts w:eastAsia="Calibri"/>
          <w:sz w:val="24"/>
          <w:szCs w:val="24"/>
        </w:rPr>
        <w:t>Tabassi</w:t>
      </w:r>
      <w:proofErr w:type="spellEnd"/>
      <w:r w:rsidRPr="00C67061">
        <w:rPr>
          <w:rFonts w:eastAsia="Calibri"/>
          <w:sz w:val="24"/>
          <w:szCs w:val="24"/>
        </w:rPr>
        <w:t xml:space="preserve">, A.A.; </w:t>
      </w:r>
      <w:proofErr w:type="spellStart"/>
      <w:r w:rsidRPr="00C67061">
        <w:rPr>
          <w:rFonts w:eastAsia="Calibri"/>
          <w:sz w:val="24"/>
          <w:szCs w:val="24"/>
        </w:rPr>
        <w:t>Roufechaei</w:t>
      </w:r>
      <w:proofErr w:type="spellEnd"/>
      <w:r w:rsidRPr="00C67061">
        <w:rPr>
          <w:rFonts w:eastAsia="Calibri"/>
          <w:sz w:val="24"/>
          <w:szCs w:val="24"/>
        </w:rPr>
        <w:t>, K.M.; Ramli,</w:t>
      </w:r>
      <w:r>
        <w:rPr>
          <w:rFonts w:eastAsia="Calibri"/>
          <w:sz w:val="24"/>
          <w:szCs w:val="24"/>
        </w:rPr>
        <w:t xml:space="preserve"> M.; Bakar, A.H.A.; Ismail, R. and</w:t>
      </w:r>
      <w:r w:rsidRPr="00D937A8">
        <w:rPr>
          <w:rFonts w:eastAsia="Calibri"/>
          <w:sz w:val="24"/>
          <w:szCs w:val="24"/>
        </w:rPr>
        <w:t xml:space="preserve"> </w:t>
      </w:r>
      <w:proofErr w:type="spellStart"/>
      <w:r w:rsidRPr="00C67061">
        <w:rPr>
          <w:rFonts w:eastAsia="Calibri"/>
          <w:sz w:val="24"/>
          <w:szCs w:val="24"/>
        </w:rPr>
        <w:t>Pakir</w:t>
      </w:r>
      <w:proofErr w:type="spellEnd"/>
      <w:r w:rsidRPr="00C67061">
        <w:rPr>
          <w:rFonts w:eastAsia="Calibri"/>
          <w:sz w:val="24"/>
          <w:szCs w:val="24"/>
        </w:rPr>
        <w:t xml:space="preserve">, A.H.K. </w:t>
      </w:r>
      <w:r>
        <w:rPr>
          <w:rFonts w:eastAsia="Calibri"/>
          <w:sz w:val="24"/>
          <w:szCs w:val="24"/>
        </w:rPr>
        <w:t>(</w:t>
      </w:r>
      <w:r w:rsidRPr="00C67061">
        <w:rPr>
          <w:rFonts w:eastAsia="Calibri"/>
          <w:sz w:val="24"/>
          <w:szCs w:val="24"/>
        </w:rPr>
        <w:t>2016</w:t>
      </w:r>
      <w:r>
        <w:rPr>
          <w:rFonts w:eastAsia="Calibri"/>
          <w:sz w:val="24"/>
          <w:szCs w:val="24"/>
        </w:rPr>
        <w:t xml:space="preserve">). </w:t>
      </w:r>
      <w:r w:rsidRPr="00C67061">
        <w:rPr>
          <w:rFonts w:eastAsia="Calibri"/>
          <w:sz w:val="24"/>
          <w:szCs w:val="24"/>
        </w:rPr>
        <w:t xml:space="preserve">Leadership competences of sustainable construction project managers. </w:t>
      </w:r>
      <w:r w:rsidRPr="007968AD">
        <w:rPr>
          <w:rFonts w:eastAsia="Calibri"/>
          <w:i/>
          <w:sz w:val="24"/>
          <w:szCs w:val="24"/>
        </w:rPr>
        <w:t>J. Clean. Prod.</w:t>
      </w:r>
      <w:r w:rsidRPr="00C67061">
        <w:rPr>
          <w:rFonts w:eastAsia="Calibri"/>
          <w:sz w:val="24"/>
          <w:szCs w:val="24"/>
        </w:rPr>
        <w:t>, 124, 339–349.</w:t>
      </w:r>
    </w:p>
    <w:p w14:paraId="5249F057" w14:textId="77777777" w:rsidR="00F661AE" w:rsidRDefault="00F661AE" w:rsidP="00F661AE">
      <w:pPr>
        <w:spacing w:after="200" w:line="276" w:lineRule="auto"/>
        <w:ind w:left="720" w:hanging="720"/>
        <w:jc w:val="both"/>
        <w:rPr>
          <w:rFonts w:eastAsia="Calibri"/>
          <w:sz w:val="24"/>
          <w:szCs w:val="24"/>
        </w:rPr>
      </w:pPr>
      <w:r>
        <w:rPr>
          <w:rFonts w:eastAsia="Calibri"/>
          <w:sz w:val="24"/>
          <w:szCs w:val="24"/>
        </w:rPr>
        <w:t>Tan, Y.; Shen, L. and</w:t>
      </w:r>
      <w:r w:rsidRPr="00D937A8">
        <w:rPr>
          <w:rFonts w:eastAsia="Calibri"/>
          <w:sz w:val="24"/>
          <w:szCs w:val="24"/>
        </w:rPr>
        <w:t xml:space="preserve"> </w:t>
      </w:r>
      <w:r w:rsidRPr="00C67061">
        <w:rPr>
          <w:rFonts w:eastAsia="Calibri"/>
          <w:sz w:val="24"/>
          <w:szCs w:val="24"/>
        </w:rPr>
        <w:t xml:space="preserve">Yao, H. </w:t>
      </w:r>
      <w:r>
        <w:rPr>
          <w:rFonts w:eastAsia="Calibri"/>
          <w:sz w:val="24"/>
          <w:szCs w:val="24"/>
        </w:rPr>
        <w:t>(</w:t>
      </w:r>
      <w:r w:rsidRPr="00C67061">
        <w:rPr>
          <w:rFonts w:eastAsia="Calibri"/>
          <w:sz w:val="24"/>
          <w:szCs w:val="24"/>
        </w:rPr>
        <w:t>2011</w:t>
      </w:r>
      <w:r>
        <w:rPr>
          <w:rFonts w:eastAsia="Calibri"/>
          <w:sz w:val="24"/>
          <w:szCs w:val="24"/>
        </w:rPr>
        <w:t xml:space="preserve">). </w:t>
      </w:r>
      <w:r w:rsidRPr="00C67061">
        <w:rPr>
          <w:rFonts w:eastAsia="Calibri"/>
          <w:sz w:val="24"/>
          <w:szCs w:val="24"/>
        </w:rPr>
        <w:t xml:space="preserve">Sustainable construction practice and contractors’ competitiveness: A preliminary study. </w:t>
      </w:r>
      <w:r w:rsidRPr="007968AD">
        <w:rPr>
          <w:rFonts w:eastAsia="Calibri"/>
          <w:i/>
          <w:sz w:val="24"/>
          <w:szCs w:val="24"/>
        </w:rPr>
        <w:t>Habitat Int</w:t>
      </w:r>
      <w:r w:rsidRPr="00C67061">
        <w:rPr>
          <w:rFonts w:eastAsia="Calibri"/>
          <w:sz w:val="24"/>
          <w:szCs w:val="24"/>
        </w:rPr>
        <w:t>., 35, 225–230.</w:t>
      </w:r>
    </w:p>
    <w:p w14:paraId="79961BE8" w14:textId="77777777" w:rsidR="00F661AE" w:rsidRDefault="00F661AE" w:rsidP="00F661AE">
      <w:pPr>
        <w:spacing w:after="200" w:line="276" w:lineRule="auto"/>
        <w:ind w:left="720" w:hanging="720"/>
        <w:jc w:val="both"/>
        <w:rPr>
          <w:rFonts w:eastAsia="Calibri"/>
          <w:sz w:val="24"/>
          <w:szCs w:val="24"/>
        </w:rPr>
      </w:pPr>
      <w:proofErr w:type="spellStart"/>
      <w:r>
        <w:rPr>
          <w:rFonts w:eastAsia="Calibri"/>
          <w:sz w:val="24"/>
          <w:szCs w:val="24"/>
        </w:rPr>
        <w:t>Thilakaratne</w:t>
      </w:r>
      <w:proofErr w:type="spellEnd"/>
      <w:r>
        <w:rPr>
          <w:rFonts w:eastAsia="Calibri"/>
          <w:sz w:val="24"/>
          <w:szCs w:val="24"/>
        </w:rPr>
        <w:t>, R. and</w:t>
      </w:r>
      <w:r w:rsidRPr="00D937A8">
        <w:rPr>
          <w:rFonts w:eastAsia="Calibri"/>
          <w:sz w:val="24"/>
          <w:szCs w:val="24"/>
        </w:rPr>
        <w:t xml:space="preserve"> </w:t>
      </w:r>
      <w:r w:rsidRPr="00F82404">
        <w:rPr>
          <w:rFonts w:eastAsia="Calibri"/>
          <w:sz w:val="24"/>
          <w:szCs w:val="24"/>
        </w:rPr>
        <w:t xml:space="preserve">Lew, V. </w:t>
      </w:r>
      <w:r>
        <w:rPr>
          <w:rFonts w:eastAsia="Calibri"/>
          <w:sz w:val="24"/>
          <w:szCs w:val="24"/>
        </w:rPr>
        <w:t>(</w:t>
      </w:r>
      <w:r w:rsidRPr="00F82404">
        <w:rPr>
          <w:rFonts w:eastAsia="Calibri"/>
          <w:sz w:val="24"/>
          <w:szCs w:val="24"/>
        </w:rPr>
        <w:t>2011</w:t>
      </w:r>
      <w:r>
        <w:rPr>
          <w:rFonts w:eastAsia="Calibri"/>
          <w:sz w:val="24"/>
          <w:szCs w:val="24"/>
        </w:rPr>
        <w:t xml:space="preserve">). </w:t>
      </w:r>
      <w:r w:rsidRPr="00F82404">
        <w:rPr>
          <w:rFonts w:eastAsia="Calibri"/>
          <w:sz w:val="24"/>
          <w:szCs w:val="24"/>
        </w:rPr>
        <w:t xml:space="preserve">Is LEED Leading </w:t>
      </w:r>
      <w:proofErr w:type="gramStart"/>
      <w:r w:rsidRPr="00F82404">
        <w:rPr>
          <w:rFonts w:eastAsia="Calibri"/>
          <w:sz w:val="24"/>
          <w:szCs w:val="24"/>
        </w:rPr>
        <w:t>Asia?:</w:t>
      </w:r>
      <w:proofErr w:type="gramEnd"/>
      <w:r w:rsidRPr="00F82404">
        <w:rPr>
          <w:rFonts w:eastAsia="Calibri"/>
          <w:sz w:val="24"/>
          <w:szCs w:val="24"/>
        </w:rPr>
        <w:t xml:space="preserve"> An Analysis of Global Adaptation and Trends. </w:t>
      </w:r>
      <w:r w:rsidRPr="007968AD">
        <w:rPr>
          <w:rFonts w:eastAsia="Calibri"/>
          <w:i/>
          <w:sz w:val="24"/>
          <w:szCs w:val="24"/>
        </w:rPr>
        <w:t>Procedia Eng.</w:t>
      </w:r>
      <w:r w:rsidRPr="00F82404">
        <w:rPr>
          <w:rFonts w:eastAsia="Calibri"/>
          <w:sz w:val="24"/>
          <w:szCs w:val="24"/>
        </w:rPr>
        <w:t>, 21, 1136–1144.</w:t>
      </w:r>
    </w:p>
    <w:p w14:paraId="0EB99F7A" w14:textId="77777777" w:rsidR="00F661AE" w:rsidRPr="001917F5" w:rsidRDefault="00F661AE" w:rsidP="00F661AE">
      <w:pPr>
        <w:spacing w:after="200" w:line="276" w:lineRule="auto"/>
        <w:ind w:left="720" w:hanging="720"/>
        <w:jc w:val="both"/>
        <w:rPr>
          <w:rFonts w:eastAsia="Calibri"/>
          <w:sz w:val="24"/>
          <w:szCs w:val="24"/>
        </w:rPr>
      </w:pPr>
      <w:r w:rsidRPr="001917F5">
        <w:rPr>
          <w:rFonts w:eastAsia="Calibri"/>
          <w:sz w:val="24"/>
          <w:szCs w:val="24"/>
        </w:rPr>
        <w:t>WCED (1987</w:t>
      </w:r>
      <w:proofErr w:type="gramStart"/>
      <w:r w:rsidRPr="001917F5">
        <w:rPr>
          <w:rFonts w:eastAsia="Calibri"/>
          <w:sz w:val="24"/>
          <w:szCs w:val="24"/>
        </w:rPr>
        <w:t>).The</w:t>
      </w:r>
      <w:proofErr w:type="gramEnd"/>
      <w:r w:rsidRPr="001917F5">
        <w:rPr>
          <w:rFonts w:eastAsia="Calibri"/>
          <w:sz w:val="24"/>
          <w:szCs w:val="24"/>
        </w:rPr>
        <w:t xml:space="preserve"> World Commission on Environment and Development (WCED) ‘Our Common Future’. Viewed from </w:t>
      </w:r>
      <w:hyperlink r:id="rId13" w:history="1">
        <w:r w:rsidRPr="001917F5">
          <w:rPr>
            <w:rFonts w:eastAsia="Calibri"/>
            <w:color w:val="0000FF"/>
            <w:sz w:val="24"/>
            <w:szCs w:val="24"/>
            <w:u w:val="single"/>
          </w:rPr>
          <w:t>http://conspect.nl/pdf/Our_Common_Future</w:t>
        </w:r>
      </w:hyperlink>
      <w:r w:rsidRPr="001917F5">
        <w:rPr>
          <w:rFonts w:eastAsia="Calibri"/>
          <w:sz w:val="24"/>
          <w:szCs w:val="24"/>
        </w:rPr>
        <w:t xml:space="preserve"> Brundtland_Report_1987.pdf.Accessed on 6/02/2013.</w:t>
      </w:r>
    </w:p>
    <w:p w14:paraId="0227B91B" w14:textId="77777777" w:rsidR="00F661AE" w:rsidRPr="00F82404" w:rsidRDefault="00F661AE" w:rsidP="00F661AE">
      <w:pPr>
        <w:spacing w:after="200" w:line="276" w:lineRule="auto"/>
        <w:ind w:left="720" w:hanging="720"/>
        <w:jc w:val="both"/>
        <w:rPr>
          <w:rFonts w:eastAsia="Calibri"/>
          <w:sz w:val="24"/>
          <w:szCs w:val="24"/>
        </w:rPr>
      </w:pPr>
      <w:r w:rsidRPr="00F82404">
        <w:rPr>
          <w:rFonts w:eastAsia="Calibri"/>
          <w:sz w:val="24"/>
          <w:szCs w:val="24"/>
        </w:rPr>
        <w:t>Yang, L.-R., Chen, J.-H., &amp; Wang, X.-L. (2014). Assessing the effect of requirement definition</w:t>
      </w:r>
      <w:r>
        <w:rPr>
          <w:rFonts w:eastAsia="Calibri"/>
          <w:sz w:val="24"/>
          <w:szCs w:val="24"/>
        </w:rPr>
        <w:t xml:space="preserve"> </w:t>
      </w:r>
      <w:r w:rsidRPr="00F82404">
        <w:rPr>
          <w:rFonts w:eastAsia="Calibri"/>
          <w:sz w:val="24"/>
          <w:szCs w:val="24"/>
        </w:rPr>
        <w:t>and management on performance outcomes: Role of interpersonal conflict, product</w:t>
      </w:r>
      <w:r>
        <w:rPr>
          <w:rFonts w:eastAsia="Calibri"/>
          <w:sz w:val="24"/>
          <w:szCs w:val="24"/>
        </w:rPr>
        <w:t xml:space="preserve"> </w:t>
      </w:r>
      <w:r w:rsidRPr="00F82404">
        <w:rPr>
          <w:rFonts w:eastAsia="Calibri"/>
          <w:sz w:val="24"/>
          <w:szCs w:val="24"/>
        </w:rPr>
        <w:t xml:space="preserve">advantage and project type. </w:t>
      </w:r>
      <w:r w:rsidRPr="007968AD">
        <w:rPr>
          <w:rFonts w:eastAsia="Calibri"/>
          <w:i/>
          <w:sz w:val="24"/>
          <w:szCs w:val="24"/>
        </w:rPr>
        <w:t>International Journal of Project Management</w:t>
      </w:r>
      <w:r w:rsidRPr="00F82404">
        <w:rPr>
          <w:rFonts w:eastAsia="Calibri"/>
          <w:sz w:val="24"/>
          <w:szCs w:val="24"/>
        </w:rPr>
        <w:t>.</w:t>
      </w:r>
    </w:p>
    <w:p w14:paraId="48F4F39C" w14:textId="77777777" w:rsidR="00F661AE" w:rsidRDefault="00F661AE" w:rsidP="00F661AE">
      <w:pPr>
        <w:spacing w:after="200" w:line="276" w:lineRule="auto"/>
        <w:ind w:left="720" w:hanging="720"/>
        <w:jc w:val="both"/>
        <w:rPr>
          <w:rFonts w:eastAsia="Calibri"/>
          <w:sz w:val="24"/>
          <w:szCs w:val="24"/>
        </w:rPr>
      </w:pPr>
      <w:r w:rsidRPr="00C67061">
        <w:rPr>
          <w:rFonts w:eastAsia="Calibri"/>
          <w:sz w:val="24"/>
          <w:szCs w:val="24"/>
        </w:rPr>
        <w:t xml:space="preserve">Ye, L.; Cheng, Z.; Wang, Q.; Lin, H.; Lin, C.; Liu, B. </w:t>
      </w:r>
      <w:r>
        <w:rPr>
          <w:rFonts w:eastAsia="Calibri"/>
          <w:sz w:val="24"/>
          <w:szCs w:val="24"/>
        </w:rPr>
        <w:t>(</w:t>
      </w:r>
      <w:r w:rsidRPr="00C67061">
        <w:rPr>
          <w:rFonts w:eastAsia="Calibri"/>
          <w:sz w:val="24"/>
          <w:szCs w:val="24"/>
        </w:rPr>
        <w:t>2015</w:t>
      </w:r>
      <w:r>
        <w:rPr>
          <w:rFonts w:eastAsia="Calibri"/>
          <w:sz w:val="24"/>
          <w:szCs w:val="24"/>
        </w:rPr>
        <w:t xml:space="preserve">). </w:t>
      </w:r>
      <w:r w:rsidRPr="00C67061">
        <w:rPr>
          <w:rFonts w:eastAsia="Calibri"/>
          <w:sz w:val="24"/>
          <w:szCs w:val="24"/>
        </w:rPr>
        <w:t xml:space="preserve">Developments of Green Building Standards in China. </w:t>
      </w:r>
      <w:r w:rsidRPr="007968AD">
        <w:rPr>
          <w:rFonts w:eastAsia="Calibri"/>
          <w:i/>
          <w:sz w:val="24"/>
          <w:szCs w:val="24"/>
        </w:rPr>
        <w:t>Renew. Energy</w:t>
      </w:r>
      <w:r w:rsidRPr="00C67061">
        <w:rPr>
          <w:rFonts w:eastAsia="Calibri"/>
          <w:sz w:val="24"/>
          <w:szCs w:val="24"/>
        </w:rPr>
        <w:t>, 73, 115–122</w:t>
      </w:r>
    </w:p>
    <w:p w14:paraId="7832875B" w14:textId="77777777" w:rsidR="00F661AE" w:rsidRDefault="00F661AE" w:rsidP="00F661AE">
      <w:pPr>
        <w:spacing w:after="200" w:line="276" w:lineRule="auto"/>
        <w:ind w:left="720" w:hanging="720"/>
        <w:jc w:val="both"/>
        <w:rPr>
          <w:rFonts w:eastAsia="Calibri"/>
          <w:sz w:val="24"/>
          <w:szCs w:val="24"/>
        </w:rPr>
      </w:pPr>
      <w:proofErr w:type="spellStart"/>
      <w:r>
        <w:rPr>
          <w:rFonts w:eastAsia="Calibri"/>
          <w:sz w:val="24"/>
          <w:szCs w:val="24"/>
        </w:rPr>
        <w:t>Zuo</w:t>
      </w:r>
      <w:proofErr w:type="spellEnd"/>
      <w:r>
        <w:rPr>
          <w:rFonts w:eastAsia="Calibri"/>
          <w:sz w:val="24"/>
          <w:szCs w:val="24"/>
        </w:rPr>
        <w:t>, J. and</w:t>
      </w:r>
      <w:r w:rsidRPr="00D937A8">
        <w:rPr>
          <w:rFonts w:eastAsia="Calibri"/>
          <w:sz w:val="24"/>
          <w:szCs w:val="24"/>
        </w:rPr>
        <w:t xml:space="preserve"> </w:t>
      </w:r>
      <w:r w:rsidRPr="00C67061">
        <w:rPr>
          <w:rFonts w:eastAsia="Calibri"/>
          <w:sz w:val="24"/>
          <w:szCs w:val="24"/>
        </w:rPr>
        <w:t xml:space="preserve">Zhao, Z.-Y. </w:t>
      </w:r>
      <w:r>
        <w:rPr>
          <w:rFonts w:eastAsia="Calibri"/>
          <w:sz w:val="24"/>
          <w:szCs w:val="24"/>
        </w:rPr>
        <w:t>(</w:t>
      </w:r>
      <w:r w:rsidRPr="00C67061">
        <w:rPr>
          <w:rFonts w:eastAsia="Calibri"/>
          <w:sz w:val="24"/>
          <w:szCs w:val="24"/>
        </w:rPr>
        <w:t>2014</w:t>
      </w:r>
      <w:r>
        <w:rPr>
          <w:rFonts w:eastAsia="Calibri"/>
          <w:sz w:val="24"/>
          <w:szCs w:val="24"/>
        </w:rPr>
        <w:t xml:space="preserve">). </w:t>
      </w:r>
      <w:r w:rsidRPr="00C67061">
        <w:rPr>
          <w:rFonts w:eastAsia="Calibri"/>
          <w:sz w:val="24"/>
          <w:szCs w:val="24"/>
        </w:rPr>
        <w:t xml:space="preserve">Green building research–current status and future agenda: A review. </w:t>
      </w:r>
      <w:r w:rsidRPr="007968AD">
        <w:rPr>
          <w:rFonts w:eastAsia="Calibri"/>
          <w:i/>
          <w:sz w:val="24"/>
          <w:szCs w:val="24"/>
        </w:rPr>
        <w:t>Renew. Sustain. Energy Rev</w:t>
      </w:r>
      <w:r w:rsidRPr="00C67061">
        <w:rPr>
          <w:rFonts w:eastAsia="Calibri"/>
          <w:sz w:val="24"/>
          <w:szCs w:val="24"/>
        </w:rPr>
        <w:t>., 30, 271–281.</w:t>
      </w:r>
    </w:p>
    <w:p w14:paraId="457F9D2D" w14:textId="77777777" w:rsidR="00F661AE" w:rsidRPr="001917F5" w:rsidRDefault="00F661AE" w:rsidP="00F661AE">
      <w:pPr>
        <w:spacing w:after="200" w:line="276" w:lineRule="auto"/>
        <w:ind w:left="720" w:hanging="720"/>
        <w:jc w:val="both"/>
        <w:rPr>
          <w:rFonts w:eastAsia="Calibri"/>
          <w:sz w:val="24"/>
          <w:szCs w:val="24"/>
        </w:rPr>
      </w:pPr>
      <w:proofErr w:type="spellStart"/>
      <w:r w:rsidRPr="001F16AC">
        <w:rPr>
          <w:rFonts w:eastAsia="Calibri"/>
          <w:sz w:val="24"/>
          <w:szCs w:val="24"/>
        </w:rPr>
        <w:t>Zwikael</w:t>
      </w:r>
      <w:proofErr w:type="spellEnd"/>
      <w:r w:rsidRPr="001F16AC">
        <w:rPr>
          <w:rFonts w:eastAsia="Calibri"/>
          <w:sz w:val="24"/>
          <w:szCs w:val="24"/>
        </w:rPr>
        <w:t xml:space="preserve">, O., </w:t>
      </w:r>
      <w:r>
        <w:rPr>
          <w:rFonts w:eastAsia="Calibri"/>
          <w:sz w:val="24"/>
          <w:szCs w:val="24"/>
        </w:rPr>
        <w:t>and</w:t>
      </w:r>
      <w:r w:rsidRPr="00D937A8">
        <w:rPr>
          <w:rFonts w:eastAsia="Calibri"/>
          <w:sz w:val="24"/>
          <w:szCs w:val="24"/>
        </w:rPr>
        <w:t xml:space="preserve"> </w:t>
      </w:r>
      <w:proofErr w:type="spellStart"/>
      <w:r w:rsidRPr="001F16AC">
        <w:rPr>
          <w:rFonts w:eastAsia="Calibri"/>
          <w:sz w:val="24"/>
          <w:szCs w:val="24"/>
        </w:rPr>
        <w:t>Smyrk</w:t>
      </w:r>
      <w:proofErr w:type="spellEnd"/>
      <w:r w:rsidRPr="001F16AC">
        <w:rPr>
          <w:rFonts w:eastAsia="Calibri"/>
          <w:sz w:val="24"/>
          <w:szCs w:val="24"/>
        </w:rPr>
        <w:t>, J. (2011). Executing a Project: The Roles of the Key Players. In Project Management for the Creation of Organisational Value (pp. 225-257). Springer, London.</w:t>
      </w:r>
    </w:p>
    <w:p w14:paraId="6BA9A919" w14:textId="77777777" w:rsidR="00F661AE" w:rsidRDefault="00F661AE" w:rsidP="002F07B6">
      <w:pPr>
        <w:pStyle w:val="BodyText"/>
        <w:spacing w:after="60"/>
        <w:jc w:val="both"/>
      </w:pPr>
    </w:p>
    <w:p w14:paraId="4C2EA587" w14:textId="77777777" w:rsidR="00F661AE" w:rsidRDefault="00F661AE" w:rsidP="002F07B6">
      <w:pPr>
        <w:pStyle w:val="BodyText"/>
        <w:spacing w:after="60"/>
        <w:jc w:val="both"/>
      </w:pPr>
    </w:p>
    <w:sectPr w:rsidR="00F661AE" w:rsidSect="00F5480F">
      <w:headerReference w:type="even" r:id="rId14"/>
      <w:headerReference w:type="default" r:id="rId15"/>
      <w:footerReference w:type="even" r:id="rId16"/>
      <w:headerReference w:type="first" r:id="rId17"/>
      <w:footnotePr>
        <w:numRestart w:val="eachSect"/>
      </w:footnotePr>
      <w:pgSz w:w="11906" w:h="16838" w:code="9"/>
      <w:pgMar w:top="1440" w:right="1440" w:bottom="1440" w:left="2160" w:header="720" w:footer="720" w:gutter="0"/>
      <w:paperSrc w:first="4" w:other="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8AA2B" w14:textId="77777777" w:rsidR="00B872A1" w:rsidRDefault="00B872A1">
      <w:r>
        <w:separator/>
      </w:r>
    </w:p>
  </w:endnote>
  <w:endnote w:type="continuationSeparator" w:id="0">
    <w:p w14:paraId="5734DD6B" w14:textId="77777777" w:rsidR="00B872A1" w:rsidRDefault="00B8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AF0C6" w14:textId="405D5D2E" w:rsidR="00F661AE" w:rsidRPr="00472AC0" w:rsidRDefault="001F2955">
    <w:pPr>
      <w:pStyle w:val="Footer"/>
      <w:rPr>
        <w:i/>
      </w:rPr>
    </w:pPr>
    <w:proofErr w:type="spellStart"/>
    <w:r>
      <w:t>Belgore</w:t>
    </w:r>
    <w:proofErr w:type="spellEnd"/>
    <w:r>
      <w:t xml:space="preserve">, U and </w:t>
    </w:r>
    <w:proofErr w:type="spellStart"/>
    <w:r>
      <w:t>Makinde</w:t>
    </w:r>
    <w:proofErr w:type="spellEnd"/>
    <w:r>
      <w:t xml:space="preserve">, J.K.                                                                                                     </w:t>
    </w:r>
    <w:r w:rsidR="00AB6472" w:rsidRPr="00AB6472">
      <w:rPr>
        <w:i/>
      </w:rPr>
      <w:t xml:space="preserve">Page | </w:t>
    </w:r>
    <w:r w:rsidR="00AB6472" w:rsidRPr="00AB6472">
      <w:rPr>
        <w:i/>
      </w:rPr>
      <w:fldChar w:fldCharType="begin"/>
    </w:r>
    <w:r w:rsidR="00AB6472" w:rsidRPr="00AB6472">
      <w:rPr>
        <w:i/>
      </w:rPr>
      <w:instrText xml:space="preserve"> PAGE   \* MERGEFORMAT </w:instrText>
    </w:r>
    <w:r w:rsidR="00AB6472" w:rsidRPr="00AB6472">
      <w:rPr>
        <w:i/>
      </w:rPr>
      <w:fldChar w:fldCharType="separate"/>
    </w:r>
    <w:r w:rsidR="00AB6472" w:rsidRPr="00AB6472">
      <w:rPr>
        <w:i/>
        <w:noProof/>
      </w:rPr>
      <w:t>1</w:t>
    </w:r>
    <w:r w:rsidR="00AB6472" w:rsidRPr="00AB6472">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A965F" w14:textId="77777777" w:rsidR="00B872A1" w:rsidRDefault="00B872A1">
      <w:r>
        <w:separator/>
      </w:r>
    </w:p>
  </w:footnote>
  <w:footnote w:type="continuationSeparator" w:id="0">
    <w:p w14:paraId="0A7E19BA" w14:textId="77777777" w:rsidR="00B872A1" w:rsidRDefault="00B8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5971B" w14:textId="3DD332C0" w:rsidR="00F661AE" w:rsidRDefault="00F661AE" w:rsidP="009D5E6A">
    <w:pPr>
      <w:jc w:val="center"/>
      <w:rPr>
        <w:rFonts w:eastAsia="Calibri"/>
        <w:b/>
        <w:bCs/>
        <w:sz w:val="28"/>
        <w:szCs w:val="28"/>
      </w:rPr>
    </w:pPr>
    <w:r w:rsidRPr="009D5E6A">
      <w:rPr>
        <w:rFonts w:eastAsia="Calibri"/>
        <w:bCs/>
        <w:i/>
        <w:iCs/>
      </w:rPr>
      <w:t>Project Managers’ Performance on Sustainable Construction of Residential Estates in Abuja, Nigeria.</w:t>
    </w:r>
  </w:p>
  <w:p w14:paraId="06137A4B" w14:textId="7E92406D" w:rsidR="00F661AE" w:rsidRDefault="00F661AE">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B9993" w14:textId="77777777" w:rsidR="00F661AE" w:rsidRDefault="00F661AE">
    <w:pPr>
      <w:pStyle w:val="Header"/>
      <w:jc w:val="right"/>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8C53F" w14:textId="77777777" w:rsidR="00F661AE" w:rsidRPr="00410AEB" w:rsidRDefault="00F661AE" w:rsidP="0002508A">
    <w:pPr>
      <w:pStyle w:val="Header"/>
      <w:rPr>
        <w:sz w:val="18"/>
        <w:lang w:val="es-ES"/>
      </w:rPr>
    </w:pPr>
    <w:r>
      <w:rPr>
        <w:i w:val="0"/>
        <w:iCs/>
        <w:sz w:val="18"/>
        <w:lang w:val="es-ES"/>
      </w:rPr>
      <w:t>1st NIQS Research Conference</w:t>
    </w:r>
    <w:r w:rsidRPr="00410AEB">
      <w:rPr>
        <w:sz w:val="18"/>
        <w:lang w:val="es-ES"/>
      </w:rPr>
      <w:t xml:space="preserve">   </w:t>
    </w:r>
  </w:p>
  <w:p w14:paraId="5623C399" w14:textId="77777777" w:rsidR="00F661AE" w:rsidRDefault="00F661AE">
    <w:pPr>
      <w:pStyle w:val="BodyText"/>
      <w:spacing w:after="0"/>
      <w:rPr>
        <w:sz w:val="20"/>
      </w:rPr>
    </w:pPr>
    <w:r>
      <w:rPr>
        <w:sz w:val="18"/>
        <w:lang w:val="es-ES"/>
      </w:rPr>
      <w:t>June 11-13, 2013</w:t>
    </w:r>
  </w:p>
  <w:p w14:paraId="3513A9E3" w14:textId="77777777" w:rsidR="00F661AE" w:rsidRDefault="00F66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18A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61CB5"/>
    <w:multiLevelType w:val="hybridMultilevel"/>
    <w:tmpl w:val="ED7C35AA"/>
    <w:lvl w:ilvl="0" w:tplc="A82C5180">
      <w:start w:val="1"/>
      <w:numFmt w:val="lowerRoman"/>
      <w:suff w:val="space"/>
      <w:lvlText w:val="(%1)"/>
      <w:lvlJc w:val="left"/>
      <w:pPr>
        <w:ind w:left="288"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E28EF"/>
    <w:multiLevelType w:val="hybridMultilevel"/>
    <w:tmpl w:val="53E271A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34A8"/>
    <w:multiLevelType w:val="multilevel"/>
    <w:tmpl w:val="7D2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5134F"/>
    <w:multiLevelType w:val="hybridMultilevel"/>
    <w:tmpl w:val="CC20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B6C68"/>
    <w:multiLevelType w:val="hybridMultilevel"/>
    <w:tmpl w:val="ED7C35AA"/>
    <w:lvl w:ilvl="0" w:tplc="A82C5180">
      <w:start w:val="1"/>
      <w:numFmt w:val="lowerRoman"/>
      <w:suff w:val="space"/>
      <w:lvlText w:val="(%1)"/>
      <w:lvlJc w:val="left"/>
      <w:pPr>
        <w:ind w:left="288"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9523E"/>
    <w:multiLevelType w:val="multilevel"/>
    <w:tmpl w:val="B97C47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E1D629E"/>
    <w:multiLevelType w:val="hybridMultilevel"/>
    <w:tmpl w:val="41969E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76B5F"/>
    <w:multiLevelType w:val="hybridMultilevel"/>
    <w:tmpl w:val="E0C68EE8"/>
    <w:lvl w:ilvl="0" w:tplc="ED3CD1A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FB3DEB"/>
    <w:multiLevelType w:val="multilevel"/>
    <w:tmpl w:val="627A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B542E"/>
    <w:multiLevelType w:val="hybridMultilevel"/>
    <w:tmpl w:val="8DEC2376"/>
    <w:lvl w:ilvl="0" w:tplc="04090001">
      <w:start w:val="1"/>
      <w:numFmt w:val="bullet"/>
      <w:lvlText w:val=""/>
      <w:lvlJc w:val="left"/>
      <w:pPr>
        <w:tabs>
          <w:tab w:val="num" w:pos="720"/>
        </w:tabs>
        <w:ind w:left="720" w:hanging="360"/>
      </w:pPr>
      <w:rPr>
        <w:rFonts w:ascii="Symbol" w:hAnsi="Symbol" w:hint="default"/>
      </w:rPr>
    </w:lvl>
    <w:lvl w:ilvl="1" w:tplc="CB6EF42A">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7766E"/>
    <w:multiLevelType w:val="hybridMultilevel"/>
    <w:tmpl w:val="E0C68EE8"/>
    <w:lvl w:ilvl="0" w:tplc="ED3CD1A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F669D3"/>
    <w:multiLevelType w:val="hybridMultilevel"/>
    <w:tmpl w:val="6562F88A"/>
    <w:lvl w:ilvl="0" w:tplc="D68E8E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7A060C3"/>
    <w:multiLevelType w:val="hybridMultilevel"/>
    <w:tmpl w:val="C7221D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092471"/>
    <w:multiLevelType w:val="hybridMultilevel"/>
    <w:tmpl w:val="418A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A4ABF"/>
    <w:multiLevelType w:val="hybridMultilevel"/>
    <w:tmpl w:val="E0C68EE8"/>
    <w:lvl w:ilvl="0" w:tplc="ED3CD1A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3C3E70"/>
    <w:multiLevelType w:val="hybridMultilevel"/>
    <w:tmpl w:val="FFB80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2712FA"/>
    <w:multiLevelType w:val="hybridMultilevel"/>
    <w:tmpl w:val="469E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55D48"/>
    <w:multiLevelType w:val="hybridMultilevel"/>
    <w:tmpl w:val="A5B46C4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6E53A40"/>
    <w:multiLevelType w:val="hybridMultilevel"/>
    <w:tmpl w:val="CC20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C64BF"/>
    <w:multiLevelType w:val="hybridMultilevel"/>
    <w:tmpl w:val="CC20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12506"/>
    <w:multiLevelType w:val="hybridMultilevel"/>
    <w:tmpl w:val="25800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BE4B33"/>
    <w:multiLevelType w:val="hybridMultilevel"/>
    <w:tmpl w:val="53E271A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E26FC"/>
    <w:multiLevelType w:val="hybridMultilevel"/>
    <w:tmpl w:val="9E4AF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9C6D56"/>
    <w:multiLevelType w:val="hybridMultilevel"/>
    <w:tmpl w:val="53E271A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113996"/>
    <w:multiLevelType w:val="multilevel"/>
    <w:tmpl w:val="C1CC3E3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F53E13"/>
    <w:multiLevelType w:val="hybridMultilevel"/>
    <w:tmpl w:val="CC20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C4D59"/>
    <w:multiLevelType w:val="hybridMultilevel"/>
    <w:tmpl w:val="332699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64333"/>
    <w:multiLevelType w:val="hybridMultilevel"/>
    <w:tmpl w:val="6A640506"/>
    <w:lvl w:ilvl="0" w:tplc="04090011">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9" w15:restartNumberingAfterBreak="0">
    <w:nsid w:val="65D865C6"/>
    <w:multiLevelType w:val="hybridMultilevel"/>
    <w:tmpl w:val="4AB450AC"/>
    <w:lvl w:ilvl="0" w:tplc="EB328D1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01EFE"/>
    <w:multiLevelType w:val="hybridMultilevel"/>
    <w:tmpl w:val="66343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6C7C48"/>
    <w:multiLevelType w:val="hybridMultilevel"/>
    <w:tmpl w:val="D1AC3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A1648"/>
    <w:multiLevelType w:val="hybridMultilevel"/>
    <w:tmpl w:val="DD76A1D4"/>
    <w:lvl w:ilvl="0" w:tplc="ABAEE5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B73D2"/>
    <w:multiLevelType w:val="hybridMultilevel"/>
    <w:tmpl w:val="CF5A4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029A5"/>
    <w:multiLevelType w:val="hybridMultilevel"/>
    <w:tmpl w:val="A238C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54FA2"/>
    <w:multiLevelType w:val="hybridMultilevel"/>
    <w:tmpl w:val="D39A4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E0AC7"/>
    <w:multiLevelType w:val="hybridMultilevel"/>
    <w:tmpl w:val="17E88EBE"/>
    <w:lvl w:ilvl="0" w:tplc="EBB8A888">
      <w:start w:val="1"/>
      <w:numFmt w:val="lowerRoman"/>
      <w:suff w:val="space"/>
      <w:lvlText w:val="(%1)"/>
      <w:lvlJc w:val="left"/>
      <w:pPr>
        <w:ind w:left="288" w:hanging="7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76B13B3B"/>
    <w:multiLevelType w:val="hybridMultilevel"/>
    <w:tmpl w:val="53E271A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180CB2"/>
    <w:multiLevelType w:val="hybridMultilevel"/>
    <w:tmpl w:val="85408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5E661F"/>
    <w:multiLevelType w:val="hybridMultilevel"/>
    <w:tmpl w:val="B6EAE120"/>
    <w:lvl w:ilvl="0" w:tplc="302C929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8C15C6"/>
    <w:multiLevelType w:val="hybridMultilevel"/>
    <w:tmpl w:val="057269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E22B3"/>
    <w:multiLevelType w:val="hybridMultilevel"/>
    <w:tmpl w:val="CF5A4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16"/>
  </w:num>
  <w:num w:numId="4">
    <w:abstractNumId w:val="38"/>
  </w:num>
  <w:num w:numId="5">
    <w:abstractNumId w:val="23"/>
  </w:num>
  <w:num w:numId="6">
    <w:abstractNumId w:val="21"/>
  </w:num>
  <w:num w:numId="7">
    <w:abstractNumId w:val="13"/>
  </w:num>
  <w:num w:numId="8">
    <w:abstractNumId w:val="6"/>
  </w:num>
  <w:num w:numId="9">
    <w:abstractNumId w:val="35"/>
  </w:num>
  <w:num w:numId="10">
    <w:abstractNumId w:val="41"/>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17"/>
  </w:num>
  <w:num w:numId="14">
    <w:abstractNumId w:val="7"/>
  </w:num>
  <w:num w:numId="15">
    <w:abstractNumId w:val="40"/>
  </w:num>
  <w:num w:numId="16">
    <w:abstractNumId w:val="36"/>
  </w:num>
  <w:num w:numId="17">
    <w:abstractNumId w:val="5"/>
  </w:num>
  <w:num w:numId="18">
    <w:abstractNumId w:val="1"/>
  </w:num>
  <w:num w:numId="19">
    <w:abstractNumId w:val="14"/>
  </w:num>
  <w:num w:numId="20">
    <w:abstractNumId w:val="0"/>
  </w:num>
  <w:num w:numId="21">
    <w:abstractNumId w:val="31"/>
  </w:num>
  <w:num w:numId="22">
    <w:abstractNumId w:val="39"/>
  </w:num>
  <w:num w:numId="23">
    <w:abstractNumId w:val="8"/>
  </w:num>
  <w:num w:numId="24">
    <w:abstractNumId w:val="15"/>
  </w:num>
  <w:num w:numId="25">
    <w:abstractNumId w:val="11"/>
  </w:num>
  <w:num w:numId="26">
    <w:abstractNumId w:val="19"/>
  </w:num>
  <w:num w:numId="27">
    <w:abstractNumId w:val="4"/>
  </w:num>
  <w:num w:numId="28">
    <w:abstractNumId w:val="20"/>
  </w:num>
  <w:num w:numId="29">
    <w:abstractNumId w:val="34"/>
  </w:num>
  <w:num w:numId="30">
    <w:abstractNumId w:val="27"/>
  </w:num>
  <w:num w:numId="31">
    <w:abstractNumId w:val="26"/>
  </w:num>
  <w:num w:numId="32">
    <w:abstractNumId w:val="3"/>
  </w:num>
  <w:num w:numId="33">
    <w:abstractNumId w:val="9"/>
  </w:num>
  <w:num w:numId="34">
    <w:abstractNumId w:val="25"/>
  </w:num>
  <w:num w:numId="35">
    <w:abstractNumId w:val="12"/>
  </w:num>
  <w:num w:numId="36">
    <w:abstractNumId w:val="29"/>
  </w:num>
  <w:num w:numId="37">
    <w:abstractNumId w:val="32"/>
  </w:num>
  <w:num w:numId="38">
    <w:abstractNumId w:val="24"/>
  </w:num>
  <w:num w:numId="39">
    <w:abstractNumId w:val="18"/>
  </w:num>
  <w:num w:numId="40">
    <w:abstractNumId w:val="22"/>
  </w:num>
  <w:num w:numId="41">
    <w:abstractNumId w:val="2"/>
  </w:num>
  <w:num w:numId="42">
    <w:abstractNumId w:val="28"/>
  </w:num>
  <w:num w:numId="43">
    <w:abstractNumId w:val="37"/>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E9"/>
    <w:rsid w:val="000159FB"/>
    <w:rsid w:val="0002508A"/>
    <w:rsid w:val="0003579C"/>
    <w:rsid w:val="00093A04"/>
    <w:rsid w:val="000E0EAC"/>
    <w:rsid w:val="000E6053"/>
    <w:rsid w:val="000F3308"/>
    <w:rsid w:val="001452FA"/>
    <w:rsid w:val="00146252"/>
    <w:rsid w:val="00182E6D"/>
    <w:rsid w:val="001B32FA"/>
    <w:rsid w:val="001E4E5F"/>
    <w:rsid w:val="001F2955"/>
    <w:rsid w:val="00297236"/>
    <w:rsid w:val="002F07B6"/>
    <w:rsid w:val="00301D0E"/>
    <w:rsid w:val="00346CB5"/>
    <w:rsid w:val="00347A61"/>
    <w:rsid w:val="00397069"/>
    <w:rsid w:val="003970E9"/>
    <w:rsid w:val="003C303B"/>
    <w:rsid w:val="003D035F"/>
    <w:rsid w:val="003E1BF3"/>
    <w:rsid w:val="00410AEB"/>
    <w:rsid w:val="00434B98"/>
    <w:rsid w:val="00472AC0"/>
    <w:rsid w:val="004C25B9"/>
    <w:rsid w:val="00507D37"/>
    <w:rsid w:val="00525936"/>
    <w:rsid w:val="0058643B"/>
    <w:rsid w:val="005C5274"/>
    <w:rsid w:val="00664379"/>
    <w:rsid w:val="00707453"/>
    <w:rsid w:val="007274C5"/>
    <w:rsid w:val="00780C93"/>
    <w:rsid w:val="00783BA5"/>
    <w:rsid w:val="007C6DAC"/>
    <w:rsid w:val="00810B33"/>
    <w:rsid w:val="008632CA"/>
    <w:rsid w:val="008835DB"/>
    <w:rsid w:val="008D16EB"/>
    <w:rsid w:val="00926165"/>
    <w:rsid w:val="00932A7E"/>
    <w:rsid w:val="009905B9"/>
    <w:rsid w:val="009D3616"/>
    <w:rsid w:val="009D5E6A"/>
    <w:rsid w:val="009D69C3"/>
    <w:rsid w:val="009D79A1"/>
    <w:rsid w:val="00A02CA0"/>
    <w:rsid w:val="00A10BA8"/>
    <w:rsid w:val="00AA1BBD"/>
    <w:rsid w:val="00AB6472"/>
    <w:rsid w:val="00B872A1"/>
    <w:rsid w:val="00B95B8A"/>
    <w:rsid w:val="00BB3AD9"/>
    <w:rsid w:val="00BF5C89"/>
    <w:rsid w:val="00C43C9E"/>
    <w:rsid w:val="00C44D9B"/>
    <w:rsid w:val="00C51A56"/>
    <w:rsid w:val="00D75991"/>
    <w:rsid w:val="00DE28B4"/>
    <w:rsid w:val="00E7639B"/>
    <w:rsid w:val="00EB7ED0"/>
    <w:rsid w:val="00F12090"/>
    <w:rsid w:val="00F3568E"/>
    <w:rsid w:val="00F5480F"/>
    <w:rsid w:val="00F661AE"/>
    <w:rsid w:val="00F71B0D"/>
    <w:rsid w:val="00F72F23"/>
    <w:rsid w:val="00FD7ED3"/>
    <w:rsid w:val="00FE4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0B95F"/>
  <w15:docId w15:val="{14163532-E545-4597-AC80-DC4ED6DD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379"/>
    <w:rPr>
      <w:lang w:eastAsia="en-US"/>
    </w:rPr>
  </w:style>
  <w:style w:type="paragraph" w:styleId="Heading1">
    <w:name w:val="heading 1"/>
    <w:basedOn w:val="Normal"/>
    <w:next w:val="BodyText"/>
    <w:qFormat/>
    <w:rsid w:val="00664379"/>
    <w:pPr>
      <w:keepNext/>
      <w:spacing w:before="120" w:after="120"/>
      <w:ind w:left="720" w:hanging="720"/>
      <w:outlineLvl w:val="0"/>
    </w:pPr>
    <w:rPr>
      <w:b/>
      <w:caps/>
      <w:kern w:val="28"/>
      <w:sz w:val="32"/>
    </w:rPr>
  </w:style>
  <w:style w:type="paragraph" w:styleId="Heading2">
    <w:name w:val="heading 2"/>
    <w:basedOn w:val="Normal"/>
    <w:next w:val="BodyText"/>
    <w:qFormat/>
    <w:rsid w:val="00664379"/>
    <w:pPr>
      <w:keepNext/>
      <w:outlineLvl w:val="1"/>
    </w:pPr>
    <w:rPr>
      <w:b/>
      <w:caps/>
      <w:sz w:val="32"/>
    </w:rPr>
  </w:style>
  <w:style w:type="paragraph" w:styleId="Heading3">
    <w:name w:val="heading 3"/>
    <w:basedOn w:val="Normal"/>
    <w:next w:val="BodyText"/>
    <w:qFormat/>
    <w:rsid w:val="00664379"/>
    <w:pPr>
      <w:keepNext/>
      <w:spacing w:before="120" w:after="120"/>
      <w:ind w:left="720" w:hanging="720"/>
      <w:outlineLvl w:val="2"/>
    </w:pPr>
    <w:rPr>
      <w:b/>
      <w:caps/>
      <w:sz w:val="28"/>
    </w:rPr>
  </w:style>
  <w:style w:type="paragraph" w:styleId="Heading4">
    <w:name w:val="heading 4"/>
    <w:basedOn w:val="Normal"/>
    <w:next w:val="Normal"/>
    <w:qFormat/>
    <w:rsid w:val="00664379"/>
    <w:pPr>
      <w:keepNext/>
      <w:keepLines/>
      <w:spacing w:before="120"/>
      <w:outlineLvl w:val="3"/>
    </w:pPr>
    <w:rPr>
      <w:b/>
      <w:sz w:val="24"/>
    </w:rPr>
  </w:style>
  <w:style w:type="paragraph" w:styleId="Heading5">
    <w:name w:val="heading 5"/>
    <w:basedOn w:val="Heading4"/>
    <w:next w:val="Normal"/>
    <w:qFormat/>
    <w:rsid w:val="00664379"/>
    <w:pPr>
      <w:spacing w:before="0"/>
      <w:outlineLvl w:val="4"/>
    </w:pPr>
    <w:rPr>
      <w:b w:val="0"/>
      <w:i/>
    </w:rPr>
  </w:style>
  <w:style w:type="paragraph" w:styleId="Heading6">
    <w:name w:val="heading 6"/>
    <w:basedOn w:val="Normal"/>
    <w:next w:val="Normal"/>
    <w:qFormat/>
    <w:rsid w:val="00664379"/>
    <w:pPr>
      <w:keepNext/>
      <w:outlineLvl w:val="5"/>
    </w:pPr>
    <w:rPr>
      <w:b/>
      <w:bCs/>
      <w:sz w:val="28"/>
    </w:rPr>
  </w:style>
  <w:style w:type="paragraph" w:styleId="Heading7">
    <w:name w:val="heading 7"/>
    <w:basedOn w:val="Normal"/>
    <w:next w:val="Normal"/>
    <w:qFormat/>
    <w:rsid w:val="00664379"/>
    <w:pPr>
      <w:keepNext/>
      <w:tabs>
        <w:tab w:val="left" w:pos="2340"/>
        <w:tab w:val="left" w:pos="6375"/>
      </w:tabs>
      <w:spacing w:before="100" w:beforeAutospacing="1" w:after="100" w:afterAutospacing="1"/>
      <w:outlineLvl w:val="6"/>
    </w:pPr>
    <w:rPr>
      <w:color w:val="55555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379"/>
    <w:pPr>
      <w:spacing w:after="120"/>
    </w:pPr>
    <w:rPr>
      <w:sz w:val="24"/>
    </w:rPr>
  </w:style>
  <w:style w:type="paragraph" w:styleId="TOC2">
    <w:name w:val="toc 2"/>
    <w:basedOn w:val="Normal"/>
    <w:next w:val="Normal"/>
    <w:autoRedefine/>
    <w:semiHidden/>
    <w:rsid w:val="00664379"/>
    <w:pPr>
      <w:tabs>
        <w:tab w:val="right" w:leader="dot" w:pos="8323"/>
      </w:tabs>
      <w:spacing w:after="60"/>
      <w:ind w:left="680" w:hanging="680"/>
    </w:pPr>
  </w:style>
  <w:style w:type="paragraph" w:customStyle="1" w:styleId="Author">
    <w:name w:val="Author"/>
    <w:basedOn w:val="Normal"/>
    <w:next w:val="Normal"/>
    <w:rsid w:val="00664379"/>
    <w:rPr>
      <w:b/>
      <w:sz w:val="24"/>
    </w:rPr>
  </w:style>
  <w:style w:type="paragraph" w:customStyle="1" w:styleId="Address">
    <w:name w:val="Address"/>
    <w:basedOn w:val="Normal"/>
    <w:next w:val="Normal"/>
    <w:rsid w:val="00664379"/>
    <w:pPr>
      <w:ind w:left="720" w:hanging="720"/>
    </w:pPr>
    <w:rPr>
      <w:i/>
    </w:rPr>
  </w:style>
  <w:style w:type="paragraph" w:customStyle="1" w:styleId="Abstract">
    <w:name w:val="Abstract"/>
    <w:basedOn w:val="Normal"/>
    <w:next w:val="Normal"/>
    <w:rsid w:val="00664379"/>
    <w:pPr>
      <w:spacing w:before="480" w:after="480"/>
      <w:ind w:left="709" w:right="709"/>
    </w:pPr>
  </w:style>
  <w:style w:type="paragraph" w:customStyle="1" w:styleId="Keywords">
    <w:name w:val="Keywords"/>
    <w:basedOn w:val="Normal"/>
    <w:next w:val="Heading1"/>
    <w:rsid w:val="00664379"/>
    <w:pPr>
      <w:keepLines/>
      <w:spacing w:after="1080"/>
      <w:ind w:left="709" w:right="709"/>
    </w:pPr>
  </w:style>
  <w:style w:type="paragraph" w:customStyle="1" w:styleId="References">
    <w:name w:val="References"/>
    <w:basedOn w:val="Normal"/>
    <w:rsid w:val="00664379"/>
    <w:pPr>
      <w:keepLines/>
      <w:spacing w:after="120"/>
      <w:ind w:left="720" w:hanging="720"/>
    </w:pPr>
    <w:rPr>
      <w:sz w:val="22"/>
    </w:rPr>
  </w:style>
  <w:style w:type="paragraph" w:customStyle="1" w:styleId="BlockQuote">
    <w:name w:val="Block Quote"/>
    <w:basedOn w:val="BodyText"/>
    <w:next w:val="BodyText"/>
    <w:rsid w:val="00664379"/>
    <w:pPr>
      <w:ind w:left="510" w:right="510"/>
    </w:pPr>
    <w:rPr>
      <w:i/>
    </w:rPr>
  </w:style>
  <w:style w:type="paragraph" w:styleId="IndexHeading">
    <w:name w:val="index heading"/>
    <w:basedOn w:val="Normal"/>
    <w:next w:val="Index1"/>
    <w:semiHidden/>
    <w:rsid w:val="00664379"/>
  </w:style>
  <w:style w:type="paragraph" w:styleId="Index1">
    <w:name w:val="index 1"/>
    <w:basedOn w:val="Normal"/>
    <w:next w:val="Normal"/>
    <w:autoRedefine/>
    <w:semiHidden/>
    <w:rsid w:val="00664379"/>
    <w:pPr>
      <w:ind w:left="200" w:hanging="200"/>
    </w:pPr>
  </w:style>
  <w:style w:type="paragraph" w:styleId="Header">
    <w:name w:val="header"/>
    <w:aliases w:val="Header Even"/>
    <w:basedOn w:val="Normal"/>
    <w:link w:val="HeaderChar1"/>
    <w:uiPriority w:val="99"/>
    <w:rsid w:val="00664379"/>
    <w:pPr>
      <w:tabs>
        <w:tab w:val="center" w:pos="4153"/>
        <w:tab w:val="right" w:pos="8306"/>
      </w:tabs>
    </w:pPr>
    <w:rPr>
      <w:i/>
    </w:rPr>
  </w:style>
  <w:style w:type="character" w:customStyle="1" w:styleId="HeaderChar1">
    <w:name w:val="Header Char1"/>
    <w:basedOn w:val="DefaultParagraphFont"/>
    <w:link w:val="Header"/>
    <w:uiPriority w:val="99"/>
    <w:rsid w:val="00F661AE"/>
    <w:rPr>
      <w:i/>
      <w:lang w:eastAsia="en-US"/>
    </w:rPr>
  </w:style>
  <w:style w:type="paragraph" w:styleId="Footer">
    <w:name w:val="footer"/>
    <w:basedOn w:val="Normal"/>
    <w:link w:val="FooterChar1"/>
    <w:uiPriority w:val="99"/>
    <w:rsid w:val="00664379"/>
    <w:pPr>
      <w:tabs>
        <w:tab w:val="center" w:pos="4153"/>
        <w:tab w:val="right" w:pos="8306"/>
      </w:tabs>
    </w:pPr>
  </w:style>
  <w:style w:type="character" w:customStyle="1" w:styleId="FooterChar1">
    <w:name w:val="Footer Char1"/>
    <w:basedOn w:val="DefaultParagraphFont"/>
    <w:link w:val="Footer"/>
    <w:uiPriority w:val="99"/>
    <w:rsid w:val="00F661AE"/>
    <w:rPr>
      <w:lang w:eastAsia="en-US"/>
    </w:rPr>
  </w:style>
  <w:style w:type="paragraph" w:styleId="Index9">
    <w:name w:val="index 9"/>
    <w:basedOn w:val="Normal"/>
    <w:next w:val="Normal"/>
    <w:autoRedefine/>
    <w:semiHidden/>
    <w:rsid w:val="00664379"/>
    <w:pPr>
      <w:ind w:left="1800" w:hanging="200"/>
    </w:pPr>
  </w:style>
  <w:style w:type="character" w:styleId="Hyperlink">
    <w:name w:val="Hyperlink"/>
    <w:basedOn w:val="DefaultParagraphFont"/>
    <w:uiPriority w:val="99"/>
    <w:rsid w:val="00664379"/>
    <w:rPr>
      <w:color w:val="0000FF"/>
      <w:u w:val="single"/>
    </w:rPr>
  </w:style>
  <w:style w:type="paragraph" w:styleId="Index5">
    <w:name w:val="index 5"/>
    <w:basedOn w:val="Normal"/>
    <w:next w:val="Normal"/>
    <w:autoRedefine/>
    <w:semiHidden/>
    <w:rsid w:val="00664379"/>
    <w:pPr>
      <w:ind w:left="1000" w:hanging="200"/>
    </w:pPr>
  </w:style>
  <w:style w:type="paragraph" w:styleId="Index8">
    <w:name w:val="index 8"/>
    <w:basedOn w:val="Normal"/>
    <w:next w:val="Normal"/>
    <w:autoRedefine/>
    <w:semiHidden/>
    <w:rsid w:val="00664379"/>
    <w:pPr>
      <w:ind w:left="1600" w:hanging="200"/>
    </w:pPr>
  </w:style>
  <w:style w:type="character" w:styleId="FootnoteReference">
    <w:name w:val="footnote reference"/>
    <w:basedOn w:val="DefaultParagraphFont"/>
    <w:semiHidden/>
    <w:rsid w:val="00664379"/>
    <w:rPr>
      <w:vertAlign w:val="superscript"/>
    </w:rPr>
  </w:style>
  <w:style w:type="paragraph" w:styleId="Index2">
    <w:name w:val="index 2"/>
    <w:basedOn w:val="Normal"/>
    <w:next w:val="Normal"/>
    <w:autoRedefine/>
    <w:semiHidden/>
    <w:rsid w:val="00664379"/>
    <w:pPr>
      <w:ind w:left="400" w:hanging="200"/>
    </w:pPr>
  </w:style>
  <w:style w:type="paragraph" w:styleId="Index6">
    <w:name w:val="index 6"/>
    <w:basedOn w:val="Normal"/>
    <w:next w:val="Normal"/>
    <w:autoRedefine/>
    <w:semiHidden/>
    <w:rsid w:val="00664379"/>
    <w:pPr>
      <w:ind w:left="1200" w:hanging="200"/>
    </w:pPr>
  </w:style>
  <w:style w:type="paragraph" w:styleId="Index3">
    <w:name w:val="index 3"/>
    <w:basedOn w:val="Normal"/>
    <w:next w:val="Normal"/>
    <w:autoRedefine/>
    <w:semiHidden/>
    <w:rsid w:val="00664379"/>
    <w:pPr>
      <w:ind w:left="600" w:hanging="200"/>
    </w:pPr>
  </w:style>
  <w:style w:type="paragraph" w:styleId="BodyTextIndent">
    <w:name w:val="Body Text Indent"/>
    <w:basedOn w:val="Normal"/>
    <w:rsid w:val="00664379"/>
    <w:pPr>
      <w:ind w:left="720" w:hanging="720"/>
    </w:pPr>
  </w:style>
  <w:style w:type="paragraph" w:styleId="FootnoteText">
    <w:name w:val="footnote text"/>
    <w:basedOn w:val="Normal"/>
    <w:semiHidden/>
    <w:rsid w:val="00664379"/>
  </w:style>
  <w:style w:type="paragraph" w:styleId="TOC6">
    <w:name w:val="toc 6"/>
    <w:basedOn w:val="Normal"/>
    <w:next w:val="Normal"/>
    <w:autoRedefine/>
    <w:semiHidden/>
    <w:rsid w:val="00664379"/>
    <w:pPr>
      <w:ind w:left="1000"/>
    </w:pPr>
    <w:rPr>
      <w:sz w:val="18"/>
    </w:rPr>
  </w:style>
  <w:style w:type="paragraph" w:styleId="TOC9">
    <w:name w:val="toc 9"/>
    <w:basedOn w:val="Normal"/>
    <w:next w:val="Normal"/>
    <w:autoRedefine/>
    <w:semiHidden/>
    <w:rsid w:val="00664379"/>
    <w:pPr>
      <w:ind w:left="1600"/>
    </w:pPr>
    <w:rPr>
      <w:sz w:val="18"/>
    </w:rPr>
  </w:style>
  <w:style w:type="character" w:styleId="PageNumber">
    <w:name w:val="page number"/>
    <w:basedOn w:val="DefaultParagraphFont"/>
    <w:rsid w:val="00664379"/>
  </w:style>
  <w:style w:type="paragraph" w:styleId="TOC3">
    <w:name w:val="toc 3"/>
    <w:basedOn w:val="Normal"/>
    <w:next w:val="Normal"/>
    <w:autoRedefine/>
    <w:semiHidden/>
    <w:rsid w:val="00664379"/>
    <w:pPr>
      <w:ind w:left="400"/>
    </w:pPr>
    <w:rPr>
      <w:i/>
    </w:rPr>
  </w:style>
  <w:style w:type="paragraph" w:styleId="TOC7">
    <w:name w:val="toc 7"/>
    <w:basedOn w:val="Normal"/>
    <w:next w:val="Normal"/>
    <w:autoRedefine/>
    <w:semiHidden/>
    <w:rsid w:val="00664379"/>
    <w:pPr>
      <w:ind w:left="1200"/>
    </w:pPr>
    <w:rPr>
      <w:sz w:val="18"/>
    </w:rPr>
  </w:style>
  <w:style w:type="paragraph" w:styleId="TOC4">
    <w:name w:val="toc 4"/>
    <w:basedOn w:val="Normal"/>
    <w:next w:val="Normal"/>
    <w:autoRedefine/>
    <w:semiHidden/>
    <w:rsid w:val="00664379"/>
    <w:pPr>
      <w:ind w:left="600"/>
    </w:pPr>
    <w:rPr>
      <w:sz w:val="18"/>
    </w:rPr>
  </w:style>
  <w:style w:type="paragraph" w:styleId="Index7">
    <w:name w:val="index 7"/>
    <w:basedOn w:val="Normal"/>
    <w:next w:val="Normal"/>
    <w:autoRedefine/>
    <w:semiHidden/>
    <w:rsid w:val="00664379"/>
    <w:pPr>
      <w:ind w:left="1400" w:hanging="200"/>
    </w:pPr>
  </w:style>
  <w:style w:type="paragraph" w:styleId="TOC1">
    <w:name w:val="toc 1"/>
    <w:basedOn w:val="Normal"/>
    <w:next w:val="Normal"/>
    <w:autoRedefine/>
    <w:semiHidden/>
    <w:rsid w:val="00664379"/>
    <w:pPr>
      <w:keepNext/>
      <w:spacing w:before="120" w:after="120"/>
    </w:pPr>
    <w:rPr>
      <w:b/>
      <w:caps/>
      <w:noProof/>
      <w:sz w:val="24"/>
    </w:rPr>
  </w:style>
  <w:style w:type="paragraph" w:styleId="Index4">
    <w:name w:val="index 4"/>
    <w:basedOn w:val="Normal"/>
    <w:next w:val="Normal"/>
    <w:autoRedefine/>
    <w:semiHidden/>
    <w:rsid w:val="00664379"/>
    <w:pPr>
      <w:ind w:left="800" w:hanging="200"/>
    </w:pPr>
  </w:style>
  <w:style w:type="paragraph" w:styleId="TOC8">
    <w:name w:val="toc 8"/>
    <w:basedOn w:val="Normal"/>
    <w:next w:val="Normal"/>
    <w:autoRedefine/>
    <w:semiHidden/>
    <w:rsid w:val="00664379"/>
    <w:pPr>
      <w:ind w:left="1400"/>
    </w:pPr>
    <w:rPr>
      <w:sz w:val="18"/>
    </w:rPr>
  </w:style>
  <w:style w:type="paragraph" w:styleId="TOC5">
    <w:name w:val="toc 5"/>
    <w:basedOn w:val="Normal"/>
    <w:next w:val="Normal"/>
    <w:autoRedefine/>
    <w:semiHidden/>
    <w:rsid w:val="00664379"/>
    <w:pPr>
      <w:ind w:left="800"/>
    </w:pPr>
    <w:rPr>
      <w:sz w:val="18"/>
    </w:rPr>
  </w:style>
  <w:style w:type="paragraph" w:styleId="Title">
    <w:name w:val="Title"/>
    <w:basedOn w:val="Normal"/>
    <w:next w:val="Normal"/>
    <w:qFormat/>
    <w:rsid w:val="00664379"/>
    <w:pPr>
      <w:pageBreakBefore/>
      <w:spacing w:after="240"/>
    </w:pPr>
    <w:rPr>
      <w:b/>
      <w:caps/>
      <w:kern w:val="28"/>
      <w:sz w:val="32"/>
    </w:rPr>
  </w:style>
  <w:style w:type="paragraph" w:customStyle="1" w:styleId="FooterFirst">
    <w:name w:val="Footer First"/>
    <w:basedOn w:val="Footer"/>
    <w:next w:val="Normal"/>
    <w:rsid w:val="00664379"/>
    <w:pPr>
      <w:jc w:val="right"/>
    </w:pPr>
    <w:rPr>
      <w:i/>
      <w:sz w:val="22"/>
    </w:rPr>
  </w:style>
  <w:style w:type="paragraph" w:customStyle="1" w:styleId="FooterRight">
    <w:name w:val="Footer Right"/>
    <w:basedOn w:val="Footer"/>
    <w:rsid w:val="00664379"/>
    <w:pPr>
      <w:jc w:val="right"/>
    </w:pPr>
    <w:rPr>
      <w:sz w:val="22"/>
    </w:rPr>
  </w:style>
  <w:style w:type="paragraph" w:customStyle="1" w:styleId="FooterLeft">
    <w:name w:val="Footer Left"/>
    <w:basedOn w:val="Footer"/>
    <w:rsid w:val="00664379"/>
    <w:pPr>
      <w:jc w:val="right"/>
    </w:pPr>
    <w:rPr>
      <w:sz w:val="22"/>
    </w:rPr>
  </w:style>
  <w:style w:type="paragraph" w:styleId="NormalWeb">
    <w:name w:val="Normal (Web)"/>
    <w:basedOn w:val="Normal"/>
    <w:rsid w:val="00664379"/>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basedOn w:val="DefaultParagraphFont"/>
    <w:uiPriority w:val="99"/>
    <w:rsid w:val="00664379"/>
    <w:rPr>
      <w:color w:val="800080"/>
      <w:u w:val="single"/>
    </w:rPr>
  </w:style>
  <w:style w:type="character" w:styleId="EndnoteReference">
    <w:name w:val="endnote reference"/>
    <w:basedOn w:val="DefaultParagraphFont"/>
    <w:semiHidden/>
    <w:rsid w:val="00664379"/>
    <w:rPr>
      <w:vertAlign w:val="superscript"/>
    </w:rPr>
  </w:style>
  <w:style w:type="character" w:styleId="Emphasis">
    <w:name w:val="Emphasis"/>
    <w:basedOn w:val="DefaultParagraphFont"/>
    <w:qFormat/>
    <w:rsid w:val="00664379"/>
    <w:rPr>
      <w:i/>
      <w:iCs/>
    </w:rPr>
  </w:style>
  <w:style w:type="character" w:styleId="HTMLCite">
    <w:name w:val="HTML Cite"/>
    <w:basedOn w:val="DefaultParagraphFont"/>
    <w:rsid w:val="00664379"/>
    <w:rPr>
      <w:i/>
      <w:iCs/>
    </w:rPr>
  </w:style>
  <w:style w:type="paragraph" w:styleId="BodyTextIndent2">
    <w:name w:val="Body Text Indent 2"/>
    <w:basedOn w:val="Normal"/>
    <w:rsid w:val="00664379"/>
    <w:pPr>
      <w:tabs>
        <w:tab w:val="left" w:pos="360"/>
      </w:tabs>
      <w:ind w:left="360" w:hanging="360"/>
    </w:pPr>
    <w:rPr>
      <w:sz w:val="24"/>
    </w:rPr>
  </w:style>
  <w:style w:type="paragraph" w:styleId="EndnoteText">
    <w:name w:val="endnote text"/>
    <w:basedOn w:val="Normal"/>
    <w:semiHidden/>
    <w:rsid w:val="00664379"/>
  </w:style>
  <w:style w:type="paragraph" w:styleId="BalloonText">
    <w:name w:val="Balloon Text"/>
    <w:basedOn w:val="Normal"/>
    <w:link w:val="BalloonTextChar"/>
    <w:uiPriority w:val="99"/>
    <w:rsid w:val="00780C93"/>
    <w:rPr>
      <w:rFonts w:ascii="Tahoma" w:hAnsi="Tahoma" w:cs="Tahoma"/>
      <w:sz w:val="16"/>
      <w:szCs w:val="16"/>
    </w:rPr>
  </w:style>
  <w:style w:type="character" w:customStyle="1" w:styleId="BalloonTextChar">
    <w:name w:val="Balloon Text Char"/>
    <w:basedOn w:val="DefaultParagraphFont"/>
    <w:link w:val="BalloonText"/>
    <w:uiPriority w:val="99"/>
    <w:rsid w:val="00780C93"/>
    <w:rPr>
      <w:rFonts w:ascii="Tahoma" w:hAnsi="Tahoma" w:cs="Tahoma"/>
      <w:sz w:val="16"/>
      <w:szCs w:val="16"/>
      <w:lang w:eastAsia="en-US"/>
    </w:rPr>
  </w:style>
  <w:style w:type="paragraph" w:customStyle="1" w:styleId="Header1">
    <w:name w:val="Header1"/>
    <w:basedOn w:val="Normal"/>
    <w:next w:val="Header"/>
    <w:link w:val="HeaderChar"/>
    <w:uiPriority w:val="99"/>
    <w:unhideWhenUsed/>
    <w:rsid w:val="00F661A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1"/>
    <w:uiPriority w:val="99"/>
    <w:rsid w:val="00F661AE"/>
    <w:rPr>
      <w:rFonts w:asciiTheme="minorHAnsi" w:eastAsiaTheme="minorHAnsi" w:hAnsiTheme="minorHAnsi" w:cstheme="minorBidi"/>
      <w:sz w:val="22"/>
      <w:szCs w:val="22"/>
      <w:lang w:eastAsia="en-US"/>
    </w:rPr>
  </w:style>
  <w:style w:type="paragraph" w:customStyle="1" w:styleId="Footer1">
    <w:name w:val="Footer1"/>
    <w:basedOn w:val="Normal"/>
    <w:next w:val="Footer"/>
    <w:link w:val="FooterChar"/>
    <w:uiPriority w:val="99"/>
    <w:unhideWhenUsed/>
    <w:rsid w:val="00F661AE"/>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1"/>
    <w:uiPriority w:val="99"/>
    <w:rsid w:val="00F661AE"/>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F661AE"/>
    <w:rPr>
      <w:rFonts w:asciiTheme="minorHAnsi" w:eastAsiaTheme="minorHAnsi" w:hAnsiTheme="minorHAnsi" w:cstheme="minorBidi"/>
      <w:lang w:eastAsia="en-US"/>
    </w:rPr>
  </w:style>
  <w:style w:type="paragraph" w:styleId="CommentText">
    <w:name w:val="annotation text"/>
    <w:basedOn w:val="Normal"/>
    <w:link w:val="CommentTextChar"/>
    <w:uiPriority w:val="99"/>
    <w:semiHidden/>
    <w:unhideWhenUsed/>
    <w:rsid w:val="00F661AE"/>
    <w:pPr>
      <w:spacing w:after="160"/>
    </w:pPr>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sid w:val="00F661AE"/>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iPriority w:val="99"/>
    <w:semiHidden/>
    <w:unhideWhenUsed/>
    <w:rsid w:val="00F661AE"/>
    <w:rPr>
      <w:b/>
      <w:bCs/>
    </w:rPr>
  </w:style>
  <w:style w:type="paragraph" w:styleId="ListParagraph">
    <w:name w:val="List Paragraph"/>
    <w:basedOn w:val="Normal"/>
    <w:uiPriority w:val="34"/>
    <w:qFormat/>
    <w:rsid w:val="00F661AE"/>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conspect.nl/pdf/Our_Common_Futu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pml.url.tw/EPPM/conferences/2012/downioa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shuwil\Application%20Data\Microsoft\Templates\ARCOM%2099%20Blank%20Paper.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UHAMMAD%20FADIO\Documents\6.%20Sch%20Projects\MTech%20Wks\2019\2019_PMT%20MTech\UBelgore%20PMT%20MTech2019\Data%20Anal\UBelgore%20MainData4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UHAMMAD%20FADIO\Documents\6.%20Sch%20Projects\MTech%20Wks\2019\2019_PMT%20MTech\UBelgore%20PMT%20MTech2019\Data%20Anal\UBelgore%20MainData4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71602586656667"/>
          <c:y val="0.10368018329956311"/>
          <c:w val="0.74597176478932781"/>
          <c:h val="0.61051730452298059"/>
        </c:manualLayout>
      </c:layout>
      <c:lineChart>
        <c:grouping val="standard"/>
        <c:varyColors val="0"/>
        <c:ser>
          <c:idx val="0"/>
          <c:order val="0"/>
          <c:tx>
            <c:strRef>
              <c:f>Rates_cost!$C$1</c:f>
              <c:strCache>
                <c:ptCount val="1"/>
                <c:pt idx="0">
                  <c:v>Gross floor area (GFA)</c:v>
                </c:pt>
              </c:strCache>
            </c:strRef>
          </c:tx>
          <c:cat>
            <c:strRef>
              <c:f>Rates_cost!$B$2:$B$20</c:f>
              <c:strCache>
                <c:ptCount val="19"/>
                <c:pt idx="0">
                  <c:v>A_2-BR SD</c:v>
                </c:pt>
                <c:pt idx="1">
                  <c:v>W_2-BR BLK</c:v>
                </c:pt>
                <c:pt idx="2">
                  <c:v>W_3-BR BLK</c:v>
                </c:pt>
                <c:pt idx="3">
                  <c:v>A_3-BR BUNG</c:v>
                </c:pt>
                <c:pt idx="4">
                  <c:v>E_3-BR DET</c:v>
                </c:pt>
                <c:pt idx="5">
                  <c:v>T_3-BR DET</c:v>
                </c:pt>
                <c:pt idx="6">
                  <c:v>W_2-BR SD</c:v>
                </c:pt>
                <c:pt idx="7">
                  <c:v>W_4-BR DUPL</c:v>
                </c:pt>
                <c:pt idx="8">
                  <c:v>U_4-BR DUPL</c:v>
                </c:pt>
                <c:pt idx="9">
                  <c:v>A_4-BR TERR</c:v>
                </c:pt>
                <c:pt idx="10">
                  <c:v>E_2-BR SD</c:v>
                </c:pt>
                <c:pt idx="11">
                  <c:v>W_3-BR SD</c:v>
                </c:pt>
                <c:pt idx="12">
                  <c:v>W_5-BR DUPL</c:v>
                </c:pt>
                <c:pt idx="13">
                  <c:v>E_3-BR SEMI DET</c:v>
                </c:pt>
                <c:pt idx="14">
                  <c:v>A_4-BR DUPL</c:v>
                </c:pt>
                <c:pt idx="15">
                  <c:v>D_3-BR SD</c:v>
                </c:pt>
                <c:pt idx="16">
                  <c:v>D_5-BR DUPL</c:v>
                </c:pt>
                <c:pt idx="17">
                  <c:v>D_2-BR BLK</c:v>
                </c:pt>
                <c:pt idx="18">
                  <c:v>A_5-BR TERR</c:v>
                </c:pt>
              </c:strCache>
            </c:strRef>
          </c:cat>
          <c:val>
            <c:numRef>
              <c:f>Rates_cost!$C$2:$C$20</c:f>
              <c:numCache>
                <c:formatCode>General</c:formatCode>
                <c:ptCount val="19"/>
                <c:pt idx="0">
                  <c:v>62</c:v>
                </c:pt>
                <c:pt idx="1">
                  <c:v>97.59</c:v>
                </c:pt>
                <c:pt idx="2">
                  <c:v>130</c:v>
                </c:pt>
                <c:pt idx="3">
                  <c:v>150</c:v>
                </c:pt>
                <c:pt idx="4">
                  <c:v>150</c:v>
                </c:pt>
                <c:pt idx="5">
                  <c:v>180</c:v>
                </c:pt>
                <c:pt idx="6">
                  <c:v>194</c:v>
                </c:pt>
                <c:pt idx="7">
                  <c:v>196.4</c:v>
                </c:pt>
                <c:pt idx="8">
                  <c:v>203</c:v>
                </c:pt>
                <c:pt idx="9">
                  <c:v>220</c:v>
                </c:pt>
                <c:pt idx="10">
                  <c:v>230</c:v>
                </c:pt>
                <c:pt idx="11">
                  <c:v>234</c:v>
                </c:pt>
                <c:pt idx="12">
                  <c:v>294.60000000000002</c:v>
                </c:pt>
                <c:pt idx="13">
                  <c:v>310</c:v>
                </c:pt>
                <c:pt idx="14">
                  <c:v>340</c:v>
                </c:pt>
                <c:pt idx="15">
                  <c:v>342</c:v>
                </c:pt>
                <c:pt idx="16">
                  <c:v>420</c:v>
                </c:pt>
                <c:pt idx="17">
                  <c:v>720</c:v>
                </c:pt>
                <c:pt idx="18">
                  <c:v>2459</c:v>
                </c:pt>
              </c:numCache>
            </c:numRef>
          </c:val>
          <c:smooth val="0"/>
          <c:extLst>
            <c:ext xmlns:c16="http://schemas.microsoft.com/office/drawing/2014/chart" uri="{C3380CC4-5D6E-409C-BE32-E72D297353CC}">
              <c16:uniqueId val="{00000000-7F45-4E11-903B-EBF753E876D8}"/>
            </c:ext>
          </c:extLst>
        </c:ser>
        <c:dLbls>
          <c:showLegendKey val="0"/>
          <c:showVal val="0"/>
          <c:showCatName val="0"/>
          <c:showSerName val="0"/>
          <c:showPercent val="0"/>
          <c:showBubbleSize val="0"/>
        </c:dLbls>
        <c:marker val="1"/>
        <c:smooth val="0"/>
        <c:axId val="105866368"/>
        <c:axId val="108699648"/>
      </c:lineChart>
      <c:lineChart>
        <c:grouping val="standard"/>
        <c:varyColors val="0"/>
        <c:ser>
          <c:idx val="1"/>
          <c:order val="1"/>
          <c:tx>
            <c:strRef>
              <c:f>Rates_cost!$F$1</c:f>
              <c:strCache>
                <c:ptCount val="1"/>
                <c:pt idx="0">
                  <c:v>Cost difference</c:v>
                </c:pt>
              </c:strCache>
            </c:strRef>
          </c:tx>
          <c:trendline>
            <c:trendlineType val="linear"/>
            <c:dispRSqr val="1"/>
            <c:dispEq val="0"/>
            <c:trendlineLbl>
              <c:numFmt formatCode="General" sourceLinked="0"/>
            </c:trendlineLbl>
          </c:trendline>
          <c:val>
            <c:numRef>
              <c:f>Rates_cost!$F$2:$F$20</c:f>
              <c:numCache>
                <c:formatCode>0.00</c:formatCode>
                <c:ptCount val="19"/>
                <c:pt idx="0">
                  <c:v>0</c:v>
                </c:pt>
                <c:pt idx="1">
                  <c:v>11.76470588235294</c:v>
                </c:pt>
                <c:pt idx="2">
                  <c:v>15</c:v>
                </c:pt>
                <c:pt idx="3">
                  <c:v>0</c:v>
                </c:pt>
                <c:pt idx="4">
                  <c:v>1.4492753623188406</c:v>
                </c:pt>
                <c:pt idx="5">
                  <c:v>0</c:v>
                </c:pt>
                <c:pt idx="6">
                  <c:v>22.222222222222079</c:v>
                </c:pt>
                <c:pt idx="7">
                  <c:v>15.384615384615385</c:v>
                </c:pt>
                <c:pt idx="8">
                  <c:v>4.9995323564279746</c:v>
                </c:pt>
                <c:pt idx="9">
                  <c:v>0</c:v>
                </c:pt>
                <c:pt idx="10">
                  <c:v>2.0833333333333401</c:v>
                </c:pt>
                <c:pt idx="11">
                  <c:v>18.181818181818294</c:v>
                </c:pt>
                <c:pt idx="12">
                  <c:v>7.6923076923076925</c:v>
                </c:pt>
                <c:pt idx="13">
                  <c:v>2</c:v>
                </c:pt>
                <c:pt idx="14">
                  <c:v>0</c:v>
                </c:pt>
                <c:pt idx="15">
                  <c:v>-12.144319659878191</c:v>
                </c:pt>
                <c:pt idx="16">
                  <c:v>-6.3911993469029085</c:v>
                </c:pt>
                <c:pt idx="17">
                  <c:v>-4.5667868592239813</c:v>
                </c:pt>
                <c:pt idx="18">
                  <c:v>29.749826605827185</c:v>
                </c:pt>
              </c:numCache>
            </c:numRef>
          </c:val>
          <c:smooth val="0"/>
          <c:extLst>
            <c:ext xmlns:c16="http://schemas.microsoft.com/office/drawing/2014/chart" uri="{C3380CC4-5D6E-409C-BE32-E72D297353CC}">
              <c16:uniqueId val="{00000002-7F45-4E11-903B-EBF753E876D8}"/>
            </c:ext>
          </c:extLst>
        </c:ser>
        <c:dLbls>
          <c:showLegendKey val="0"/>
          <c:showVal val="0"/>
          <c:showCatName val="0"/>
          <c:showSerName val="0"/>
          <c:showPercent val="0"/>
          <c:showBubbleSize val="0"/>
        </c:dLbls>
        <c:marker val="1"/>
        <c:smooth val="0"/>
        <c:axId val="129006208"/>
        <c:axId val="108779008"/>
      </c:lineChart>
      <c:catAx>
        <c:axId val="105866368"/>
        <c:scaling>
          <c:orientation val="minMax"/>
        </c:scaling>
        <c:delete val="0"/>
        <c:axPos val="b"/>
        <c:title>
          <c:tx>
            <c:rich>
              <a:bodyPr/>
              <a:lstStyle/>
              <a:p>
                <a:pPr>
                  <a:defRPr/>
                </a:pPr>
                <a:r>
                  <a:rPr lang="en-US"/>
                  <a:t>Building types</a:t>
                </a:r>
              </a:p>
            </c:rich>
          </c:tx>
          <c:layout>
            <c:manualLayout>
              <c:xMode val="edge"/>
              <c:yMode val="edge"/>
              <c:x val="0.40384620050975423"/>
              <c:y val="0.92275163279009076"/>
            </c:manualLayout>
          </c:layout>
          <c:overlay val="0"/>
        </c:title>
        <c:numFmt formatCode="General" sourceLinked="0"/>
        <c:majorTickMark val="out"/>
        <c:minorTickMark val="none"/>
        <c:tickLblPos val="nextTo"/>
        <c:txPr>
          <a:bodyPr/>
          <a:lstStyle/>
          <a:p>
            <a:pPr>
              <a:defRPr sz="800"/>
            </a:pPr>
            <a:endParaRPr lang="en-US"/>
          </a:p>
        </c:txPr>
        <c:crossAx val="108699648"/>
        <c:crosses val="autoZero"/>
        <c:auto val="1"/>
        <c:lblAlgn val="ctr"/>
        <c:lblOffset val="100"/>
        <c:noMultiLvlLbl val="0"/>
      </c:catAx>
      <c:valAx>
        <c:axId val="108699648"/>
        <c:scaling>
          <c:orientation val="minMax"/>
        </c:scaling>
        <c:delete val="0"/>
        <c:axPos val="l"/>
        <c:majorGridlines/>
        <c:title>
          <c:tx>
            <c:rich>
              <a:bodyPr rot="-5400000" vert="horz"/>
              <a:lstStyle/>
              <a:p>
                <a:pPr>
                  <a:defRPr/>
                </a:pPr>
                <a:r>
                  <a:rPr lang="en-US"/>
                  <a:t>GFA (M2)</a:t>
                </a:r>
              </a:p>
            </c:rich>
          </c:tx>
          <c:overlay val="0"/>
        </c:title>
        <c:numFmt formatCode="General" sourceLinked="1"/>
        <c:majorTickMark val="out"/>
        <c:minorTickMark val="none"/>
        <c:tickLblPos val="nextTo"/>
        <c:txPr>
          <a:bodyPr/>
          <a:lstStyle/>
          <a:p>
            <a:pPr>
              <a:defRPr sz="800"/>
            </a:pPr>
            <a:endParaRPr lang="en-US"/>
          </a:p>
        </c:txPr>
        <c:crossAx val="105866368"/>
        <c:crosses val="autoZero"/>
        <c:crossBetween val="between"/>
      </c:valAx>
      <c:valAx>
        <c:axId val="108779008"/>
        <c:scaling>
          <c:orientation val="minMax"/>
        </c:scaling>
        <c:delete val="0"/>
        <c:axPos val="r"/>
        <c:title>
          <c:tx>
            <c:rich>
              <a:bodyPr rot="-5400000" vert="horz"/>
              <a:lstStyle/>
              <a:p>
                <a:pPr>
                  <a:defRPr/>
                </a:pPr>
                <a:r>
                  <a:rPr lang="en-US"/>
                  <a:t>Cost difference</a:t>
                </a:r>
              </a:p>
            </c:rich>
          </c:tx>
          <c:overlay val="0"/>
        </c:title>
        <c:numFmt formatCode="0.00" sourceLinked="1"/>
        <c:majorTickMark val="out"/>
        <c:minorTickMark val="none"/>
        <c:tickLblPos val="nextTo"/>
        <c:txPr>
          <a:bodyPr/>
          <a:lstStyle/>
          <a:p>
            <a:pPr>
              <a:defRPr sz="800"/>
            </a:pPr>
            <a:endParaRPr lang="en-US"/>
          </a:p>
        </c:txPr>
        <c:crossAx val="129006208"/>
        <c:crosses val="max"/>
        <c:crossBetween val="between"/>
      </c:valAx>
      <c:catAx>
        <c:axId val="129006208"/>
        <c:scaling>
          <c:orientation val="minMax"/>
        </c:scaling>
        <c:delete val="1"/>
        <c:axPos val="b"/>
        <c:majorTickMark val="out"/>
        <c:minorTickMark val="none"/>
        <c:tickLblPos val="none"/>
        <c:crossAx val="108779008"/>
        <c:crosses val="autoZero"/>
        <c:auto val="1"/>
        <c:lblAlgn val="ctr"/>
        <c:lblOffset val="100"/>
        <c:noMultiLvlLbl val="0"/>
      </c:catAx>
    </c:plotArea>
    <c:legend>
      <c:legendPos val="t"/>
      <c:layout>
        <c:manualLayout>
          <c:xMode val="edge"/>
          <c:yMode val="edge"/>
          <c:x val="0.12417669078552614"/>
          <c:y val="1.8262928860276861E-2"/>
          <c:w val="0.76586949684507788"/>
          <c:h val="6.8044833158070334E-2"/>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71602586656667"/>
          <c:y val="9.7557139943230217E-2"/>
          <c:w val="0.74216718821016159"/>
          <c:h val="0.6177812309747639"/>
        </c:manualLayout>
      </c:layout>
      <c:lineChart>
        <c:grouping val="standard"/>
        <c:varyColors val="0"/>
        <c:ser>
          <c:idx val="0"/>
          <c:order val="0"/>
          <c:tx>
            <c:strRef>
              <c:f>Rates_time!$C$1</c:f>
              <c:strCache>
                <c:ptCount val="1"/>
                <c:pt idx="0">
                  <c:v>Gross floor area (GFA)</c:v>
                </c:pt>
              </c:strCache>
            </c:strRef>
          </c:tx>
          <c:cat>
            <c:strRef>
              <c:f>Rates_time!$B$2:$B$17</c:f>
              <c:strCache>
                <c:ptCount val="16"/>
                <c:pt idx="0">
                  <c:v>A_2-BR SD</c:v>
                </c:pt>
                <c:pt idx="1">
                  <c:v>W_2-BR BLK</c:v>
                </c:pt>
                <c:pt idx="2">
                  <c:v>W_3-BR BLK</c:v>
                </c:pt>
                <c:pt idx="3">
                  <c:v>A_3-BR BUNG</c:v>
                </c:pt>
                <c:pt idx="4">
                  <c:v>D_3-BR DET</c:v>
                </c:pt>
                <c:pt idx="5">
                  <c:v>T_3-BR DET</c:v>
                </c:pt>
                <c:pt idx="6">
                  <c:v>W_2-BR SD</c:v>
                </c:pt>
                <c:pt idx="7">
                  <c:v>W_4-BR DUPL</c:v>
                </c:pt>
                <c:pt idx="8">
                  <c:v>A_4-BR TERR</c:v>
                </c:pt>
                <c:pt idx="9">
                  <c:v>W_3-BR SD</c:v>
                </c:pt>
                <c:pt idx="10">
                  <c:v>W_5-BR DUPL</c:v>
                </c:pt>
                <c:pt idx="11">
                  <c:v>A_4-BR DUPL</c:v>
                </c:pt>
                <c:pt idx="12">
                  <c:v>D_3-BR SD</c:v>
                </c:pt>
                <c:pt idx="13">
                  <c:v>D_5-BR DUPL</c:v>
                </c:pt>
                <c:pt idx="14">
                  <c:v>D_2-BR BLK</c:v>
                </c:pt>
                <c:pt idx="15">
                  <c:v>A_5-BR TERR</c:v>
                </c:pt>
              </c:strCache>
            </c:strRef>
          </c:cat>
          <c:val>
            <c:numRef>
              <c:f>Rates_time!$C$2:$C$17</c:f>
              <c:numCache>
                <c:formatCode>General</c:formatCode>
                <c:ptCount val="16"/>
                <c:pt idx="0">
                  <c:v>62</c:v>
                </c:pt>
                <c:pt idx="1">
                  <c:v>97.59</c:v>
                </c:pt>
                <c:pt idx="2">
                  <c:v>130</c:v>
                </c:pt>
                <c:pt idx="3">
                  <c:v>150</c:v>
                </c:pt>
                <c:pt idx="4">
                  <c:v>180</c:v>
                </c:pt>
                <c:pt idx="5">
                  <c:v>180</c:v>
                </c:pt>
                <c:pt idx="6">
                  <c:v>194</c:v>
                </c:pt>
                <c:pt idx="7">
                  <c:v>196.4</c:v>
                </c:pt>
                <c:pt idx="8">
                  <c:v>220</c:v>
                </c:pt>
                <c:pt idx="9">
                  <c:v>234</c:v>
                </c:pt>
                <c:pt idx="10">
                  <c:v>294.60000000000002</c:v>
                </c:pt>
                <c:pt idx="11">
                  <c:v>340</c:v>
                </c:pt>
                <c:pt idx="12">
                  <c:v>342</c:v>
                </c:pt>
                <c:pt idx="13">
                  <c:v>420</c:v>
                </c:pt>
                <c:pt idx="14">
                  <c:v>720</c:v>
                </c:pt>
                <c:pt idx="15">
                  <c:v>2459</c:v>
                </c:pt>
              </c:numCache>
            </c:numRef>
          </c:val>
          <c:smooth val="0"/>
          <c:extLst>
            <c:ext xmlns:c16="http://schemas.microsoft.com/office/drawing/2014/chart" uri="{C3380CC4-5D6E-409C-BE32-E72D297353CC}">
              <c16:uniqueId val="{00000000-BCA4-4D14-8D8A-B1DB863E306B}"/>
            </c:ext>
          </c:extLst>
        </c:ser>
        <c:dLbls>
          <c:showLegendKey val="0"/>
          <c:showVal val="0"/>
          <c:showCatName val="0"/>
          <c:showSerName val="0"/>
          <c:showPercent val="0"/>
          <c:showBubbleSize val="0"/>
        </c:dLbls>
        <c:marker val="1"/>
        <c:smooth val="0"/>
        <c:axId val="67741568"/>
        <c:axId val="67747840"/>
      </c:lineChart>
      <c:lineChart>
        <c:grouping val="standard"/>
        <c:varyColors val="0"/>
        <c:ser>
          <c:idx val="1"/>
          <c:order val="1"/>
          <c:tx>
            <c:strRef>
              <c:f>Rates_time!$F$1</c:f>
              <c:strCache>
                <c:ptCount val="1"/>
                <c:pt idx="0">
                  <c:v>Time difference</c:v>
                </c:pt>
              </c:strCache>
            </c:strRef>
          </c:tx>
          <c:trendline>
            <c:trendlineType val="linear"/>
            <c:dispRSqr val="1"/>
            <c:dispEq val="0"/>
            <c:trendlineLbl>
              <c:numFmt formatCode="General" sourceLinked="0"/>
            </c:trendlineLbl>
          </c:trendline>
          <c:cat>
            <c:strRef>
              <c:f>Rates_time!$B$2:$B$17</c:f>
              <c:strCache>
                <c:ptCount val="16"/>
                <c:pt idx="0">
                  <c:v>A_2-BR SD</c:v>
                </c:pt>
                <c:pt idx="1">
                  <c:v>W_2-BR BLK</c:v>
                </c:pt>
                <c:pt idx="2">
                  <c:v>W_3-BR BLK</c:v>
                </c:pt>
                <c:pt idx="3">
                  <c:v>A_3-BR BUNG</c:v>
                </c:pt>
                <c:pt idx="4">
                  <c:v>D_3-BR DET</c:v>
                </c:pt>
                <c:pt idx="5">
                  <c:v>T_3-BR DET</c:v>
                </c:pt>
                <c:pt idx="6">
                  <c:v>W_2-BR SD</c:v>
                </c:pt>
                <c:pt idx="7">
                  <c:v>W_4-BR DUPL</c:v>
                </c:pt>
                <c:pt idx="8">
                  <c:v>A_4-BR TERR</c:v>
                </c:pt>
                <c:pt idx="9">
                  <c:v>W_3-BR SD</c:v>
                </c:pt>
                <c:pt idx="10">
                  <c:v>W_5-BR DUPL</c:v>
                </c:pt>
                <c:pt idx="11">
                  <c:v>A_4-BR DUPL</c:v>
                </c:pt>
                <c:pt idx="12">
                  <c:v>D_3-BR SD</c:v>
                </c:pt>
                <c:pt idx="13">
                  <c:v>D_5-BR DUPL</c:v>
                </c:pt>
                <c:pt idx="14">
                  <c:v>D_2-BR BLK</c:v>
                </c:pt>
                <c:pt idx="15">
                  <c:v>A_5-BR TERR</c:v>
                </c:pt>
              </c:strCache>
            </c:strRef>
          </c:cat>
          <c:val>
            <c:numRef>
              <c:f>Rates_time!$F$2:$F$17</c:f>
              <c:numCache>
                <c:formatCode>0.00</c:formatCode>
                <c:ptCount val="16"/>
                <c:pt idx="0">
                  <c:v>0</c:v>
                </c:pt>
                <c:pt idx="1">
                  <c:v>25</c:v>
                </c:pt>
                <c:pt idx="2">
                  <c:v>25</c:v>
                </c:pt>
                <c:pt idx="3">
                  <c:v>100</c:v>
                </c:pt>
                <c:pt idx="4">
                  <c:v>-23.076923076922974</c:v>
                </c:pt>
                <c:pt idx="5">
                  <c:v>0</c:v>
                </c:pt>
                <c:pt idx="6">
                  <c:v>50</c:v>
                </c:pt>
                <c:pt idx="7">
                  <c:v>0</c:v>
                </c:pt>
                <c:pt idx="8">
                  <c:v>100</c:v>
                </c:pt>
                <c:pt idx="9">
                  <c:v>50</c:v>
                </c:pt>
                <c:pt idx="10">
                  <c:v>16.666666666666664</c:v>
                </c:pt>
                <c:pt idx="11">
                  <c:v>100</c:v>
                </c:pt>
                <c:pt idx="12">
                  <c:v>-15.384615384615385</c:v>
                </c:pt>
                <c:pt idx="13">
                  <c:v>5.8823529411764675</c:v>
                </c:pt>
                <c:pt idx="14">
                  <c:v>4.3478260869565215</c:v>
                </c:pt>
                <c:pt idx="15">
                  <c:v>366.66666666666708</c:v>
                </c:pt>
              </c:numCache>
            </c:numRef>
          </c:val>
          <c:smooth val="0"/>
          <c:extLst>
            <c:ext xmlns:c16="http://schemas.microsoft.com/office/drawing/2014/chart" uri="{C3380CC4-5D6E-409C-BE32-E72D297353CC}">
              <c16:uniqueId val="{00000002-BCA4-4D14-8D8A-B1DB863E306B}"/>
            </c:ext>
          </c:extLst>
        </c:ser>
        <c:dLbls>
          <c:showLegendKey val="0"/>
          <c:showVal val="0"/>
          <c:showCatName val="0"/>
          <c:showSerName val="0"/>
          <c:showPercent val="0"/>
          <c:showBubbleSize val="0"/>
        </c:dLbls>
        <c:marker val="1"/>
        <c:smooth val="0"/>
        <c:axId val="67751936"/>
        <c:axId val="67749760"/>
      </c:lineChart>
      <c:catAx>
        <c:axId val="67741568"/>
        <c:scaling>
          <c:orientation val="minMax"/>
        </c:scaling>
        <c:delete val="0"/>
        <c:axPos val="b"/>
        <c:title>
          <c:tx>
            <c:rich>
              <a:bodyPr/>
              <a:lstStyle/>
              <a:p>
                <a:pPr>
                  <a:defRPr/>
                </a:pPr>
                <a:r>
                  <a:rPr lang="en-US"/>
                  <a:t>Building types</a:t>
                </a:r>
              </a:p>
            </c:rich>
          </c:tx>
          <c:overlay val="0"/>
        </c:title>
        <c:numFmt formatCode="General" sourceLinked="0"/>
        <c:majorTickMark val="out"/>
        <c:minorTickMark val="none"/>
        <c:tickLblPos val="nextTo"/>
        <c:txPr>
          <a:bodyPr/>
          <a:lstStyle/>
          <a:p>
            <a:pPr>
              <a:defRPr sz="800"/>
            </a:pPr>
            <a:endParaRPr lang="en-US"/>
          </a:p>
        </c:txPr>
        <c:crossAx val="67747840"/>
        <c:crosses val="autoZero"/>
        <c:auto val="1"/>
        <c:lblAlgn val="ctr"/>
        <c:lblOffset val="100"/>
        <c:noMultiLvlLbl val="0"/>
      </c:catAx>
      <c:valAx>
        <c:axId val="67747840"/>
        <c:scaling>
          <c:orientation val="minMax"/>
        </c:scaling>
        <c:delete val="0"/>
        <c:axPos val="l"/>
        <c:majorGridlines/>
        <c:title>
          <c:tx>
            <c:rich>
              <a:bodyPr rot="-5400000" vert="horz"/>
              <a:lstStyle/>
              <a:p>
                <a:pPr>
                  <a:defRPr/>
                </a:pPr>
                <a:r>
                  <a:rPr lang="en-US"/>
                  <a:t>GFA (M2)</a:t>
                </a:r>
              </a:p>
            </c:rich>
          </c:tx>
          <c:overlay val="0"/>
        </c:title>
        <c:numFmt formatCode="General" sourceLinked="1"/>
        <c:majorTickMark val="out"/>
        <c:minorTickMark val="none"/>
        <c:tickLblPos val="nextTo"/>
        <c:txPr>
          <a:bodyPr/>
          <a:lstStyle/>
          <a:p>
            <a:pPr>
              <a:defRPr sz="800"/>
            </a:pPr>
            <a:endParaRPr lang="en-US"/>
          </a:p>
        </c:txPr>
        <c:crossAx val="67741568"/>
        <c:crosses val="autoZero"/>
        <c:crossBetween val="between"/>
      </c:valAx>
      <c:valAx>
        <c:axId val="67749760"/>
        <c:scaling>
          <c:orientation val="minMax"/>
        </c:scaling>
        <c:delete val="0"/>
        <c:axPos val="r"/>
        <c:title>
          <c:tx>
            <c:rich>
              <a:bodyPr rot="-5400000" vert="horz"/>
              <a:lstStyle/>
              <a:p>
                <a:pPr>
                  <a:defRPr/>
                </a:pPr>
                <a:r>
                  <a:rPr lang="en-US"/>
                  <a:t>Time difference</a:t>
                </a:r>
              </a:p>
            </c:rich>
          </c:tx>
          <c:overlay val="0"/>
        </c:title>
        <c:numFmt formatCode="0.00" sourceLinked="1"/>
        <c:majorTickMark val="out"/>
        <c:minorTickMark val="none"/>
        <c:tickLblPos val="nextTo"/>
        <c:txPr>
          <a:bodyPr/>
          <a:lstStyle/>
          <a:p>
            <a:pPr>
              <a:defRPr sz="800"/>
            </a:pPr>
            <a:endParaRPr lang="en-US"/>
          </a:p>
        </c:txPr>
        <c:crossAx val="67751936"/>
        <c:crosses val="max"/>
        <c:crossBetween val="between"/>
      </c:valAx>
      <c:catAx>
        <c:axId val="67751936"/>
        <c:scaling>
          <c:orientation val="minMax"/>
        </c:scaling>
        <c:delete val="1"/>
        <c:axPos val="b"/>
        <c:numFmt formatCode="General" sourceLinked="1"/>
        <c:majorTickMark val="out"/>
        <c:minorTickMark val="none"/>
        <c:tickLblPos val="none"/>
        <c:crossAx val="67749760"/>
        <c:crosses val="autoZero"/>
        <c:auto val="1"/>
        <c:lblAlgn val="ctr"/>
        <c:lblOffset val="100"/>
        <c:noMultiLvlLbl val="0"/>
      </c:catAx>
    </c:plotArea>
    <c:legend>
      <c:legendPos val="t"/>
      <c:overlay val="0"/>
      <c:txPr>
        <a:bodyPr/>
        <a:lstStyle/>
        <a:p>
          <a:pPr>
            <a:defRPr sz="8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00B4D-949D-4A3B-AC6F-E5EE92EC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ARCOM 99 Blank Paper</Template>
  <TotalTime>61</TotalTime>
  <Pages>15</Pages>
  <Words>4856</Words>
  <Characters>27683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MANAGEMENT OF THE FIRM</vt:lpstr>
    </vt:vector>
  </TitlesOfParts>
  <Company>University of Reading</Company>
  <LinksUpToDate>false</LinksUpToDate>
  <CharactersWithSpaces>32475</CharactersWithSpaces>
  <SharedDoc>false</SharedDoc>
  <HLinks>
    <vt:vector size="12" baseType="variant">
      <vt:variant>
        <vt:i4>6946885</vt:i4>
      </vt:variant>
      <vt:variant>
        <vt:i4>3</vt:i4>
      </vt:variant>
      <vt:variant>
        <vt:i4>0</vt:i4>
      </vt:variant>
      <vt:variant>
        <vt:i4>5</vt:i4>
      </vt:variant>
      <vt:variant>
        <vt:lpwstr>mailto:cobra2012@pbsrg.com</vt:lpwstr>
      </vt:variant>
      <vt:variant>
        <vt:lpwstr/>
      </vt:variant>
      <vt:variant>
        <vt:i4>5505096</vt:i4>
      </vt:variant>
      <vt:variant>
        <vt:i4>0</vt:i4>
      </vt:variant>
      <vt:variant>
        <vt:i4>0</vt:i4>
      </vt:variant>
      <vt:variant>
        <vt:i4>5</vt:i4>
      </vt:variant>
      <vt:variant>
        <vt:lpwstr>http://ascweb.org/Documents and SettingskcwilliDesktop/jcestyle.htm</vt:lpwstr>
      </vt:variant>
      <vt:variant>
        <vt:lpwstr>Beckleheimer, J. (1994)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THE FIRM</dc:title>
  <dc:creator>Hughes</dc:creator>
  <cp:lastModifiedBy>Usman</cp:lastModifiedBy>
  <cp:revision>4</cp:revision>
  <cp:lastPrinted>2004-07-06T08:54:00Z</cp:lastPrinted>
  <dcterms:created xsi:type="dcterms:W3CDTF">2017-01-30T03:14:00Z</dcterms:created>
  <dcterms:modified xsi:type="dcterms:W3CDTF">2020-07-18T14:14:00Z</dcterms:modified>
</cp:coreProperties>
</file>