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38" w:rsidRPr="0050237C" w:rsidRDefault="00FA6038" w:rsidP="00FA6038">
      <w:pPr>
        <w:spacing w:after="0" w:line="240" w:lineRule="auto"/>
        <w:jc w:val="center"/>
        <w:rPr>
          <w:b/>
          <w:bCs/>
          <w:sz w:val="20"/>
          <w:szCs w:val="20"/>
        </w:rPr>
      </w:pPr>
    </w:p>
    <w:p w:rsidR="00620F12" w:rsidRDefault="00F45A64" w:rsidP="00FA6038">
      <w:pPr>
        <w:spacing w:after="0" w:line="240" w:lineRule="auto"/>
        <w:jc w:val="center"/>
        <w:rPr>
          <w:b/>
          <w:sz w:val="20"/>
          <w:szCs w:val="20"/>
        </w:rPr>
      </w:pPr>
      <w:r>
        <w:rPr>
          <w:b/>
          <w:sz w:val="20"/>
          <w:szCs w:val="20"/>
        </w:rPr>
        <w:t>Principal Component Analysis o</w:t>
      </w:r>
      <w:r w:rsidR="00BF4C40">
        <w:rPr>
          <w:b/>
          <w:sz w:val="20"/>
          <w:szCs w:val="20"/>
        </w:rPr>
        <w:t>f</w:t>
      </w:r>
      <w:r w:rsidR="00124A83" w:rsidRPr="003B0FEF">
        <w:rPr>
          <w:b/>
          <w:sz w:val="20"/>
          <w:szCs w:val="20"/>
        </w:rPr>
        <w:t xml:space="preserve"> Production Constraints </w:t>
      </w:r>
      <w:r>
        <w:rPr>
          <w:b/>
          <w:sz w:val="20"/>
          <w:szCs w:val="20"/>
        </w:rPr>
        <w:t>o</w:t>
      </w:r>
      <w:r w:rsidR="00124A83">
        <w:rPr>
          <w:b/>
          <w:sz w:val="20"/>
          <w:szCs w:val="20"/>
        </w:rPr>
        <w:t xml:space="preserve">f </w:t>
      </w:r>
      <w:r w:rsidR="00124A83" w:rsidRPr="003B0FEF">
        <w:rPr>
          <w:b/>
          <w:sz w:val="20"/>
          <w:szCs w:val="20"/>
        </w:rPr>
        <w:t xml:space="preserve">Smallholder </w:t>
      </w:r>
      <w:r w:rsidR="00124A83">
        <w:rPr>
          <w:b/>
          <w:sz w:val="20"/>
          <w:szCs w:val="20"/>
        </w:rPr>
        <w:t xml:space="preserve">Arable Crop </w:t>
      </w:r>
      <w:r>
        <w:rPr>
          <w:b/>
          <w:sz w:val="20"/>
          <w:szCs w:val="20"/>
        </w:rPr>
        <w:t>Farmers i</w:t>
      </w:r>
      <w:r w:rsidR="00124A83" w:rsidRPr="003B0FEF">
        <w:rPr>
          <w:b/>
          <w:sz w:val="20"/>
          <w:szCs w:val="20"/>
        </w:rPr>
        <w:t xml:space="preserve">n </w:t>
      </w:r>
      <w:proofErr w:type="spellStart"/>
      <w:r w:rsidR="00124A83" w:rsidRPr="003B0FEF">
        <w:rPr>
          <w:b/>
          <w:sz w:val="20"/>
          <w:szCs w:val="20"/>
        </w:rPr>
        <w:t>Kwara</w:t>
      </w:r>
      <w:proofErr w:type="spellEnd"/>
      <w:r w:rsidR="00124A83" w:rsidRPr="003B0FEF">
        <w:rPr>
          <w:b/>
          <w:sz w:val="20"/>
          <w:szCs w:val="20"/>
        </w:rPr>
        <w:t xml:space="preserve"> State, Nigeria</w:t>
      </w:r>
    </w:p>
    <w:p w:rsidR="003B0FEF" w:rsidRPr="003B0FEF" w:rsidRDefault="003B0FEF" w:rsidP="00FA6038">
      <w:pPr>
        <w:spacing w:after="0" w:line="240" w:lineRule="auto"/>
        <w:jc w:val="center"/>
        <w:rPr>
          <w:b/>
          <w:bCs/>
          <w:sz w:val="20"/>
          <w:szCs w:val="20"/>
        </w:rPr>
      </w:pPr>
    </w:p>
    <w:p w:rsidR="00FA6038" w:rsidRPr="0050237C" w:rsidRDefault="00620F12" w:rsidP="00FA6038">
      <w:pPr>
        <w:spacing w:after="0"/>
        <w:jc w:val="center"/>
        <w:rPr>
          <w:b/>
          <w:color w:val="000000" w:themeColor="text1" w:themeShade="80"/>
          <w:sz w:val="20"/>
          <w:szCs w:val="20"/>
        </w:rPr>
      </w:pPr>
      <w:r w:rsidRPr="0050237C">
        <w:rPr>
          <w:b/>
          <w:color w:val="000000" w:themeColor="text1" w:themeShade="80"/>
          <w:sz w:val="20"/>
          <w:szCs w:val="20"/>
        </w:rPr>
        <w:t>*</w:t>
      </w:r>
      <w:r w:rsidR="00FA6038" w:rsidRPr="0050237C">
        <w:rPr>
          <w:b/>
          <w:color w:val="000000" w:themeColor="text1" w:themeShade="80"/>
          <w:sz w:val="20"/>
          <w:szCs w:val="20"/>
        </w:rPr>
        <w:t>A.</w:t>
      </w:r>
      <w:r w:rsidRPr="0050237C">
        <w:rPr>
          <w:b/>
          <w:color w:val="000000" w:themeColor="text1" w:themeShade="80"/>
          <w:sz w:val="20"/>
          <w:szCs w:val="20"/>
        </w:rPr>
        <w:t xml:space="preserve"> </w:t>
      </w:r>
      <w:proofErr w:type="spellStart"/>
      <w:r w:rsidR="00DA0AD7">
        <w:rPr>
          <w:b/>
          <w:color w:val="000000" w:themeColor="text1" w:themeShade="80"/>
          <w:sz w:val="20"/>
          <w:szCs w:val="20"/>
        </w:rPr>
        <w:t>Adewumi</w:t>
      </w:r>
      <w:proofErr w:type="spellEnd"/>
      <w:r w:rsidR="00FA6038" w:rsidRPr="0050237C">
        <w:rPr>
          <w:b/>
          <w:color w:val="000000" w:themeColor="text1" w:themeShade="80"/>
          <w:sz w:val="20"/>
          <w:szCs w:val="20"/>
        </w:rPr>
        <w:t xml:space="preserve">, </w:t>
      </w:r>
      <w:r w:rsidR="00DA0AD7">
        <w:rPr>
          <w:b/>
          <w:color w:val="000000" w:themeColor="text1" w:themeShade="80"/>
          <w:sz w:val="20"/>
          <w:szCs w:val="20"/>
        </w:rPr>
        <w:t xml:space="preserve">L, </w:t>
      </w:r>
      <w:proofErr w:type="spellStart"/>
      <w:r w:rsidR="00DA0AD7">
        <w:rPr>
          <w:b/>
          <w:color w:val="000000" w:themeColor="text1" w:themeShade="80"/>
          <w:sz w:val="20"/>
          <w:szCs w:val="20"/>
        </w:rPr>
        <w:t>Tanko</w:t>
      </w:r>
      <w:proofErr w:type="spellEnd"/>
      <w:r w:rsidR="00DA0AD7">
        <w:rPr>
          <w:b/>
          <w:color w:val="000000" w:themeColor="text1" w:themeShade="80"/>
          <w:sz w:val="20"/>
          <w:szCs w:val="20"/>
        </w:rPr>
        <w:t xml:space="preserve">, </w:t>
      </w:r>
      <w:r w:rsidR="00DA0AD7" w:rsidRPr="0050237C">
        <w:rPr>
          <w:b/>
          <w:color w:val="000000" w:themeColor="text1" w:themeShade="80"/>
          <w:sz w:val="20"/>
          <w:szCs w:val="20"/>
        </w:rPr>
        <w:t xml:space="preserve">F. D. Ibrahim </w:t>
      </w:r>
      <w:r w:rsidR="00DA0AD7">
        <w:rPr>
          <w:b/>
          <w:color w:val="000000" w:themeColor="text1" w:themeShade="80"/>
          <w:sz w:val="20"/>
          <w:szCs w:val="20"/>
        </w:rPr>
        <w:t xml:space="preserve">and </w:t>
      </w:r>
      <w:r w:rsidRPr="0050237C">
        <w:rPr>
          <w:b/>
          <w:color w:val="000000" w:themeColor="text1" w:themeShade="80"/>
          <w:sz w:val="20"/>
          <w:szCs w:val="20"/>
        </w:rPr>
        <w:t xml:space="preserve">E. S. </w:t>
      </w:r>
      <w:proofErr w:type="spellStart"/>
      <w:r w:rsidRPr="0050237C">
        <w:rPr>
          <w:b/>
          <w:color w:val="000000" w:themeColor="text1" w:themeShade="80"/>
          <w:sz w:val="20"/>
          <w:szCs w:val="20"/>
        </w:rPr>
        <w:t>Yisa</w:t>
      </w:r>
      <w:proofErr w:type="spellEnd"/>
      <w:r w:rsidR="00FA6038" w:rsidRPr="0050237C">
        <w:rPr>
          <w:b/>
          <w:color w:val="000000" w:themeColor="text1" w:themeShade="80"/>
          <w:sz w:val="20"/>
          <w:szCs w:val="20"/>
        </w:rPr>
        <w:t xml:space="preserve"> </w:t>
      </w:r>
    </w:p>
    <w:p w:rsidR="00FA6038" w:rsidRPr="0050237C" w:rsidRDefault="00FA6038" w:rsidP="00FA6038">
      <w:pPr>
        <w:autoSpaceDE w:val="0"/>
        <w:autoSpaceDN w:val="0"/>
        <w:adjustRightInd w:val="0"/>
        <w:spacing w:after="0"/>
        <w:jc w:val="center"/>
        <w:rPr>
          <w:i/>
          <w:sz w:val="20"/>
          <w:szCs w:val="20"/>
        </w:rPr>
      </w:pPr>
      <w:r w:rsidRPr="0050237C">
        <w:rPr>
          <w:i/>
          <w:sz w:val="20"/>
          <w:szCs w:val="20"/>
        </w:rPr>
        <w:t xml:space="preserve">Department of Agricultural Economics and Farm Management, Federal University of Technology, P. M. B. 65, </w:t>
      </w:r>
      <w:proofErr w:type="spellStart"/>
      <w:r w:rsidRPr="0050237C">
        <w:rPr>
          <w:i/>
          <w:sz w:val="20"/>
          <w:szCs w:val="20"/>
        </w:rPr>
        <w:t>Minna</w:t>
      </w:r>
      <w:proofErr w:type="spellEnd"/>
      <w:r w:rsidRPr="0050237C">
        <w:rPr>
          <w:i/>
          <w:sz w:val="20"/>
          <w:szCs w:val="20"/>
        </w:rPr>
        <w:t>, Niger State, Nigeria.</w:t>
      </w:r>
    </w:p>
    <w:p w:rsidR="00FA6038" w:rsidRPr="0050237C" w:rsidRDefault="00FA6038" w:rsidP="00FA6038">
      <w:pPr>
        <w:spacing w:after="0"/>
        <w:jc w:val="center"/>
        <w:rPr>
          <w:i/>
          <w:sz w:val="20"/>
          <w:szCs w:val="20"/>
        </w:rPr>
      </w:pPr>
      <w:r w:rsidRPr="0050237C">
        <w:rPr>
          <w:i/>
          <w:sz w:val="20"/>
          <w:szCs w:val="20"/>
        </w:rPr>
        <w:t xml:space="preserve">*Corresponding author: </w:t>
      </w:r>
      <w:hyperlink r:id="rId7" w:history="1">
        <w:r w:rsidR="00DA0AD7" w:rsidRPr="000E67D5">
          <w:rPr>
            <w:rStyle w:val="Hyperlink"/>
            <w:i/>
            <w:sz w:val="20"/>
            <w:szCs w:val="20"/>
          </w:rPr>
          <w:t>adewumiadeoluwa@gmail.com</w:t>
        </w:r>
      </w:hyperlink>
      <w:r w:rsidRPr="0050237C">
        <w:rPr>
          <w:i/>
          <w:sz w:val="20"/>
          <w:szCs w:val="20"/>
        </w:rPr>
        <w:t>, +234</w:t>
      </w:r>
      <w:r w:rsidR="00DA0AD7">
        <w:rPr>
          <w:i/>
          <w:sz w:val="20"/>
          <w:szCs w:val="20"/>
        </w:rPr>
        <w:t>7063155051</w:t>
      </w:r>
    </w:p>
    <w:p w:rsidR="00E16C55" w:rsidRPr="0050237C" w:rsidRDefault="00E16C55" w:rsidP="00124A83">
      <w:pPr>
        <w:spacing w:after="0" w:line="240" w:lineRule="auto"/>
        <w:rPr>
          <w:b/>
          <w:bCs/>
          <w:sz w:val="20"/>
          <w:szCs w:val="20"/>
        </w:rPr>
      </w:pPr>
    </w:p>
    <w:p w:rsidR="00FA6038" w:rsidRPr="0050237C" w:rsidRDefault="00FA6038" w:rsidP="00124A83">
      <w:pPr>
        <w:spacing w:after="0" w:line="240" w:lineRule="auto"/>
        <w:rPr>
          <w:b/>
          <w:bCs/>
          <w:sz w:val="20"/>
          <w:szCs w:val="20"/>
        </w:rPr>
      </w:pPr>
      <w:r w:rsidRPr="0050237C">
        <w:rPr>
          <w:b/>
          <w:bCs/>
          <w:sz w:val="20"/>
          <w:szCs w:val="20"/>
        </w:rPr>
        <w:t>ABSTRACT</w:t>
      </w:r>
    </w:p>
    <w:p w:rsidR="002923D4" w:rsidRPr="0050237C" w:rsidRDefault="0016359E" w:rsidP="00CE164B">
      <w:pPr>
        <w:spacing w:after="0" w:line="240" w:lineRule="auto"/>
        <w:jc w:val="both"/>
        <w:rPr>
          <w:bCs/>
          <w:sz w:val="20"/>
          <w:szCs w:val="20"/>
        </w:rPr>
      </w:pPr>
      <w:r>
        <w:rPr>
          <w:bCs/>
          <w:sz w:val="20"/>
          <w:szCs w:val="20"/>
        </w:rPr>
        <w:t xml:space="preserve">The study attempted to analyse the production constraints of </w:t>
      </w:r>
      <w:r w:rsidR="00625BE7">
        <w:rPr>
          <w:bCs/>
          <w:sz w:val="20"/>
          <w:szCs w:val="20"/>
        </w:rPr>
        <w:t xml:space="preserve">smallholder arable crop farmers in </w:t>
      </w:r>
      <w:proofErr w:type="spellStart"/>
      <w:r w:rsidR="00625BE7">
        <w:rPr>
          <w:bCs/>
          <w:sz w:val="20"/>
          <w:szCs w:val="20"/>
        </w:rPr>
        <w:t>Kwara</w:t>
      </w:r>
      <w:proofErr w:type="spellEnd"/>
      <w:r w:rsidR="00625BE7">
        <w:rPr>
          <w:bCs/>
          <w:sz w:val="20"/>
          <w:szCs w:val="20"/>
        </w:rPr>
        <w:t xml:space="preserve"> State, Nigeria.</w:t>
      </w:r>
      <w:r w:rsidR="002923D4" w:rsidRPr="0050237C">
        <w:rPr>
          <w:bCs/>
          <w:sz w:val="20"/>
          <w:szCs w:val="20"/>
        </w:rPr>
        <w:t xml:space="preserve"> </w:t>
      </w:r>
      <w:r w:rsidR="00625BE7">
        <w:rPr>
          <w:bCs/>
          <w:sz w:val="20"/>
          <w:szCs w:val="20"/>
        </w:rPr>
        <w:t xml:space="preserve">Multi-stage sampling procedure was used to sample a total of 261 arable crop farmers in the state. Primary data were elicited from the farmers with the aid of structured questionnaire that was complemented with interview schedule. </w:t>
      </w:r>
      <w:r w:rsidR="00BB37A4" w:rsidRPr="0050237C">
        <w:rPr>
          <w:iCs/>
          <w:sz w:val="20"/>
          <w:szCs w:val="20"/>
        </w:rPr>
        <w:t xml:space="preserve">Data </w:t>
      </w:r>
      <w:r w:rsidR="0035446A">
        <w:rPr>
          <w:iCs/>
          <w:sz w:val="20"/>
          <w:szCs w:val="20"/>
        </w:rPr>
        <w:t xml:space="preserve">analysis was done </w:t>
      </w:r>
      <w:r w:rsidR="00BB37A4" w:rsidRPr="0050237C">
        <w:rPr>
          <w:iCs/>
          <w:sz w:val="20"/>
          <w:szCs w:val="20"/>
        </w:rPr>
        <w:t xml:space="preserve">with descriptive statistics and </w:t>
      </w:r>
      <w:r w:rsidR="0035446A">
        <w:rPr>
          <w:iCs/>
          <w:sz w:val="20"/>
          <w:szCs w:val="20"/>
        </w:rPr>
        <w:t xml:space="preserve">principal component </w:t>
      </w:r>
      <w:r w:rsidR="00BB37A4" w:rsidRPr="0050237C">
        <w:rPr>
          <w:iCs/>
          <w:sz w:val="20"/>
          <w:szCs w:val="20"/>
        </w:rPr>
        <w:t xml:space="preserve">model. The result showed that an average </w:t>
      </w:r>
      <w:r w:rsidR="009775DB">
        <w:rPr>
          <w:iCs/>
          <w:sz w:val="20"/>
          <w:szCs w:val="20"/>
        </w:rPr>
        <w:t>crop farmer was 51 years old, had household size of 8 persons and 10years of formal education. 91.57% of the farmers were male and 86.21% were married. The principal component analysis revealed that</w:t>
      </w:r>
      <w:r w:rsidR="004C2D5E">
        <w:rPr>
          <w:iCs/>
          <w:sz w:val="20"/>
          <w:szCs w:val="20"/>
        </w:rPr>
        <w:t xml:space="preserve"> the major constraints of the farmers were </w:t>
      </w:r>
      <w:r w:rsidR="004C2D5E" w:rsidRPr="00E26E0A">
        <w:rPr>
          <w:sz w:val="20"/>
          <w:szCs w:val="20"/>
        </w:rPr>
        <w:t>economic</w:t>
      </w:r>
      <w:r w:rsidR="004C2D5E">
        <w:rPr>
          <w:sz w:val="20"/>
          <w:szCs w:val="20"/>
        </w:rPr>
        <w:t xml:space="preserve"> and socio-cultural, </w:t>
      </w:r>
      <w:r w:rsidR="004C2D5E" w:rsidRPr="00E26E0A">
        <w:rPr>
          <w:sz w:val="20"/>
          <w:szCs w:val="20"/>
        </w:rPr>
        <w:t>institutional</w:t>
      </w:r>
      <w:r w:rsidR="004C2D5E">
        <w:rPr>
          <w:sz w:val="20"/>
          <w:szCs w:val="20"/>
        </w:rPr>
        <w:t>, environmental and infrastructural factor</w:t>
      </w:r>
      <w:r w:rsidR="004C2D5E" w:rsidRPr="00E26E0A">
        <w:rPr>
          <w:sz w:val="20"/>
          <w:szCs w:val="20"/>
        </w:rPr>
        <w:t xml:space="preserve">s </w:t>
      </w:r>
      <w:r w:rsidR="004C2D5E">
        <w:rPr>
          <w:sz w:val="20"/>
          <w:szCs w:val="20"/>
        </w:rPr>
        <w:t xml:space="preserve">which explained 53.06% of the variance in the 13 constraining variable components. </w:t>
      </w:r>
      <w:r w:rsidR="0050237C" w:rsidRPr="0050237C">
        <w:rPr>
          <w:sz w:val="20"/>
          <w:szCs w:val="20"/>
        </w:rPr>
        <w:t xml:space="preserve">It was concluded that the </w:t>
      </w:r>
      <w:r w:rsidR="00124A83" w:rsidRPr="00124A83">
        <w:rPr>
          <w:sz w:val="20"/>
          <w:szCs w:val="20"/>
        </w:rPr>
        <w:t xml:space="preserve">arable crop farmers in </w:t>
      </w:r>
      <w:proofErr w:type="spellStart"/>
      <w:r w:rsidR="00124A83" w:rsidRPr="00124A83">
        <w:rPr>
          <w:sz w:val="20"/>
          <w:szCs w:val="20"/>
        </w:rPr>
        <w:t>Kwara</w:t>
      </w:r>
      <w:proofErr w:type="spellEnd"/>
      <w:r w:rsidR="00124A83" w:rsidRPr="00124A83">
        <w:rPr>
          <w:sz w:val="20"/>
          <w:szCs w:val="20"/>
        </w:rPr>
        <w:t xml:space="preserve"> State are faced with several production constraints </w:t>
      </w:r>
      <w:r w:rsidR="00124A83">
        <w:rPr>
          <w:sz w:val="20"/>
          <w:szCs w:val="20"/>
        </w:rPr>
        <w:t>which poses great threat to their productivity and this</w:t>
      </w:r>
      <w:r w:rsidR="00124A83" w:rsidRPr="00124A83">
        <w:rPr>
          <w:sz w:val="20"/>
          <w:szCs w:val="20"/>
        </w:rPr>
        <w:t xml:space="preserve"> calls for urgent intervention and remedy</w:t>
      </w:r>
      <w:r w:rsidR="0050237C" w:rsidRPr="0050237C">
        <w:rPr>
          <w:sz w:val="20"/>
          <w:szCs w:val="20"/>
        </w:rPr>
        <w:t>.</w:t>
      </w:r>
    </w:p>
    <w:p w:rsidR="002923D4" w:rsidRPr="0050237C" w:rsidRDefault="002923D4" w:rsidP="00124A83">
      <w:pPr>
        <w:spacing w:after="0" w:line="240" w:lineRule="auto"/>
        <w:rPr>
          <w:b/>
          <w:bCs/>
          <w:sz w:val="20"/>
          <w:szCs w:val="20"/>
        </w:rPr>
      </w:pPr>
    </w:p>
    <w:p w:rsidR="00B61DC0" w:rsidRPr="0050237C" w:rsidRDefault="00B61DC0" w:rsidP="00124A83">
      <w:pPr>
        <w:spacing w:after="0" w:line="240" w:lineRule="auto"/>
        <w:jc w:val="both"/>
        <w:rPr>
          <w:b/>
          <w:sz w:val="20"/>
          <w:szCs w:val="20"/>
        </w:rPr>
      </w:pPr>
      <w:r w:rsidRPr="0050237C">
        <w:rPr>
          <w:b/>
          <w:sz w:val="20"/>
          <w:szCs w:val="20"/>
        </w:rPr>
        <w:t>INTRODUCTION</w:t>
      </w:r>
    </w:p>
    <w:p w:rsidR="00247FD8" w:rsidRPr="007A7B02" w:rsidRDefault="00247FD8" w:rsidP="00247FD8">
      <w:pPr>
        <w:autoSpaceDE w:val="0"/>
        <w:autoSpaceDN w:val="0"/>
        <w:adjustRightInd w:val="0"/>
        <w:spacing w:after="0" w:line="240" w:lineRule="auto"/>
        <w:jc w:val="both"/>
        <w:rPr>
          <w:sz w:val="20"/>
          <w:szCs w:val="20"/>
        </w:rPr>
      </w:pPr>
      <w:r w:rsidRPr="007A7B02">
        <w:rPr>
          <w:sz w:val="20"/>
          <w:szCs w:val="20"/>
        </w:rPr>
        <w:t xml:space="preserve">Food crop production has remained a major component of all production activities in Nigeria agricultural sub-sector parading a large array of arable crops that include cassava, yam, maize, rice, sorghum, millet, cowpea, soybean, groundnut, sugarcane, potatoes, cocoyam, cotton, pineapple, banana, plantain among others. </w:t>
      </w:r>
      <w:proofErr w:type="spellStart"/>
      <w:r w:rsidRPr="007A7B02">
        <w:rPr>
          <w:sz w:val="20"/>
          <w:szCs w:val="20"/>
        </w:rPr>
        <w:t>Igwe</w:t>
      </w:r>
      <w:proofErr w:type="spellEnd"/>
      <w:r w:rsidRPr="007A7B02">
        <w:rPr>
          <w:sz w:val="20"/>
          <w:szCs w:val="20"/>
        </w:rPr>
        <w:t xml:space="preserve"> </w:t>
      </w:r>
      <w:r w:rsidRPr="007A7B02">
        <w:rPr>
          <w:i/>
          <w:sz w:val="20"/>
          <w:szCs w:val="20"/>
        </w:rPr>
        <w:t xml:space="preserve">et al. </w:t>
      </w:r>
      <w:r w:rsidRPr="007A7B02">
        <w:rPr>
          <w:sz w:val="20"/>
          <w:szCs w:val="20"/>
        </w:rPr>
        <w:t>(2011</w:t>
      </w:r>
      <w:r w:rsidR="00F45A64">
        <w:rPr>
          <w:sz w:val="20"/>
          <w:szCs w:val="20"/>
        </w:rPr>
        <w:t>, p.77</w:t>
      </w:r>
      <w:r w:rsidRPr="007A7B02">
        <w:rPr>
          <w:sz w:val="20"/>
          <w:szCs w:val="20"/>
        </w:rPr>
        <w:t xml:space="preserve">) stated that food crop farmers who engage majorly on arable crops constitute about 95% of the total food crop farming units in the country producing about 90% of the food output. </w:t>
      </w:r>
    </w:p>
    <w:p w:rsidR="00247FD8" w:rsidRPr="007A7B02" w:rsidRDefault="00247FD8" w:rsidP="00247FD8">
      <w:pPr>
        <w:spacing w:after="0" w:line="240" w:lineRule="auto"/>
        <w:jc w:val="both"/>
        <w:rPr>
          <w:sz w:val="20"/>
          <w:szCs w:val="20"/>
        </w:rPr>
      </w:pPr>
      <w:r w:rsidRPr="007A7B02">
        <w:rPr>
          <w:color w:val="000000"/>
          <w:sz w:val="20"/>
          <w:szCs w:val="20"/>
        </w:rPr>
        <w:t xml:space="preserve">Smallholder farmers are the drivers of many economies in the world as they play an important role in livelihoods creation amongst the rural poor. </w:t>
      </w:r>
      <w:r w:rsidRPr="007A7B02">
        <w:rPr>
          <w:sz w:val="20"/>
          <w:szCs w:val="20"/>
        </w:rPr>
        <w:t xml:space="preserve">These farmers are characterised with limited level of resources and are faced with the challenge of competing choices for allocating farm resources to obtain maximum yield. They were said to be resource poor and practiced small scale farming (0.1 – 2ha). Small scale farming is often </w:t>
      </w:r>
      <w:proofErr w:type="gramStart"/>
      <w:r w:rsidRPr="007A7B02">
        <w:rPr>
          <w:sz w:val="20"/>
          <w:szCs w:val="20"/>
        </w:rPr>
        <w:t>characterised</w:t>
      </w:r>
      <w:proofErr w:type="gramEnd"/>
      <w:r w:rsidRPr="007A7B02">
        <w:rPr>
          <w:sz w:val="20"/>
          <w:szCs w:val="20"/>
        </w:rPr>
        <w:t xml:space="preserve"> by small farm size, subsistence and low use of resources. </w:t>
      </w:r>
      <w:proofErr w:type="spellStart"/>
      <w:r w:rsidRPr="007A7B02">
        <w:rPr>
          <w:sz w:val="20"/>
          <w:szCs w:val="20"/>
        </w:rPr>
        <w:t>Arene</w:t>
      </w:r>
      <w:proofErr w:type="spellEnd"/>
      <w:r w:rsidRPr="007A7B02">
        <w:rPr>
          <w:sz w:val="20"/>
          <w:szCs w:val="20"/>
        </w:rPr>
        <w:t xml:space="preserve"> (2008</w:t>
      </w:r>
      <w:r w:rsidR="00F45A64">
        <w:rPr>
          <w:sz w:val="20"/>
          <w:szCs w:val="20"/>
        </w:rPr>
        <w:t>, p.103</w:t>
      </w:r>
      <w:r w:rsidRPr="007A7B02">
        <w:rPr>
          <w:sz w:val="20"/>
          <w:szCs w:val="20"/>
        </w:rPr>
        <w:t xml:space="preserve">) defined resource poor farmers in terms of land availability, estimated income per farmer, access to credit and capital. Generally, a lot of factors inhibit the smallholder farmers in a bid to produce food and fibres for domestic and industrial use in Nigeria and </w:t>
      </w:r>
      <w:proofErr w:type="spellStart"/>
      <w:r w:rsidRPr="007A7B02">
        <w:rPr>
          <w:sz w:val="20"/>
          <w:szCs w:val="20"/>
        </w:rPr>
        <w:t>Kwara</w:t>
      </w:r>
      <w:proofErr w:type="spellEnd"/>
      <w:r w:rsidRPr="007A7B02">
        <w:rPr>
          <w:sz w:val="20"/>
          <w:szCs w:val="20"/>
        </w:rPr>
        <w:t xml:space="preserve"> State in particular. Some of these factors could be socio-cultural, economic/financial, institutional, environmental or infrastructural among others. This study therefore attempted to analyse the production constraints of the smallholder arable crop farmers in </w:t>
      </w:r>
      <w:proofErr w:type="spellStart"/>
      <w:r w:rsidRPr="007A7B02">
        <w:rPr>
          <w:sz w:val="20"/>
          <w:szCs w:val="20"/>
        </w:rPr>
        <w:t>Kwara</w:t>
      </w:r>
      <w:proofErr w:type="spellEnd"/>
      <w:r w:rsidRPr="007A7B02">
        <w:rPr>
          <w:sz w:val="20"/>
          <w:szCs w:val="20"/>
        </w:rPr>
        <w:t xml:space="preserve"> State, Nigeria. It specifically described the socioeconomic </w:t>
      </w:r>
      <w:r w:rsidR="008529E6">
        <w:rPr>
          <w:sz w:val="20"/>
          <w:szCs w:val="20"/>
        </w:rPr>
        <w:t xml:space="preserve">characteristics of the farmers </w:t>
      </w:r>
      <w:r w:rsidRPr="007A7B02">
        <w:rPr>
          <w:sz w:val="20"/>
          <w:szCs w:val="20"/>
        </w:rPr>
        <w:t xml:space="preserve">and described the constraints to arable crop production among the smallholder farmers in </w:t>
      </w:r>
      <w:proofErr w:type="spellStart"/>
      <w:r w:rsidRPr="007A7B02">
        <w:rPr>
          <w:sz w:val="20"/>
          <w:szCs w:val="20"/>
        </w:rPr>
        <w:t>Kwara</w:t>
      </w:r>
      <w:proofErr w:type="spellEnd"/>
      <w:r w:rsidRPr="007A7B02">
        <w:rPr>
          <w:sz w:val="20"/>
          <w:szCs w:val="20"/>
        </w:rPr>
        <w:t xml:space="preserve"> State. </w:t>
      </w:r>
    </w:p>
    <w:p w:rsidR="00247FD8" w:rsidRPr="007A7B02" w:rsidRDefault="00247FD8" w:rsidP="00247FD8">
      <w:pPr>
        <w:spacing w:after="0" w:line="240" w:lineRule="auto"/>
        <w:jc w:val="both"/>
        <w:rPr>
          <w:sz w:val="20"/>
          <w:szCs w:val="20"/>
        </w:rPr>
      </w:pPr>
      <w:r w:rsidRPr="007A7B02">
        <w:rPr>
          <w:sz w:val="20"/>
          <w:szCs w:val="20"/>
        </w:rPr>
        <w:t>The output of this study is expected to reveal areas of policy interventions that might help allev</w:t>
      </w:r>
      <w:r>
        <w:rPr>
          <w:sz w:val="20"/>
          <w:szCs w:val="20"/>
        </w:rPr>
        <w:t>iate the smallholder</w:t>
      </w:r>
      <w:r w:rsidRPr="007A7B02">
        <w:rPr>
          <w:sz w:val="20"/>
          <w:szCs w:val="20"/>
        </w:rPr>
        <w:t xml:space="preserve"> farmers’ production constraints. Therefore, agricultural project administrators, policy makers, extension agents and researchers both in the public and private sectors will find the outcome of this study beneficial to their work.</w:t>
      </w:r>
    </w:p>
    <w:p w:rsidR="002923D4" w:rsidRPr="0050237C" w:rsidRDefault="002923D4" w:rsidP="00124A83">
      <w:pPr>
        <w:autoSpaceDE w:val="0"/>
        <w:autoSpaceDN w:val="0"/>
        <w:adjustRightInd w:val="0"/>
        <w:spacing w:after="0" w:line="240" w:lineRule="auto"/>
        <w:jc w:val="both"/>
        <w:rPr>
          <w:b/>
          <w:bCs/>
          <w:sz w:val="20"/>
          <w:szCs w:val="20"/>
        </w:rPr>
      </w:pPr>
    </w:p>
    <w:p w:rsidR="00E16C55" w:rsidRPr="0050237C" w:rsidRDefault="00E16C55" w:rsidP="00124A83">
      <w:pPr>
        <w:autoSpaceDE w:val="0"/>
        <w:autoSpaceDN w:val="0"/>
        <w:adjustRightInd w:val="0"/>
        <w:spacing w:after="0" w:line="240" w:lineRule="auto"/>
        <w:jc w:val="both"/>
        <w:rPr>
          <w:b/>
          <w:bCs/>
          <w:sz w:val="20"/>
          <w:szCs w:val="20"/>
        </w:rPr>
      </w:pPr>
      <w:r w:rsidRPr="0050237C">
        <w:rPr>
          <w:b/>
          <w:bCs/>
          <w:sz w:val="20"/>
          <w:szCs w:val="20"/>
        </w:rPr>
        <w:t>METHODOLOGY</w:t>
      </w:r>
    </w:p>
    <w:p w:rsidR="0016359E" w:rsidRPr="000E4AB7" w:rsidRDefault="0016359E" w:rsidP="00124A83">
      <w:pPr>
        <w:autoSpaceDE w:val="0"/>
        <w:autoSpaceDN w:val="0"/>
        <w:adjustRightInd w:val="0"/>
        <w:spacing w:after="0" w:line="240" w:lineRule="auto"/>
        <w:jc w:val="both"/>
        <w:rPr>
          <w:sz w:val="20"/>
          <w:szCs w:val="20"/>
        </w:rPr>
      </w:pPr>
      <w:r w:rsidRPr="000E4AB7">
        <w:rPr>
          <w:sz w:val="20"/>
          <w:szCs w:val="20"/>
        </w:rPr>
        <w:t xml:space="preserve">The study was conducted in </w:t>
      </w:r>
      <w:proofErr w:type="spellStart"/>
      <w:r w:rsidRPr="000E4AB7">
        <w:rPr>
          <w:sz w:val="20"/>
          <w:szCs w:val="20"/>
        </w:rPr>
        <w:t>Kwara</w:t>
      </w:r>
      <w:proofErr w:type="spellEnd"/>
      <w:r w:rsidRPr="000E4AB7">
        <w:rPr>
          <w:sz w:val="20"/>
          <w:szCs w:val="20"/>
        </w:rPr>
        <w:t xml:space="preserve"> State, Nigeria. </w:t>
      </w:r>
      <w:proofErr w:type="spellStart"/>
      <w:r w:rsidRPr="000E4AB7">
        <w:rPr>
          <w:sz w:val="20"/>
          <w:szCs w:val="20"/>
        </w:rPr>
        <w:t>Kwara</w:t>
      </w:r>
      <w:proofErr w:type="spellEnd"/>
      <w:r w:rsidRPr="000E4AB7">
        <w:rPr>
          <w:sz w:val="20"/>
          <w:szCs w:val="20"/>
        </w:rPr>
        <w:t xml:space="preserve"> State is located in North Central Nigeria between Latitudes 7°45ʹN to 9°30ʹN and Longitudes 2°30ʹE to 6°25ʹE</w:t>
      </w:r>
      <w:r w:rsidR="00124A83">
        <w:rPr>
          <w:sz w:val="20"/>
          <w:szCs w:val="20"/>
        </w:rPr>
        <w:t>.</w:t>
      </w:r>
      <w:r w:rsidR="00F45A64">
        <w:rPr>
          <w:sz w:val="20"/>
          <w:szCs w:val="20"/>
        </w:rPr>
        <w:t xml:space="preserve"> </w:t>
      </w:r>
      <w:r w:rsidRPr="000E4AB7">
        <w:rPr>
          <w:sz w:val="20"/>
          <w:szCs w:val="20"/>
        </w:rPr>
        <w:t>The mean annual rainfall ranges between 1000mm and 1500mm. The State has a total population of 2,371,089 persons (</w:t>
      </w:r>
      <w:proofErr w:type="spellStart"/>
      <w:r w:rsidRPr="000E4AB7">
        <w:rPr>
          <w:sz w:val="20"/>
          <w:szCs w:val="20"/>
        </w:rPr>
        <w:t>Kwara</w:t>
      </w:r>
      <w:proofErr w:type="spellEnd"/>
      <w:r w:rsidRPr="000E4AB7">
        <w:rPr>
          <w:sz w:val="20"/>
          <w:szCs w:val="20"/>
        </w:rPr>
        <w:t xml:space="preserve"> State Planning Commission (KWSPC), 2007) and </w:t>
      </w:r>
      <w:r w:rsidR="00124A83">
        <w:rPr>
          <w:sz w:val="20"/>
          <w:szCs w:val="20"/>
        </w:rPr>
        <w:t xml:space="preserve">a projected </w:t>
      </w:r>
      <w:r w:rsidRPr="000E4AB7">
        <w:rPr>
          <w:sz w:val="20"/>
          <w:szCs w:val="20"/>
        </w:rPr>
        <w:t xml:space="preserve">population </w:t>
      </w:r>
      <w:r w:rsidR="00124A83">
        <w:rPr>
          <w:sz w:val="20"/>
          <w:szCs w:val="20"/>
        </w:rPr>
        <w:t xml:space="preserve">of </w:t>
      </w:r>
      <w:r w:rsidRPr="000E4AB7">
        <w:rPr>
          <w:sz w:val="20"/>
          <w:szCs w:val="20"/>
        </w:rPr>
        <w:t>3,212,714 as at 2017. The State has a total land area of 32,500 square kilometres, 75.3% of which is cultivable (</w:t>
      </w:r>
      <w:proofErr w:type="spellStart"/>
      <w:r w:rsidRPr="000E4AB7">
        <w:rPr>
          <w:sz w:val="20"/>
          <w:szCs w:val="20"/>
        </w:rPr>
        <w:t>Kwara</w:t>
      </w:r>
      <w:proofErr w:type="spellEnd"/>
      <w:r w:rsidRPr="000E4AB7">
        <w:rPr>
          <w:sz w:val="20"/>
          <w:szCs w:val="20"/>
        </w:rPr>
        <w:t xml:space="preserve"> State Ministry of Agriculture and Natural Resources (KWSMANR), 2010). The average temperature ranges between 30°C and 35°C. The topography of the State which is mainly plain to slightly gentle rolling lands and the climatic condition favours the cul</w:t>
      </w:r>
      <w:r w:rsidR="00124A83">
        <w:rPr>
          <w:sz w:val="20"/>
          <w:szCs w:val="20"/>
        </w:rPr>
        <w:t>tivation of various arable crops</w:t>
      </w:r>
      <w:r w:rsidRPr="000E4AB7">
        <w:rPr>
          <w:sz w:val="20"/>
          <w:szCs w:val="20"/>
        </w:rPr>
        <w:t>.</w:t>
      </w:r>
      <w:r>
        <w:rPr>
          <w:sz w:val="20"/>
          <w:szCs w:val="20"/>
        </w:rPr>
        <w:t xml:space="preserve"> </w:t>
      </w:r>
      <w:r w:rsidRPr="000E4AB7">
        <w:rPr>
          <w:sz w:val="20"/>
          <w:szCs w:val="20"/>
        </w:rPr>
        <w:t xml:space="preserve">The major tribes in the State are Yoruba, </w:t>
      </w:r>
      <w:proofErr w:type="spellStart"/>
      <w:r w:rsidRPr="000E4AB7">
        <w:rPr>
          <w:sz w:val="20"/>
          <w:szCs w:val="20"/>
        </w:rPr>
        <w:t>Nupe</w:t>
      </w:r>
      <w:proofErr w:type="spellEnd"/>
      <w:r w:rsidRPr="000E4AB7">
        <w:rPr>
          <w:sz w:val="20"/>
          <w:szCs w:val="20"/>
        </w:rPr>
        <w:t xml:space="preserve"> and </w:t>
      </w:r>
      <w:proofErr w:type="spellStart"/>
      <w:r w:rsidRPr="000E4AB7">
        <w:rPr>
          <w:sz w:val="20"/>
          <w:szCs w:val="20"/>
        </w:rPr>
        <w:t>Baruba</w:t>
      </w:r>
      <w:proofErr w:type="spellEnd"/>
      <w:r w:rsidRPr="000E4AB7">
        <w:rPr>
          <w:sz w:val="20"/>
          <w:szCs w:val="20"/>
        </w:rPr>
        <w:t xml:space="preserve">. Other tribes present include Fulani, Igbo and Hausa. </w:t>
      </w:r>
    </w:p>
    <w:p w:rsidR="0016359E" w:rsidRPr="000E4AB7" w:rsidRDefault="0016359E" w:rsidP="004C2D5E">
      <w:pPr>
        <w:pStyle w:val="ListParagraph"/>
        <w:spacing w:after="120" w:line="240" w:lineRule="auto"/>
        <w:ind w:left="0"/>
        <w:contextualSpacing w:val="0"/>
        <w:jc w:val="both"/>
        <w:rPr>
          <w:sz w:val="20"/>
          <w:szCs w:val="20"/>
        </w:rPr>
      </w:pPr>
      <w:r w:rsidRPr="000E4AB7">
        <w:rPr>
          <w:sz w:val="20"/>
          <w:szCs w:val="20"/>
        </w:rPr>
        <w:t xml:space="preserve">A multi-stage sampling procedure was employed for this study. All smallholder arable crop farmers in the State constituted the population of study. A total of 261 farmers were sampled for the study. </w:t>
      </w:r>
    </w:p>
    <w:p w:rsidR="0016359E" w:rsidRPr="000E4AB7" w:rsidRDefault="0016359E" w:rsidP="00124A83">
      <w:pPr>
        <w:pStyle w:val="ListParagraph"/>
        <w:spacing w:after="0" w:line="240" w:lineRule="auto"/>
        <w:ind w:left="0"/>
        <w:contextualSpacing w:val="0"/>
        <w:jc w:val="both"/>
        <w:rPr>
          <w:sz w:val="20"/>
          <w:szCs w:val="20"/>
        </w:rPr>
      </w:pPr>
      <w:r w:rsidRPr="000E4AB7">
        <w:rPr>
          <w:sz w:val="20"/>
          <w:szCs w:val="20"/>
        </w:rPr>
        <w:t xml:space="preserve">Primary data were used for this study. The data were collected from the farmers with the aid of a structured questionnaire that was complemented with interview schedules. Resident extension agents and enumerators were trained to assist during the data collection process. </w:t>
      </w:r>
    </w:p>
    <w:p w:rsidR="0016359E" w:rsidRPr="000E4AB7" w:rsidRDefault="0016359E" w:rsidP="0016359E">
      <w:pPr>
        <w:spacing w:after="0"/>
        <w:jc w:val="both"/>
        <w:rPr>
          <w:sz w:val="20"/>
          <w:szCs w:val="20"/>
        </w:rPr>
      </w:pPr>
      <w:r w:rsidRPr="000E4AB7">
        <w:rPr>
          <w:sz w:val="20"/>
          <w:szCs w:val="20"/>
        </w:rPr>
        <w:lastRenderedPageBreak/>
        <w:t xml:space="preserve">Data analysis involved the use of descriptive statistics and principal component model. Factor analysis of the smallholder farmers’ constraints was done with the principal factor model. The constraints were grouped using principal factor method with </w:t>
      </w:r>
      <w:proofErr w:type="spellStart"/>
      <w:r w:rsidRPr="000E4AB7">
        <w:rPr>
          <w:sz w:val="20"/>
          <w:szCs w:val="20"/>
        </w:rPr>
        <w:t>varimax</w:t>
      </w:r>
      <w:proofErr w:type="spellEnd"/>
      <w:r w:rsidRPr="000E4AB7">
        <w:rPr>
          <w:sz w:val="20"/>
          <w:szCs w:val="20"/>
        </w:rPr>
        <w:t xml:space="preserve"> orthogonal rotation method of Kaiser (1958, Pp.187-200). Mo</w:t>
      </w:r>
      <w:r w:rsidR="00124A83">
        <w:rPr>
          <w:sz w:val="20"/>
          <w:szCs w:val="20"/>
        </w:rPr>
        <w:t>del acceptance was based on two</w:t>
      </w:r>
      <w:r w:rsidRPr="000E4AB7">
        <w:rPr>
          <w:sz w:val="20"/>
          <w:szCs w:val="20"/>
        </w:rPr>
        <w:t xml:space="preserve"> criteria: each variable, in order to be included in the variable cluster of a factor, must load </w:t>
      </w:r>
      <w:r w:rsidR="00124A83">
        <w:rPr>
          <w:sz w:val="20"/>
          <w:szCs w:val="20"/>
        </w:rPr>
        <w:t xml:space="preserve">to it more than 0.4 </w:t>
      </w:r>
      <w:r w:rsidRPr="000E4AB7">
        <w:rPr>
          <w:sz w:val="20"/>
          <w:szCs w:val="20"/>
        </w:rPr>
        <w:t xml:space="preserve">and variables that load in more than one factor were discarded following </w:t>
      </w:r>
      <w:proofErr w:type="spellStart"/>
      <w:r w:rsidRPr="000E4AB7">
        <w:rPr>
          <w:sz w:val="20"/>
          <w:szCs w:val="20"/>
        </w:rPr>
        <w:t>Sallawu</w:t>
      </w:r>
      <w:proofErr w:type="spellEnd"/>
      <w:r w:rsidRPr="000E4AB7">
        <w:rPr>
          <w:sz w:val="20"/>
          <w:szCs w:val="20"/>
        </w:rPr>
        <w:t xml:space="preserve"> </w:t>
      </w:r>
      <w:r w:rsidRPr="000E4AB7">
        <w:rPr>
          <w:i/>
          <w:sz w:val="20"/>
          <w:szCs w:val="20"/>
        </w:rPr>
        <w:t xml:space="preserve">et al. </w:t>
      </w:r>
      <w:r w:rsidRPr="000E4AB7">
        <w:rPr>
          <w:sz w:val="20"/>
          <w:szCs w:val="20"/>
        </w:rPr>
        <w:t>(2019, p.81). The model is presented as:</w:t>
      </w:r>
    </w:p>
    <w:p w:rsidR="0016359E" w:rsidRPr="000E4AB7" w:rsidRDefault="00A9777A" w:rsidP="0016359E">
      <w:pPr>
        <w:spacing w:after="0"/>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Y</m:t>
              </m:r>
            </m:e>
            <m:sub>
              <m:r>
                <w:rPr>
                  <w:rFonts w:ascii="Cambria Math"/>
                  <w:sz w:val="20"/>
                  <w:szCs w:val="20"/>
                </w:rPr>
                <m:t>1</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11</m:t>
              </m:r>
            </m:sub>
          </m:sSub>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1</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12</m:t>
              </m:r>
            </m:sub>
          </m:sSub>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2</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13</m:t>
              </m:r>
            </m:sub>
          </m:sSub>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3</m:t>
              </m:r>
            </m:sub>
          </m:sSub>
          <m:r>
            <w:rPr>
              <w:rFonts w:ascii="Cambria Math"/>
              <w:sz w:val="20"/>
              <w:szCs w:val="20"/>
            </w:rPr>
            <m:t>+</m:t>
          </m:r>
          <m:r>
            <w:rPr>
              <w:rFonts w:hAnsi="Cambria Math"/>
              <w:sz w:val="20"/>
              <w:szCs w:val="20"/>
            </w:rPr>
            <m:t>***</m:t>
          </m:r>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1</m:t>
              </m:r>
              <m:r>
                <w:rPr>
                  <w:rFonts w:ascii="Cambria Math" w:hAnsi="Cambria Math"/>
                  <w:sz w:val="20"/>
                  <w:szCs w:val="20"/>
                </w:rPr>
                <m:t>n</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oMath>
      </m:oMathPara>
    </w:p>
    <w:p w:rsidR="0016359E" w:rsidRPr="000E4AB7" w:rsidRDefault="00A9777A" w:rsidP="0016359E">
      <w:pPr>
        <w:spacing w:after="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Y</m:t>
              </m:r>
            </m:e>
            <m:sub>
              <m:r>
                <w:rPr>
                  <w:rFonts w:ascii="Cambria Math"/>
                  <w:sz w:val="20"/>
                  <w:szCs w:val="20"/>
                </w:rPr>
                <m:t>2</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21</m:t>
              </m:r>
            </m:sub>
          </m:sSub>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1</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22</m:t>
              </m:r>
            </m:sub>
          </m:sSub>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2</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23</m:t>
              </m:r>
            </m:sub>
          </m:sSub>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3</m:t>
              </m:r>
            </m:sub>
          </m:sSub>
          <m:r>
            <w:rPr>
              <w:rFonts w:ascii="Cambria Math"/>
              <w:sz w:val="20"/>
              <w:szCs w:val="20"/>
            </w:rPr>
            <m:t>+</m:t>
          </m:r>
          <m:r>
            <w:rPr>
              <w:rFonts w:hAnsi="Cambria Math"/>
              <w:sz w:val="20"/>
              <w:szCs w:val="20"/>
            </w:rPr>
            <m:t>***</m:t>
          </m:r>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2</m:t>
              </m:r>
              <m:r>
                <w:rPr>
                  <w:rFonts w:ascii="Cambria Math" w:hAnsi="Cambria Math"/>
                  <w:sz w:val="20"/>
                  <w:szCs w:val="20"/>
                </w:rPr>
                <m:t>n</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oMath>
      </m:oMathPara>
    </w:p>
    <w:p w:rsidR="0016359E" w:rsidRPr="000E4AB7" w:rsidRDefault="0016359E" w:rsidP="0016359E">
      <w:pPr>
        <w:spacing w:after="0"/>
        <w:rPr>
          <w:sz w:val="20"/>
          <w:szCs w:val="20"/>
        </w:rPr>
      </w:pPr>
      <w:r w:rsidRPr="000E4AB7">
        <w:rPr>
          <w:rFonts w:eastAsiaTheme="minorEastAsia"/>
          <w:sz w:val="20"/>
          <w:szCs w:val="20"/>
        </w:rPr>
        <w:t>*</w:t>
      </w:r>
      <w:r w:rsidRPr="000E4AB7">
        <w:rPr>
          <w:rFonts w:eastAsiaTheme="minorEastAsia"/>
          <w:sz w:val="20"/>
          <w:szCs w:val="20"/>
        </w:rPr>
        <w:tab/>
        <w:t>*</w:t>
      </w:r>
      <w:r w:rsidRPr="000E4AB7">
        <w:rPr>
          <w:rFonts w:eastAsiaTheme="minorEastAsia"/>
          <w:sz w:val="20"/>
          <w:szCs w:val="20"/>
        </w:rPr>
        <w:tab/>
        <w:t>*</w:t>
      </w:r>
      <w:r w:rsidRPr="000E4AB7">
        <w:rPr>
          <w:rFonts w:eastAsiaTheme="minorEastAsia"/>
          <w:sz w:val="20"/>
          <w:szCs w:val="20"/>
        </w:rPr>
        <w:tab/>
        <w:t>*</w:t>
      </w:r>
      <w:r w:rsidRPr="000E4AB7">
        <w:rPr>
          <w:rFonts w:eastAsiaTheme="minorEastAsia"/>
          <w:sz w:val="20"/>
          <w:szCs w:val="20"/>
        </w:rPr>
        <w:tab/>
        <w:t xml:space="preserve">        *</w:t>
      </w:r>
    </w:p>
    <w:p w:rsidR="0016359E" w:rsidRPr="000E4AB7" w:rsidRDefault="0016359E" w:rsidP="0016359E">
      <w:pPr>
        <w:spacing w:after="0"/>
        <w:rPr>
          <w:sz w:val="20"/>
          <w:szCs w:val="20"/>
        </w:rPr>
      </w:pPr>
      <w:r w:rsidRPr="000E4AB7">
        <w:rPr>
          <w:rFonts w:eastAsiaTheme="minorEastAsia"/>
          <w:sz w:val="20"/>
          <w:szCs w:val="20"/>
        </w:rPr>
        <w:t>*</w:t>
      </w:r>
      <w:r w:rsidRPr="000E4AB7">
        <w:rPr>
          <w:rFonts w:eastAsiaTheme="minorEastAsia"/>
          <w:sz w:val="20"/>
          <w:szCs w:val="20"/>
        </w:rPr>
        <w:tab/>
        <w:t>*</w:t>
      </w:r>
      <w:r w:rsidRPr="000E4AB7">
        <w:rPr>
          <w:rFonts w:eastAsiaTheme="minorEastAsia"/>
          <w:sz w:val="20"/>
          <w:szCs w:val="20"/>
        </w:rPr>
        <w:tab/>
        <w:t>*</w:t>
      </w:r>
      <w:r w:rsidRPr="000E4AB7">
        <w:rPr>
          <w:rFonts w:eastAsiaTheme="minorEastAsia"/>
          <w:sz w:val="20"/>
          <w:szCs w:val="20"/>
        </w:rPr>
        <w:tab/>
        <w:t>*</w:t>
      </w:r>
      <w:r w:rsidRPr="000E4AB7">
        <w:rPr>
          <w:rFonts w:eastAsiaTheme="minorEastAsia"/>
          <w:sz w:val="20"/>
          <w:szCs w:val="20"/>
        </w:rPr>
        <w:tab/>
        <w:t xml:space="preserve">        *</w:t>
      </w:r>
    </w:p>
    <w:p w:rsidR="0016359E" w:rsidRPr="000E4AB7" w:rsidRDefault="00A9777A" w:rsidP="0016359E">
      <w:pPr>
        <w:spacing w:after="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n</m:t>
              </m:r>
              <m:r>
                <w:rPr>
                  <w:rFonts w:asci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1</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n</m:t>
              </m:r>
              <m:r>
                <w:rPr>
                  <w:rFonts w:ascii="Cambria Math"/>
                  <w:sz w:val="20"/>
                  <w:szCs w:val="20"/>
                </w:rPr>
                <m:t>2</m:t>
              </m:r>
            </m:sub>
          </m:sSub>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2</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n</m:t>
              </m:r>
              <m:r>
                <w:rPr>
                  <w:rFonts w:ascii="Cambria Math"/>
                  <w:sz w:val="20"/>
                  <w:szCs w:val="20"/>
                </w:rPr>
                <m:t>3</m:t>
              </m:r>
            </m:sub>
          </m:sSub>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3</m:t>
              </m:r>
            </m:sub>
          </m:sSub>
          <m:r>
            <w:rPr>
              <w:rFonts w:ascii="Cambria Math"/>
              <w:sz w:val="20"/>
              <w:szCs w:val="20"/>
            </w:rPr>
            <m:t>+</m:t>
          </m:r>
          <m:r>
            <w:rPr>
              <w:rFonts w:hAnsi="Cambria Math"/>
              <w:sz w:val="20"/>
              <w:szCs w:val="20"/>
            </w:rPr>
            <m:t>***</m:t>
          </m:r>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nm</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oMath>
      </m:oMathPara>
    </w:p>
    <w:p w:rsidR="0016359E" w:rsidRPr="000E4AB7" w:rsidRDefault="0016359E" w:rsidP="0016359E">
      <w:pPr>
        <w:pStyle w:val="Default"/>
        <w:rPr>
          <w:sz w:val="20"/>
          <w:szCs w:val="20"/>
        </w:rPr>
      </w:pPr>
      <w:r w:rsidRPr="000E4AB7">
        <w:rPr>
          <w:sz w:val="20"/>
          <w:szCs w:val="20"/>
        </w:rPr>
        <w:t xml:space="preserve">Where: </w:t>
      </w:r>
    </w:p>
    <w:p w:rsidR="0016359E" w:rsidRPr="000E4AB7" w:rsidRDefault="00A9777A" w:rsidP="0016359E">
      <w:pPr>
        <w:pStyle w:val="Default"/>
        <w:rPr>
          <w:sz w:val="20"/>
          <w:szCs w:val="20"/>
        </w:rPr>
      </w:pPr>
      <m:oMath>
        <m:sSub>
          <m:sSubPr>
            <m:ctrlPr>
              <w:rPr>
                <w:rFonts w:ascii="Cambria Math" w:eastAsiaTheme="minorHAnsi" w:hAnsi="Cambria Math"/>
                <w:i/>
                <w:color w:val="auto"/>
                <w:sz w:val="20"/>
                <w:szCs w:val="20"/>
                <w:lang w:val="en-GB"/>
              </w:rPr>
            </m:ctrlPr>
          </m:sSubPr>
          <m:e>
            <m:r>
              <w:rPr>
                <w:rFonts w:ascii="Cambria Math" w:hAnsi="Cambria Math"/>
                <w:sz w:val="20"/>
                <w:szCs w:val="20"/>
              </w:rPr>
              <m:t>Y</m:t>
            </m:r>
          </m:e>
          <m:sub>
            <m:r>
              <w:rPr>
                <w:rFonts w:ascii="Cambria Math"/>
                <w:sz w:val="20"/>
                <w:szCs w:val="20"/>
              </w:rPr>
              <m:t>1</m:t>
            </m:r>
          </m:sub>
        </m:sSub>
      </m:oMath>
      <w:proofErr w:type="gramStart"/>
      <w:r w:rsidR="0016359E" w:rsidRPr="000E4AB7">
        <w:rPr>
          <w:sz w:val="20"/>
          <w:szCs w:val="20"/>
        </w:rPr>
        <w:t xml:space="preserve">,  </w:t>
      </w:r>
      <m:oMath>
        <w:proofErr w:type="gramEnd"/>
        <m:sSub>
          <m:sSubPr>
            <m:ctrlPr>
              <w:rPr>
                <w:rFonts w:ascii="Cambria Math" w:eastAsiaTheme="minorHAnsi" w:hAnsi="Cambria Math"/>
                <w:i/>
                <w:color w:val="auto"/>
                <w:sz w:val="20"/>
                <w:szCs w:val="20"/>
                <w:lang w:val="en-GB"/>
              </w:rPr>
            </m:ctrlPr>
          </m:sSubPr>
          <m:e>
            <m:r>
              <w:rPr>
                <w:rFonts w:ascii="Cambria Math" w:hAnsi="Cambria Math"/>
                <w:sz w:val="20"/>
                <w:szCs w:val="20"/>
              </w:rPr>
              <m:t>Y</m:t>
            </m:r>
          </m:e>
          <m:sub>
            <m:r>
              <w:rPr>
                <w:rFonts w:ascii="Cambria Math"/>
                <w:sz w:val="20"/>
                <w:szCs w:val="20"/>
              </w:rPr>
              <m:t>2</m:t>
            </m:r>
          </m:sub>
        </m:sSub>
      </m:oMath>
      <w:r w:rsidR="0016359E" w:rsidRPr="000E4AB7">
        <w:rPr>
          <w:sz w:val="20"/>
          <w:szCs w:val="20"/>
        </w:rPr>
        <w:t>, ……</w:t>
      </w:r>
      <w:r w:rsidR="0016359E" w:rsidRPr="000E4AB7">
        <w:rPr>
          <w:rFonts w:eastAsiaTheme="minorEastAsia"/>
          <w:sz w:val="20"/>
          <w:szCs w:val="20"/>
        </w:rPr>
        <w:t>,</w:t>
      </w:r>
      <m:oMath>
        <m:sSub>
          <m:sSubPr>
            <m:ctrlPr>
              <w:rPr>
                <w:rFonts w:ascii="Cambria Math" w:eastAsiaTheme="minorHAnsi" w:hAnsi="Cambria Math"/>
                <w:i/>
                <w:color w:val="auto"/>
                <w:sz w:val="20"/>
                <w:szCs w:val="20"/>
                <w:lang w:val="en-GB"/>
              </w:rPr>
            </m:ctrlPr>
          </m:sSubPr>
          <m:e>
            <m:r>
              <w:rPr>
                <w:rFonts w:ascii="Cambria Math" w:hAnsi="Cambria Math"/>
                <w:sz w:val="20"/>
                <w:szCs w:val="20"/>
              </w:rPr>
              <m:t>Y</m:t>
            </m:r>
          </m:e>
          <m:sub>
            <m:r>
              <w:rPr>
                <w:rFonts w:ascii="Cambria Math" w:hAnsi="Cambria Math"/>
                <w:sz w:val="20"/>
                <w:szCs w:val="20"/>
              </w:rPr>
              <m:t>n</m:t>
            </m:r>
          </m:sub>
        </m:sSub>
      </m:oMath>
      <w:r w:rsidR="0016359E" w:rsidRPr="000E4AB7">
        <w:rPr>
          <w:sz w:val="20"/>
          <w:szCs w:val="20"/>
        </w:rPr>
        <w:t xml:space="preserve"> = Observed variables/constraints to arable crop production; </w:t>
      </w:r>
    </w:p>
    <w:p w:rsidR="0016359E" w:rsidRPr="000E4AB7" w:rsidRDefault="00A9777A" w:rsidP="0016359E">
      <w:pPr>
        <w:pStyle w:val="Default"/>
        <w:rPr>
          <w:sz w:val="20"/>
          <w:szCs w:val="20"/>
        </w:rPr>
      </w:pPr>
      <m:oMath>
        <m:sSub>
          <m:sSubPr>
            <m:ctrlPr>
              <w:rPr>
                <w:rFonts w:ascii="Cambria Math" w:eastAsiaTheme="minorHAnsi" w:hAnsi="Cambria Math"/>
                <w:i/>
                <w:color w:val="auto"/>
                <w:sz w:val="20"/>
                <w:szCs w:val="20"/>
                <w:lang w:val="en-GB"/>
              </w:rPr>
            </m:ctrlPr>
          </m:sSubPr>
          <m:e>
            <m:r>
              <w:rPr>
                <w:rFonts w:ascii="Cambria Math" w:hAnsi="Cambria Math"/>
                <w:sz w:val="20"/>
                <w:szCs w:val="20"/>
              </w:rPr>
              <m:t>a</m:t>
            </m:r>
          </m:e>
          <m:sub>
            <m:r>
              <w:rPr>
                <w:rFonts w:ascii="Cambria Math"/>
                <w:sz w:val="20"/>
                <w:szCs w:val="20"/>
              </w:rPr>
              <m:t>1</m:t>
            </m:r>
          </m:sub>
        </m:sSub>
        <m:r>
          <w:rPr>
            <w:color w:val="auto"/>
            <w:sz w:val="20"/>
            <w:szCs w:val="20"/>
            <w:lang w:val="en-GB"/>
          </w:rPr>
          <m:t>-</m:t>
        </m:r>
        <m:r>
          <w:rPr>
            <w:rFonts w:ascii="Cambria Math"/>
            <w:color w:val="auto"/>
            <w:sz w:val="20"/>
            <w:szCs w:val="20"/>
            <w:lang w:val="en-GB"/>
          </w:rPr>
          <m:t xml:space="preserve"> </m:t>
        </m:r>
        <m:sSub>
          <m:sSubPr>
            <m:ctrlPr>
              <w:rPr>
                <w:rFonts w:ascii="Cambria Math" w:eastAsiaTheme="minorHAnsi" w:hAnsi="Cambria Math"/>
                <w:i/>
                <w:color w:val="auto"/>
                <w:sz w:val="20"/>
                <w:szCs w:val="20"/>
                <w:lang w:val="en-GB"/>
              </w:rPr>
            </m:ctrlPr>
          </m:sSubPr>
          <m:e>
            <m:r>
              <w:rPr>
                <w:rFonts w:ascii="Cambria Math" w:hAnsi="Cambria Math"/>
                <w:sz w:val="20"/>
                <w:szCs w:val="20"/>
              </w:rPr>
              <m:t>a</m:t>
            </m:r>
          </m:e>
          <m:sub>
            <m:r>
              <w:rPr>
                <w:rFonts w:ascii="Cambria Math" w:hAnsi="Cambria Math"/>
                <w:sz w:val="20"/>
                <w:szCs w:val="20"/>
              </w:rPr>
              <m:t>n</m:t>
            </m:r>
          </m:sub>
        </m:sSub>
      </m:oMath>
      <w:r w:rsidR="0016359E" w:rsidRPr="000E4AB7">
        <w:rPr>
          <w:sz w:val="20"/>
          <w:szCs w:val="20"/>
        </w:rPr>
        <w:t xml:space="preserve"> = Constraint loading or correlation coefficients; </w:t>
      </w:r>
    </w:p>
    <w:p w:rsidR="0016359E" w:rsidRPr="000E4AB7" w:rsidRDefault="00A9777A" w:rsidP="004C2D5E">
      <w:pPr>
        <w:spacing w:after="120" w:line="240" w:lineRule="auto"/>
        <w:rPr>
          <w:sz w:val="20"/>
          <w:szCs w:val="20"/>
        </w:rPr>
      </w:pPr>
      <m:oMath>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1</m:t>
            </m:r>
          </m:sub>
        </m:sSub>
      </m:oMath>
      <w:proofErr w:type="gramStart"/>
      <w:r w:rsidR="0016359E" w:rsidRPr="000E4AB7">
        <w:rPr>
          <w:sz w:val="20"/>
          <w:szCs w:val="20"/>
        </w:rPr>
        <w:t xml:space="preserve">,  </w:t>
      </w:r>
      <m:oMath>
        <w:proofErr w:type="gramEnd"/>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2</m:t>
            </m:r>
          </m:sub>
        </m:sSub>
      </m:oMath>
      <w:r w:rsidR="0016359E" w:rsidRPr="000E4AB7">
        <w:rPr>
          <w:sz w:val="20"/>
          <w:szCs w:val="20"/>
        </w:rPr>
        <w:t>, ……</w:t>
      </w:r>
      <w:r w:rsidR="0016359E" w:rsidRPr="000E4AB7">
        <w:rPr>
          <w:rFonts w:eastAsiaTheme="minorEastAsia"/>
          <w:sz w:val="20"/>
          <w:szCs w:val="20"/>
        </w:rPr>
        <w:t>,</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oMath>
      <w:r w:rsidR="0016359E" w:rsidRPr="000E4AB7">
        <w:rPr>
          <w:sz w:val="20"/>
          <w:szCs w:val="20"/>
        </w:rPr>
        <w:t xml:space="preserve"> = Unobserved underlying factors constraining farmers in arable crop production.</w:t>
      </w:r>
    </w:p>
    <w:p w:rsidR="0016359E" w:rsidRPr="000E4AB7" w:rsidRDefault="0016359E" w:rsidP="008529E6">
      <w:pPr>
        <w:spacing w:after="0" w:line="240" w:lineRule="auto"/>
        <w:jc w:val="both"/>
        <w:rPr>
          <w:sz w:val="20"/>
          <w:szCs w:val="20"/>
        </w:rPr>
      </w:pPr>
      <w:r w:rsidRPr="000E4AB7">
        <w:rPr>
          <w:sz w:val="20"/>
          <w:szCs w:val="20"/>
        </w:rPr>
        <w:t xml:space="preserve">To determine the sampling adequacy and the factorability of the model as a whole, Bartlett’s test of </w:t>
      </w:r>
      <w:proofErr w:type="spellStart"/>
      <w:r w:rsidRPr="000E4AB7">
        <w:rPr>
          <w:sz w:val="20"/>
          <w:szCs w:val="20"/>
        </w:rPr>
        <w:t>sphericity</w:t>
      </w:r>
      <w:proofErr w:type="spellEnd"/>
      <w:r w:rsidRPr="000E4AB7">
        <w:rPr>
          <w:sz w:val="20"/>
          <w:szCs w:val="20"/>
        </w:rPr>
        <w:t xml:space="preserve"> and the Kaiser-Meyer-</w:t>
      </w:r>
      <w:proofErr w:type="spellStart"/>
      <w:r w:rsidRPr="000E4AB7">
        <w:rPr>
          <w:sz w:val="20"/>
          <w:szCs w:val="20"/>
        </w:rPr>
        <w:t>Olkin</w:t>
      </w:r>
      <w:proofErr w:type="spellEnd"/>
      <w:r w:rsidRPr="000E4AB7">
        <w:rPr>
          <w:sz w:val="20"/>
          <w:szCs w:val="20"/>
        </w:rPr>
        <w:t xml:space="preserve"> (KMO) test were used. Bartlett’s test of </w:t>
      </w:r>
      <w:proofErr w:type="spellStart"/>
      <w:r w:rsidRPr="000E4AB7">
        <w:rPr>
          <w:sz w:val="20"/>
          <w:szCs w:val="20"/>
        </w:rPr>
        <w:t>sphericity</w:t>
      </w:r>
      <w:proofErr w:type="spellEnd"/>
      <w:r w:rsidRPr="000E4AB7">
        <w:rPr>
          <w:sz w:val="20"/>
          <w:szCs w:val="20"/>
        </w:rPr>
        <w:t xml:space="preserve"> relates to the significance of the study and therefore shows the validity and suitability of the responses collected. A dataset with KMO test value of 0.70 and above was assumed adequate</w:t>
      </w:r>
      <w:r w:rsidR="009820DA">
        <w:rPr>
          <w:sz w:val="20"/>
          <w:szCs w:val="20"/>
        </w:rPr>
        <w:t xml:space="preserve"> and acceptable</w:t>
      </w:r>
      <w:r w:rsidRPr="000E4AB7">
        <w:rPr>
          <w:sz w:val="20"/>
          <w:szCs w:val="20"/>
        </w:rPr>
        <w:t xml:space="preserve"> for factor analysis.</w:t>
      </w:r>
    </w:p>
    <w:p w:rsidR="0016359E" w:rsidRDefault="0016359E" w:rsidP="004C2D5E">
      <w:pPr>
        <w:autoSpaceDE w:val="0"/>
        <w:autoSpaceDN w:val="0"/>
        <w:adjustRightInd w:val="0"/>
        <w:spacing w:after="120" w:line="240" w:lineRule="auto"/>
        <w:jc w:val="both"/>
        <w:rPr>
          <w:b/>
          <w:bCs/>
          <w:sz w:val="20"/>
          <w:szCs w:val="20"/>
        </w:rPr>
      </w:pPr>
    </w:p>
    <w:p w:rsidR="002923D4" w:rsidRPr="0050237C" w:rsidRDefault="002923D4" w:rsidP="002923D4">
      <w:pPr>
        <w:autoSpaceDE w:val="0"/>
        <w:autoSpaceDN w:val="0"/>
        <w:adjustRightInd w:val="0"/>
        <w:spacing w:after="0" w:line="240" w:lineRule="auto"/>
        <w:jc w:val="both"/>
        <w:rPr>
          <w:b/>
          <w:bCs/>
          <w:sz w:val="20"/>
          <w:szCs w:val="20"/>
        </w:rPr>
      </w:pPr>
      <w:r w:rsidRPr="0050237C">
        <w:rPr>
          <w:b/>
          <w:bCs/>
          <w:sz w:val="20"/>
          <w:szCs w:val="20"/>
        </w:rPr>
        <w:t>RESULTS AND DISCUSSION</w:t>
      </w:r>
    </w:p>
    <w:p w:rsidR="009775DB" w:rsidRPr="00EB256E" w:rsidRDefault="009775DB" w:rsidP="009775DB">
      <w:pPr>
        <w:autoSpaceDE w:val="0"/>
        <w:autoSpaceDN w:val="0"/>
        <w:adjustRightInd w:val="0"/>
        <w:spacing w:after="0" w:line="240" w:lineRule="auto"/>
        <w:rPr>
          <w:sz w:val="20"/>
          <w:szCs w:val="20"/>
        </w:rPr>
      </w:pPr>
      <w:r w:rsidRPr="00EB256E">
        <w:rPr>
          <w:b/>
          <w:sz w:val="20"/>
          <w:szCs w:val="20"/>
        </w:rPr>
        <w:t xml:space="preserve">Socio-economic Characteristics of the Smallholder Arable Crop Farmers in </w:t>
      </w:r>
      <w:proofErr w:type="spellStart"/>
      <w:r w:rsidRPr="00EB256E">
        <w:rPr>
          <w:b/>
          <w:sz w:val="20"/>
          <w:szCs w:val="20"/>
        </w:rPr>
        <w:t>Kwara</w:t>
      </w:r>
      <w:proofErr w:type="spellEnd"/>
      <w:r w:rsidRPr="00EB256E">
        <w:rPr>
          <w:b/>
          <w:sz w:val="20"/>
          <w:szCs w:val="20"/>
        </w:rPr>
        <w:t xml:space="preserve"> State</w:t>
      </w:r>
      <w:r w:rsidRPr="00EB256E">
        <w:rPr>
          <w:sz w:val="20"/>
          <w:szCs w:val="20"/>
        </w:rPr>
        <w:t xml:space="preserve"> </w:t>
      </w:r>
    </w:p>
    <w:p w:rsidR="009775DB" w:rsidRDefault="009775DB" w:rsidP="009775DB">
      <w:pPr>
        <w:autoSpaceDE w:val="0"/>
        <w:autoSpaceDN w:val="0"/>
        <w:adjustRightInd w:val="0"/>
        <w:spacing w:after="0" w:line="240" w:lineRule="auto"/>
        <w:jc w:val="both"/>
        <w:rPr>
          <w:sz w:val="20"/>
          <w:szCs w:val="20"/>
        </w:rPr>
      </w:pPr>
      <w:r w:rsidRPr="00EB256E">
        <w:rPr>
          <w:sz w:val="20"/>
          <w:szCs w:val="20"/>
        </w:rPr>
        <w:t xml:space="preserve">The results presented in Figure 1 shows that majority of the farmers representing 91.57% are males and females represented only 8.43%. This is an indication that the males are the dominant arable crop farmers in the study area. This </w:t>
      </w:r>
      <w:r w:rsidR="00F45A64">
        <w:rPr>
          <w:sz w:val="20"/>
          <w:szCs w:val="20"/>
        </w:rPr>
        <w:t xml:space="preserve">may not be unconnected with the fact that </w:t>
      </w:r>
      <w:r w:rsidRPr="00EB256E">
        <w:rPr>
          <w:sz w:val="20"/>
          <w:szCs w:val="20"/>
        </w:rPr>
        <w:t>most arable crops production requires a lot of energy of which most women do not have, and cannot cope with the rigorous activities involved. The result on farmers marital status presented in Figure 2 revealed that majority of them were married which accounted for 86.21%, while 5.36%, 5.36% and 3.07% of the farmers respectively were single, widowed and divorced respectively. Since the larger percentage of the respondents is married, the family sizes will probably increase and thereby enhancing the provision of cheap labour, that is, family labour.</w:t>
      </w:r>
    </w:p>
    <w:p w:rsidR="009775DB" w:rsidRPr="003C52CD" w:rsidRDefault="009775DB" w:rsidP="009775DB">
      <w:pPr>
        <w:autoSpaceDE w:val="0"/>
        <w:autoSpaceDN w:val="0"/>
        <w:adjustRightInd w:val="0"/>
        <w:spacing w:after="0" w:line="240" w:lineRule="auto"/>
        <w:jc w:val="both"/>
        <w:rPr>
          <w:sz w:val="20"/>
          <w:szCs w:val="20"/>
        </w:rPr>
      </w:pPr>
      <w:r w:rsidRPr="003C52CD">
        <w:rPr>
          <w:sz w:val="20"/>
          <w:szCs w:val="20"/>
        </w:rPr>
        <w:t>Age is a key determinant of the quality and quantity of labour in agriculture. The result in Table 1 revealed that an average crop farmer in the area was 51 years old. This implies that majority of the sampled farmers were no longer in their economically active age. Th</w:t>
      </w:r>
      <w:r w:rsidR="00124A83">
        <w:rPr>
          <w:sz w:val="20"/>
          <w:szCs w:val="20"/>
        </w:rPr>
        <w:t xml:space="preserve">is result is in contrast with the findings </w:t>
      </w:r>
      <w:r w:rsidRPr="003C52CD">
        <w:rPr>
          <w:sz w:val="20"/>
          <w:szCs w:val="20"/>
        </w:rPr>
        <w:t xml:space="preserve">of </w:t>
      </w:r>
      <w:proofErr w:type="spellStart"/>
      <w:r w:rsidRPr="003C52CD">
        <w:rPr>
          <w:sz w:val="20"/>
          <w:szCs w:val="20"/>
        </w:rPr>
        <w:t>Jirgi</w:t>
      </w:r>
      <w:proofErr w:type="spellEnd"/>
      <w:r w:rsidRPr="003C52CD">
        <w:rPr>
          <w:sz w:val="20"/>
          <w:szCs w:val="20"/>
        </w:rPr>
        <w:t xml:space="preserve"> (2013</w:t>
      </w:r>
      <w:r w:rsidR="00F45A64">
        <w:rPr>
          <w:sz w:val="20"/>
          <w:szCs w:val="20"/>
        </w:rPr>
        <w:t>, p.278</w:t>
      </w:r>
      <w:r w:rsidRPr="003C52CD">
        <w:rPr>
          <w:sz w:val="20"/>
          <w:szCs w:val="20"/>
        </w:rPr>
        <w:t xml:space="preserve">) who reported that farmers in </w:t>
      </w:r>
      <w:proofErr w:type="spellStart"/>
      <w:r w:rsidRPr="003C52CD">
        <w:rPr>
          <w:sz w:val="20"/>
          <w:szCs w:val="20"/>
        </w:rPr>
        <w:t>Kebbi</w:t>
      </w:r>
      <w:proofErr w:type="spellEnd"/>
      <w:r w:rsidRPr="003C52CD">
        <w:rPr>
          <w:sz w:val="20"/>
          <w:szCs w:val="20"/>
        </w:rPr>
        <w:t xml:space="preserve"> States respectively were in their economically active age. The result further revealed an average of eight persons per household in the study area. The household size is important as it could determine the level of family labour available for farming activities which could enhance optimum production in the area. Also, result shows that the average years of formal education of the farmers was 10 years. Formal education is a vital variable that can enhance the chance of farmers to accept modern ways of agricultural production especially the optimum farm plans.</w:t>
      </w:r>
    </w:p>
    <w:p w:rsidR="009775DB" w:rsidRDefault="009775DB" w:rsidP="009775DB">
      <w:pPr>
        <w:autoSpaceDE w:val="0"/>
        <w:autoSpaceDN w:val="0"/>
        <w:adjustRightInd w:val="0"/>
        <w:spacing w:after="0" w:line="240" w:lineRule="auto"/>
        <w:jc w:val="both"/>
        <w:rPr>
          <w:sz w:val="20"/>
          <w:szCs w:val="20"/>
        </w:rPr>
      </w:pPr>
    </w:p>
    <w:p w:rsidR="009775DB" w:rsidRPr="00EB256E" w:rsidRDefault="00A9777A" w:rsidP="009775DB">
      <w:pPr>
        <w:autoSpaceDE w:val="0"/>
        <w:autoSpaceDN w:val="0"/>
        <w:adjustRightInd w:val="0"/>
        <w:spacing w:after="0" w:line="240" w:lineRule="auto"/>
        <w:jc w:val="both"/>
        <w:rPr>
          <w:sz w:val="20"/>
          <w:szCs w:val="20"/>
        </w:rPr>
      </w:pPr>
      <w:r w:rsidRPr="00A9777A">
        <w:rPr>
          <w:b/>
          <w:noProof/>
          <w:sz w:val="20"/>
          <w:szCs w:val="20"/>
          <w:lang w:val="en-US"/>
        </w:rPr>
        <w:pict>
          <v:shapetype id="_x0000_t202" coordsize="21600,21600" o:spt="202" path="m,l,21600r21600,l21600,xe">
            <v:stroke joinstyle="miter"/>
            <v:path gradientshapeok="t" o:connecttype="rect"/>
          </v:shapetype>
          <v:shape id="_x0000_s1027" type="#_x0000_t202" style="position:absolute;left:0;text-align:left;margin-left:235.15pt;margin-top:153.95pt;width:193.4pt;height:32.25pt;z-index:251661312;mso-width-relative:margin;mso-height-relative:margin">
            <v:textbox>
              <w:txbxContent>
                <w:p w:rsidR="004421B1" w:rsidRDefault="004421B1" w:rsidP="004C2D5E">
                  <w:pPr>
                    <w:spacing w:after="0" w:line="240" w:lineRule="auto"/>
                    <w:jc w:val="center"/>
                    <w:rPr>
                      <w:b/>
                      <w:sz w:val="20"/>
                      <w:szCs w:val="20"/>
                    </w:rPr>
                  </w:pPr>
                  <w:r w:rsidRPr="00EB256E">
                    <w:rPr>
                      <w:b/>
                      <w:sz w:val="20"/>
                      <w:szCs w:val="20"/>
                    </w:rPr>
                    <w:t xml:space="preserve">Figure 2: Distribution of Respondents According to </w:t>
                  </w:r>
                  <w:r>
                    <w:rPr>
                      <w:b/>
                      <w:sz w:val="20"/>
                      <w:szCs w:val="20"/>
                    </w:rPr>
                    <w:t xml:space="preserve">their </w:t>
                  </w:r>
                  <w:r w:rsidRPr="00EB256E">
                    <w:rPr>
                      <w:b/>
                      <w:sz w:val="20"/>
                      <w:szCs w:val="20"/>
                    </w:rPr>
                    <w:t>Marital Status</w:t>
                  </w:r>
                </w:p>
                <w:p w:rsidR="004421B1" w:rsidRPr="004C2D5E" w:rsidRDefault="004421B1" w:rsidP="004C2D5E"/>
              </w:txbxContent>
            </v:textbox>
          </v:shape>
        </w:pict>
      </w:r>
      <w:r w:rsidR="009775DB" w:rsidRPr="000168B7">
        <w:rPr>
          <w:noProof/>
          <w:sz w:val="20"/>
          <w:szCs w:val="20"/>
          <w:lang w:val="en-US"/>
        </w:rPr>
        <w:drawing>
          <wp:inline distT="0" distB="0" distL="0" distR="0">
            <wp:extent cx="2363278" cy="1938138"/>
            <wp:effectExtent l="19050" t="0" r="17972" b="4962"/>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C2D5E" w:rsidRPr="00EB256E">
        <w:rPr>
          <w:noProof/>
          <w:sz w:val="20"/>
          <w:szCs w:val="20"/>
          <w:lang w:val="en-US"/>
        </w:rPr>
        <w:drawing>
          <wp:inline distT="0" distB="0" distL="0" distR="0">
            <wp:extent cx="3206573" cy="1967023"/>
            <wp:effectExtent l="19050" t="0" r="12877"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75DB" w:rsidRPr="00EB256E" w:rsidRDefault="00A9777A" w:rsidP="009775DB">
      <w:pPr>
        <w:spacing w:after="0" w:line="240" w:lineRule="auto"/>
        <w:jc w:val="center"/>
        <w:rPr>
          <w:b/>
          <w:sz w:val="20"/>
          <w:szCs w:val="20"/>
        </w:rPr>
      </w:pPr>
      <w:r w:rsidRPr="00A9777A">
        <w:rPr>
          <w:b/>
          <w:noProof/>
          <w:sz w:val="20"/>
          <w:szCs w:val="20"/>
          <w:lang w:eastAsia="zh-TW"/>
        </w:rPr>
        <w:pict>
          <v:shape id="_x0000_s1026" type="#_x0000_t202" style="position:absolute;left:0;text-align:left;margin-left:5.55pt;margin-top:.4pt;width:172.4pt;height:32.25pt;z-index:251660288;mso-width-relative:margin;mso-height-relative:margin">
            <v:textbox>
              <w:txbxContent>
                <w:p w:rsidR="004421B1" w:rsidRDefault="004421B1" w:rsidP="004C2D5E">
                  <w:pPr>
                    <w:jc w:val="center"/>
                  </w:pPr>
                  <w:r w:rsidRPr="00EB256E">
                    <w:rPr>
                      <w:b/>
                      <w:sz w:val="20"/>
                      <w:szCs w:val="20"/>
                    </w:rPr>
                    <w:t xml:space="preserve">Figure </w:t>
                  </w:r>
                  <w:r>
                    <w:rPr>
                      <w:b/>
                      <w:sz w:val="20"/>
                      <w:szCs w:val="20"/>
                    </w:rPr>
                    <w:t>1</w:t>
                  </w:r>
                  <w:r w:rsidRPr="00EB256E">
                    <w:rPr>
                      <w:b/>
                      <w:sz w:val="20"/>
                      <w:szCs w:val="20"/>
                    </w:rPr>
                    <w:t xml:space="preserve">: Distribution of Respondents According to </w:t>
                  </w:r>
                  <w:r>
                    <w:rPr>
                      <w:b/>
                      <w:sz w:val="20"/>
                      <w:szCs w:val="20"/>
                    </w:rPr>
                    <w:t>their Sex</w:t>
                  </w:r>
                </w:p>
              </w:txbxContent>
            </v:textbox>
          </v:shape>
        </w:pict>
      </w:r>
    </w:p>
    <w:p w:rsidR="009775DB" w:rsidRDefault="009775DB" w:rsidP="009775DB">
      <w:pPr>
        <w:spacing w:before="240" w:after="0"/>
        <w:jc w:val="center"/>
        <w:rPr>
          <w:sz w:val="20"/>
          <w:szCs w:val="20"/>
        </w:rPr>
      </w:pPr>
    </w:p>
    <w:p w:rsidR="009775DB" w:rsidRDefault="009775DB" w:rsidP="009775DB">
      <w:pPr>
        <w:spacing w:after="0"/>
        <w:rPr>
          <w:sz w:val="20"/>
          <w:szCs w:val="20"/>
        </w:rPr>
      </w:pPr>
    </w:p>
    <w:p w:rsidR="00F45A64" w:rsidRPr="00EB256E" w:rsidRDefault="00F45A64" w:rsidP="00F45A64">
      <w:pPr>
        <w:spacing w:after="0"/>
        <w:rPr>
          <w:b/>
          <w:sz w:val="20"/>
          <w:szCs w:val="20"/>
        </w:rPr>
      </w:pPr>
      <w:r>
        <w:rPr>
          <w:b/>
          <w:sz w:val="20"/>
          <w:szCs w:val="20"/>
        </w:rPr>
        <w:lastRenderedPageBreak/>
        <w:t xml:space="preserve">Table 1: </w:t>
      </w:r>
      <w:r w:rsidRPr="00EB256E">
        <w:rPr>
          <w:b/>
          <w:sz w:val="20"/>
          <w:szCs w:val="20"/>
        </w:rPr>
        <w:t xml:space="preserve">Distribution of Respondents According to </w:t>
      </w:r>
      <w:r>
        <w:rPr>
          <w:b/>
          <w:sz w:val="20"/>
          <w:szCs w:val="20"/>
        </w:rPr>
        <w:t>Socio-economic Characteristics</w:t>
      </w:r>
    </w:p>
    <w:tbl>
      <w:tblPr>
        <w:tblStyle w:val="LightShading"/>
        <w:tblW w:w="0" w:type="auto"/>
        <w:tblLook w:val="0620"/>
      </w:tblPr>
      <w:tblGrid>
        <w:gridCol w:w="4564"/>
        <w:gridCol w:w="2726"/>
      </w:tblGrid>
      <w:tr w:rsidR="00F45A64" w:rsidRPr="004147A4" w:rsidTr="00E53AC1">
        <w:trPr>
          <w:cnfStyle w:val="100000000000"/>
          <w:trHeight w:val="257"/>
        </w:trPr>
        <w:tc>
          <w:tcPr>
            <w:tcW w:w="4564" w:type="dxa"/>
          </w:tcPr>
          <w:p w:rsidR="00F45A64" w:rsidRPr="004147A4" w:rsidRDefault="00F45A64" w:rsidP="00E53AC1">
            <w:pPr>
              <w:rPr>
                <w:sz w:val="20"/>
                <w:szCs w:val="20"/>
              </w:rPr>
            </w:pPr>
            <w:r w:rsidRPr="004147A4">
              <w:rPr>
                <w:sz w:val="20"/>
                <w:szCs w:val="20"/>
              </w:rPr>
              <w:t>Variable</w:t>
            </w:r>
          </w:p>
        </w:tc>
        <w:tc>
          <w:tcPr>
            <w:tcW w:w="2726" w:type="dxa"/>
          </w:tcPr>
          <w:p w:rsidR="00F45A64" w:rsidRPr="004147A4" w:rsidRDefault="00F45A64" w:rsidP="00E53AC1">
            <w:pPr>
              <w:jc w:val="center"/>
              <w:rPr>
                <w:sz w:val="20"/>
                <w:szCs w:val="20"/>
              </w:rPr>
            </w:pPr>
            <w:r w:rsidRPr="004147A4">
              <w:rPr>
                <w:sz w:val="20"/>
                <w:szCs w:val="20"/>
              </w:rPr>
              <w:t>Average value</w:t>
            </w:r>
          </w:p>
        </w:tc>
      </w:tr>
      <w:tr w:rsidR="00F45A64" w:rsidTr="00E53AC1">
        <w:trPr>
          <w:trHeight w:val="270"/>
        </w:trPr>
        <w:tc>
          <w:tcPr>
            <w:tcW w:w="4564" w:type="dxa"/>
          </w:tcPr>
          <w:p w:rsidR="00F45A64" w:rsidRPr="004147A4" w:rsidRDefault="00F45A64" w:rsidP="00E53AC1">
            <w:pPr>
              <w:rPr>
                <w:sz w:val="20"/>
                <w:szCs w:val="20"/>
              </w:rPr>
            </w:pPr>
            <w:r w:rsidRPr="004147A4">
              <w:rPr>
                <w:sz w:val="20"/>
                <w:szCs w:val="20"/>
              </w:rPr>
              <w:t>Age (years)</w:t>
            </w:r>
          </w:p>
        </w:tc>
        <w:tc>
          <w:tcPr>
            <w:tcW w:w="2726" w:type="dxa"/>
          </w:tcPr>
          <w:p w:rsidR="00F45A64" w:rsidRPr="004147A4" w:rsidRDefault="00F45A64" w:rsidP="00E53AC1">
            <w:pPr>
              <w:jc w:val="center"/>
              <w:rPr>
                <w:sz w:val="20"/>
                <w:szCs w:val="20"/>
              </w:rPr>
            </w:pPr>
            <w:r>
              <w:rPr>
                <w:sz w:val="20"/>
                <w:szCs w:val="20"/>
              </w:rPr>
              <w:t>51</w:t>
            </w:r>
            <w:r w:rsidRPr="004147A4">
              <w:rPr>
                <w:sz w:val="20"/>
                <w:szCs w:val="20"/>
              </w:rPr>
              <w:t>.00</w:t>
            </w:r>
          </w:p>
        </w:tc>
      </w:tr>
      <w:tr w:rsidR="00F45A64" w:rsidTr="00E53AC1">
        <w:trPr>
          <w:trHeight w:val="270"/>
        </w:trPr>
        <w:tc>
          <w:tcPr>
            <w:tcW w:w="4564" w:type="dxa"/>
          </w:tcPr>
          <w:p w:rsidR="00F45A64" w:rsidRPr="004147A4" w:rsidRDefault="00F45A64" w:rsidP="00E53AC1">
            <w:pPr>
              <w:rPr>
                <w:sz w:val="20"/>
                <w:szCs w:val="20"/>
              </w:rPr>
            </w:pPr>
            <w:r w:rsidRPr="004147A4">
              <w:rPr>
                <w:sz w:val="20"/>
                <w:szCs w:val="20"/>
              </w:rPr>
              <w:t>Household size (number of people)</w:t>
            </w:r>
          </w:p>
        </w:tc>
        <w:tc>
          <w:tcPr>
            <w:tcW w:w="2726" w:type="dxa"/>
          </w:tcPr>
          <w:p w:rsidR="00F45A64" w:rsidRPr="004147A4" w:rsidRDefault="00F45A64" w:rsidP="00E53AC1">
            <w:pPr>
              <w:jc w:val="center"/>
              <w:rPr>
                <w:sz w:val="20"/>
                <w:szCs w:val="20"/>
              </w:rPr>
            </w:pPr>
            <w:r w:rsidRPr="004147A4">
              <w:rPr>
                <w:sz w:val="20"/>
                <w:szCs w:val="20"/>
              </w:rPr>
              <w:t>8.00</w:t>
            </w:r>
          </w:p>
        </w:tc>
      </w:tr>
      <w:tr w:rsidR="00F45A64" w:rsidTr="00E53AC1">
        <w:trPr>
          <w:trHeight w:val="270"/>
        </w:trPr>
        <w:tc>
          <w:tcPr>
            <w:tcW w:w="4564" w:type="dxa"/>
          </w:tcPr>
          <w:p w:rsidR="00F45A64" w:rsidRPr="004147A4" w:rsidRDefault="00F45A64" w:rsidP="00E53AC1">
            <w:pPr>
              <w:rPr>
                <w:sz w:val="20"/>
                <w:szCs w:val="20"/>
              </w:rPr>
            </w:pPr>
            <w:r w:rsidRPr="004147A4">
              <w:rPr>
                <w:sz w:val="20"/>
                <w:szCs w:val="20"/>
              </w:rPr>
              <w:t>Years of formal education</w:t>
            </w:r>
          </w:p>
        </w:tc>
        <w:tc>
          <w:tcPr>
            <w:tcW w:w="2726" w:type="dxa"/>
          </w:tcPr>
          <w:p w:rsidR="00F45A64" w:rsidRPr="004147A4" w:rsidRDefault="00F45A64" w:rsidP="00E53AC1">
            <w:pPr>
              <w:jc w:val="center"/>
              <w:rPr>
                <w:sz w:val="20"/>
                <w:szCs w:val="20"/>
              </w:rPr>
            </w:pPr>
            <w:r w:rsidRPr="004147A4">
              <w:rPr>
                <w:sz w:val="20"/>
                <w:szCs w:val="20"/>
              </w:rPr>
              <w:t>10.00</w:t>
            </w:r>
          </w:p>
        </w:tc>
      </w:tr>
    </w:tbl>
    <w:p w:rsidR="00F45A64" w:rsidRDefault="00F45A64" w:rsidP="00F45A64">
      <w:pPr>
        <w:spacing w:line="240" w:lineRule="auto"/>
        <w:rPr>
          <w:sz w:val="20"/>
          <w:szCs w:val="20"/>
        </w:rPr>
      </w:pPr>
      <w:r>
        <w:rPr>
          <w:sz w:val="20"/>
          <w:szCs w:val="20"/>
        </w:rPr>
        <w:t>Source: computed from field survey, 2019.</w:t>
      </w:r>
    </w:p>
    <w:p w:rsidR="009775DB" w:rsidRDefault="009775DB" w:rsidP="009775DB">
      <w:pPr>
        <w:spacing w:after="0" w:line="240" w:lineRule="auto"/>
        <w:rPr>
          <w:b/>
          <w:sz w:val="20"/>
          <w:szCs w:val="20"/>
        </w:rPr>
      </w:pPr>
      <w:r>
        <w:rPr>
          <w:b/>
          <w:sz w:val="20"/>
          <w:szCs w:val="20"/>
        </w:rPr>
        <w:t xml:space="preserve">Principal Component </w:t>
      </w:r>
      <w:r w:rsidRPr="00CB0320">
        <w:rPr>
          <w:b/>
          <w:sz w:val="20"/>
          <w:szCs w:val="20"/>
        </w:rPr>
        <w:t xml:space="preserve">Analysis of Farmers’ Production Constraints in </w:t>
      </w:r>
      <w:proofErr w:type="spellStart"/>
      <w:r w:rsidRPr="00CB0320">
        <w:rPr>
          <w:b/>
          <w:sz w:val="20"/>
          <w:szCs w:val="20"/>
        </w:rPr>
        <w:t>Kwara</w:t>
      </w:r>
      <w:proofErr w:type="spellEnd"/>
      <w:r w:rsidRPr="00CB0320">
        <w:rPr>
          <w:b/>
          <w:sz w:val="20"/>
          <w:szCs w:val="20"/>
        </w:rPr>
        <w:t xml:space="preserve"> State</w:t>
      </w:r>
    </w:p>
    <w:p w:rsidR="009775DB" w:rsidRDefault="009775DB" w:rsidP="009775DB">
      <w:pPr>
        <w:spacing w:line="240" w:lineRule="auto"/>
        <w:jc w:val="both"/>
        <w:rPr>
          <w:b/>
          <w:sz w:val="20"/>
          <w:szCs w:val="20"/>
        </w:rPr>
      </w:pPr>
      <w:r>
        <w:rPr>
          <w:sz w:val="20"/>
          <w:szCs w:val="20"/>
        </w:rPr>
        <w:t xml:space="preserve">Principal component </w:t>
      </w:r>
      <w:r w:rsidRPr="00E26E0A">
        <w:rPr>
          <w:sz w:val="20"/>
          <w:szCs w:val="20"/>
        </w:rPr>
        <w:t xml:space="preserve">analysis using the </w:t>
      </w:r>
      <w:proofErr w:type="spellStart"/>
      <w:r w:rsidRPr="00E26E0A">
        <w:rPr>
          <w:sz w:val="20"/>
          <w:szCs w:val="20"/>
        </w:rPr>
        <w:t>varimax</w:t>
      </w:r>
      <w:proofErr w:type="spellEnd"/>
      <w:r w:rsidRPr="00E26E0A">
        <w:rPr>
          <w:sz w:val="20"/>
          <w:szCs w:val="20"/>
        </w:rPr>
        <w:t xml:space="preserve"> rotated factors with Kaiser Normalization was used to analyze the perception of the </w:t>
      </w:r>
      <w:r>
        <w:rPr>
          <w:sz w:val="20"/>
          <w:szCs w:val="20"/>
        </w:rPr>
        <w:t>arable crop</w:t>
      </w:r>
      <w:r w:rsidRPr="00E26E0A">
        <w:rPr>
          <w:sz w:val="20"/>
          <w:szCs w:val="20"/>
        </w:rPr>
        <w:t xml:space="preserve"> farmers in the study area on the</w:t>
      </w:r>
      <w:r>
        <w:rPr>
          <w:sz w:val="20"/>
          <w:szCs w:val="20"/>
        </w:rPr>
        <w:t>ir</w:t>
      </w:r>
      <w:r w:rsidRPr="00E26E0A">
        <w:rPr>
          <w:sz w:val="20"/>
          <w:szCs w:val="20"/>
        </w:rPr>
        <w:t xml:space="preserve"> production constraints</w:t>
      </w:r>
      <w:r>
        <w:rPr>
          <w:sz w:val="20"/>
          <w:szCs w:val="20"/>
        </w:rPr>
        <w:t>. The factorability of the constraint variables was examined. The result presented in Table 2 shows that the Kaiser-Meyer-</w:t>
      </w:r>
      <w:proofErr w:type="spellStart"/>
      <w:r>
        <w:rPr>
          <w:sz w:val="20"/>
          <w:szCs w:val="20"/>
        </w:rPr>
        <w:t>Olkin</w:t>
      </w:r>
      <w:proofErr w:type="spellEnd"/>
      <w:r>
        <w:rPr>
          <w:sz w:val="20"/>
          <w:szCs w:val="20"/>
        </w:rPr>
        <w:t xml:space="preserve"> (KMO) measure of sampling adequacy was 0.729 which is adequate and acceptable based on the KMO classification. The Bartlett’s test of </w:t>
      </w:r>
      <w:proofErr w:type="spellStart"/>
      <w:r>
        <w:rPr>
          <w:sz w:val="20"/>
          <w:szCs w:val="20"/>
        </w:rPr>
        <w:t>sphericity</w:t>
      </w:r>
      <w:proofErr w:type="spellEnd"/>
      <w:r>
        <w:rPr>
          <w:sz w:val="20"/>
          <w:szCs w:val="20"/>
        </w:rPr>
        <w:t xml:space="preserve"> (</w:t>
      </w:r>
      <w:r>
        <w:rPr>
          <w:rFonts w:ascii="Cambria Math" w:hAnsi="Cambria Math" w:cs="Cambria Math"/>
          <w:sz w:val="20"/>
          <w:szCs w:val="20"/>
        </w:rPr>
        <w:t>𝒳</w:t>
      </w:r>
      <w:r w:rsidRPr="00E26E0A">
        <w:rPr>
          <w:sz w:val="20"/>
          <w:szCs w:val="20"/>
          <w:vertAlign w:val="superscript"/>
        </w:rPr>
        <w:t>2</w:t>
      </w:r>
      <w:r>
        <w:rPr>
          <w:sz w:val="20"/>
          <w:szCs w:val="20"/>
          <w:vertAlign w:val="superscript"/>
        </w:rPr>
        <w:t xml:space="preserve"> </w:t>
      </w:r>
      <w:r>
        <w:rPr>
          <w:sz w:val="20"/>
          <w:szCs w:val="20"/>
        </w:rPr>
        <w:t>= 542.799) also was significant at p&lt;0.01 probability level which shows that the matrix is significantly different from zero (0), that is, the matrix is significantly different from identity matrix. This implied that there were sufficient inter-correlations to conduct the factor analysis. More so, v</w:t>
      </w:r>
      <w:r w:rsidRPr="004952B3">
        <w:rPr>
          <w:sz w:val="20"/>
          <w:szCs w:val="28"/>
        </w:rPr>
        <w:t>ariables with factor loadings of less than 0.40 were not used</w:t>
      </w:r>
      <w:r>
        <w:rPr>
          <w:sz w:val="20"/>
          <w:szCs w:val="28"/>
        </w:rPr>
        <w:t>.</w:t>
      </w:r>
      <w:r>
        <w:rPr>
          <w:sz w:val="20"/>
          <w:szCs w:val="20"/>
        </w:rPr>
        <w:t xml:space="preserve"> </w:t>
      </w:r>
    </w:p>
    <w:p w:rsidR="009775DB" w:rsidRPr="00E45F93" w:rsidRDefault="009775DB" w:rsidP="009775DB">
      <w:pPr>
        <w:spacing w:after="0"/>
        <w:rPr>
          <w:b/>
          <w:sz w:val="20"/>
          <w:szCs w:val="20"/>
        </w:rPr>
      </w:pPr>
      <w:r w:rsidRPr="00E45F93">
        <w:rPr>
          <w:b/>
          <w:sz w:val="20"/>
          <w:szCs w:val="20"/>
        </w:rPr>
        <w:t>Table 2:</w:t>
      </w:r>
      <w:r w:rsidRPr="00E45F93">
        <w:rPr>
          <w:b/>
          <w:sz w:val="20"/>
          <w:szCs w:val="20"/>
        </w:rPr>
        <w:tab/>
      </w:r>
      <w:r w:rsidRPr="00E45F93">
        <w:rPr>
          <w:rFonts w:eastAsia="Times New Roman"/>
          <w:b/>
          <w:sz w:val="20"/>
          <w:szCs w:val="20"/>
          <w:lang w:val="en-US"/>
        </w:rPr>
        <w:t>KMO and Bartlett's Test</w:t>
      </w:r>
    </w:p>
    <w:tbl>
      <w:tblPr>
        <w:tblStyle w:val="LightShading"/>
        <w:tblW w:w="6678" w:type="dxa"/>
        <w:tblLook w:val="0620"/>
      </w:tblPr>
      <w:tblGrid>
        <w:gridCol w:w="4698"/>
        <w:gridCol w:w="1980"/>
      </w:tblGrid>
      <w:tr w:rsidR="009775DB" w:rsidRPr="00E45F93" w:rsidTr="004421B1">
        <w:trPr>
          <w:cnfStyle w:val="100000000000"/>
          <w:trHeight w:val="262"/>
        </w:trPr>
        <w:tc>
          <w:tcPr>
            <w:tcW w:w="4698" w:type="dxa"/>
            <w:noWrap/>
            <w:hideMark/>
          </w:tcPr>
          <w:p w:rsidR="009775DB" w:rsidRPr="00E45F93" w:rsidRDefault="009775DB" w:rsidP="004421B1">
            <w:pPr>
              <w:rPr>
                <w:rFonts w:eastAsia="Times New Roman"/>
                <w:sz w:val="20"/>
                <w:szCs w:val="20"/>
                <w:lang w:val="en-US"/>
              </w:rPr>
            </w:pPr>
            <w:r w:rsidRPr="00E45F93">
              <w:rPr>
                <w:rFonts w:eastAsia="Times New Roman"/>
                <w:sz w:val="20"/>
                <w:szCs w:val="20"/>
                <w:lang w:val="en-US"/>
              </w:rPr>
              <w:t>Test category</w:t>
            </w:r>
          </w:p>
        </w:tc>
        <w:tc>
          <w:tcPr>
            <w:tcW w:w="1980" w:type="dxa"/>
            <w:noWrap/>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Value</w:t>
            </w:r>
          </w:p>
        </w:tc>
      </w:tr>
      <w:tr w:rsidR="009775DB" w:rsidRPr="00E45F93" w:rsidTr="004421B1">
        <w:trPr>
          <w:trHeight w:val="262"/>
        </w:trPr>
        <w:tc>
          <w:tcPr>
            <w:tcW w:w="4698" w:type="dxa"/>
            <w:noWrap/>
            <w:hideMark/>
          </w:tcPr>
          <w:p w:rsidR="009775DB" w:rsidRPr="00E45F93" w:rsidRDefault="009775DB" w:rsidP="004421B1">
            <w:pPr>
              <w:rPr>
                <w:rFonts w:eastAsia="Times New Roman"/>
                <w:sz w:val="20"/>
                <w:szCs w:val="20"/>
                <w:lang w:val="en-US"/>
              </w:rPr>
            </w:pPr>
            <w:r w:rsidRPr="00E45F93">
              <w:rPr>
                <w:rFonts w:eastAsia="Times New Roman"/>
                <w:sz w:val="20"/>
                <w:szCs w:val="20"/>
                <w:lang w:val="en-US"/>
              </w:rPr>
              <w:t>Kaiser-Meyer-</w:t>
            </w:r>
            <w:proofErr w:type="spellStart"/>
            <w:r w:rsidRPr="00E45F93">
              <w:rPr>
                <w:rFonts w:eastAsia="Times New Roman"/>
                <w:sz w:val="20"/>
                <w:szCs w:val="20"/>
                <w:lang w:val="en-US"/>
              </w:rPr>
              <w:t>Olkin</w:t>
            </w:r>
            <w:proofErr w:type="spellEnd"/>
            <w:r w:rsidRPr="00E45F93">
              <w:rPr>
                <w:rFonts w:eastAsia="Times New Roman"/>
                <w:sz w:val="20"/>
                <w:szCs w:val="20"/>
                <w:lang w:val="en-US"/>
              </w:rPr>
              <w:t xml:space="preserve"> measure of sampling adequacy</w:t>
            </w:r>
          </w:p>
        </w:tc>
        <w:tc>
          <w:tcPr>
            <w:tcW w:w="1980" w:type="dxa"/>
            <w:noWrap/>
            <w:hideMark/>
          </w:tcPr>
          <w:p w:rsidR="009775DB" w:rsidRPr="00E45F93" w:rsidRDefault="009775DB" w:rsidP="004421B1">
            <w:pPr>
              <w:jc w:val="center"/>
              <w:rPr>
                <w:rFonts w:eastAsia="Times New Roman"/>
                <w:color w:val="000000"/>
                <w:sz w:val="20"/>
                <w:szCs w:val="20"/>
                <w:lang w:val="en-US"/>
              </w:rPr>
            </w:pPr>
            <w:r w:rsidRPr="00E45F93">
              <w:rPr>
                <w:rFonts w:eastAsia="Times New Roman"/>
                <w:color w:val="000000"/>
                <w:sz w:val="20"/>
                <w:szCs w:val="20"/>
                <w:lang w:val="en-US"/>
              </w:rPr>
              <w:t>0.729</w:t>
            </w:r>
          </w:p>
        </w:tc>
      </w:tr>
      <w:tr w:rsidR="009775DB" w:rsidRPr="00E45F93" w:rsidTr="004421B1">
        <w:trPr>
          <w:trHeight w:val="262"/>
        </w:trPr>
        <w:tc>
          <w:tcPr>
            <w:tcW w:w="4698" w:type="dxa"/>
            <w:noWrap/>
            <w:hideMark/>
          </w:tcPr>
          <w:p w:rsidR="009775DB" w:rsidRPr="00E45F93" w:rsidRDefault="009775DB" w:rsidP="004421B1">
            <w:pPr>
              <w:rPr>
                <w:rFonts w:eastAsia="Times New Roman"/>
                <w:sz w:val="20"/>
                <w:szCs w:val="20"/>
                <w:lang w:val="en-US"/>
              </w:rPr>
            </w:pPr>
            <w:r w:rsidRPr="00E45F93">
              <w:rPr>
                <w:rFonts w:eastAsia="Times New Roman"/>
                <w:sz w:val="20"/>
                <w:szCs w:val="20"/>
                <w:lang w:val="en-US"/>
              </w:rPr>
              <w:t xml:space="preserve">Bartlett's test of </w:t>
            </w:r>
            <w:proofErr w:type="spellStart"/>
            <w:r w:rsidRPr="00E45F93">
              <w:rPr>
                <w:rFonts w:eastAsia="Times New Roman"/>
                <w:sz w:val="20"/>
                <w:szCs w:val="20"/>
                <w:lang w:val="en-US"/>
              </w:rPr>
              <w:t>sphericity</w:t>
            </w:r>
            <w:proofErr w:type="spellEnd"/>
            <w:r>
              <w:rPr>
                <w:rFonts w:eastAsia="Times New Roman"/>
                <w:sz w:val="20"/>
                <w:szCs w:val="20"/>
                <w:lang w:val="en-US"/>
              </w:rPr>
              <w:t xml:space="preserve"> (Chi-Square)</w:t>
            </w:r>
          </w:p>
        </w:tc>
        <w:tc>
          <w:tcPr>
            <w:tcW w:w="1980" w:type="dxa"/>
            <w:noWrap/>
            <w:hideMark/>
          </w:tcPr>
          <w:p w:rsidR="009775DB" w:rsidRPr="00E45F93" w:rsidRDefault="009775DB" w:rsidP="004421B1">
            <w:pPr>
              <w:jc w:val="center"/>
              <w:rPr>
                <w:rFonts w:eastAsia="Times New Roman"/>
                <w:color w:val="000000"/>
                <w:sz w:val="20"/>
                <w:szCs w:val="20"/>
                <w:lang w:val="en-US"/>
              </w:rPr>
            </w:pPr>
            <w:r w:rsidRPr="00E45F93">
              <w:rPr>
                <w:rFonts w:eastAsia="Times New Roman"/>
                <w:color w:val="000000"/>
                <w:sz w:val="20"/>
                <w:szCs w:val="20"/>
                <w:lang w:val="en-US"/>
              </w:rPr>
              <w:t>542.7985***</w:t>
            </w:r>
          </w:p>
        </w:tc>
      </w:tr>
    </w:tbl>
    <w:p w:rsidR="009775DB" w:rsidRDefault="009775DB" w:rsidP="004C2D5E">
      <w:pPr>
        <w:spacing w:after="120" w:line="240" w:lineRule="auto"/>
        <w:rPr>
          <w:sz w:val="20"/>
          <w:szCs w:val="20"/>
        </w:rPr>
      </w:pPr>
      <w:r>
        <w:rPr>
          <w:sz w:val="20"/>
          <w:szCs w:val="20"/>
        </w:rPr>
        <w:t>Source: computed from field survey, 2019.</w:t>
      </w:r>
    </w:p>
    <w:p w:rsidR="009775DB" w:rsidRPr="00E26E0A" w:rsidRDefault="009775DB" w:rsidP="009775DB">
      <w:pPr>
        <w:spacing w:after="0" w:line="240" w:lineRule="auto"/>
        <w:jc w:val="both"/>
        <w:rPr>
          <w:b/>
          <w:sz w:val="20"/>
          <w:szCs w:val="20"/>
        </w:rPr>
      </w:pPr>
      <w:r>
        <w:rPr>
          <w:sz w:val="20"/>
          <w:szCs w:val="20"/>
        </w:rPr>
        <w:t>The result</w:t>
      </w:r>
      <w:r w:rsidRPr="00E26E0A">
        <w:rPr>
          <w:sz w:val="20"/>
          <w:szCs w:val="20"/>
        </w:rPr>
        <w:t xml:space="preserve"> presented in Table </w:t>
      </w:r>
      <w:r>
        <w:rPr>
          <w:sz w:val="20"/>
          <w:szCs w:val="20"/>
        </w:rPr>
        <w:t xml:space="preserve">3 </w:t>
      </w:r>
      <w:r w:rsidRPr="00E26E0A">
        <w:rPr>
          <w:sz w:val="20"/>
          <w:szCs w:val="20"/>
        </w:rPr>
        <w:t xml:space="preserve">shows the outcome of factor loadings from </w:t>
      </w:r>
      <w:r>
        <w:rPr>
          <w:sz w:val="20"/>
          <w:szCs w:val="20"/>
        </w:rPr>
        <w:t xml:space="preserve">principal component </w:t>
      </w:r>
      <w:r w:rsidRPr="00E26E0A">
        <w:rPr>
          <w:sz w:val="20"/>
          <w:szCs w:val="20"/>
        </w:rPr>
        <w:t xml:space="preserve">analysis after </w:t>
      </w:r>
      <w:proofErr w:type="spellStart"/>
      <w:r w:rsidRPr="00E26E0A">
        <w:rPr>
          <w:sz w:val="20"/>
          <w:szCs w:val="20"/>
        </w:rPr>
        <w:t>varimax</w:t>
      </w:r>
      <w:proofErr w:type="spellEnd"/>
      <w:r w:rsidRPr="00E26E0A">
        <w:rPr>
          <w:sz w:val="20"/>
          <w:szCs w:val="20"/>
        </w:rPr>
        <w:t xml:space="preserve"> rotation of farmers’ responses to questions </w:t>
      </w:r>
      <w:r>
        <w:rPr>
          <w:sz w:val="20"/>
          <w:szCs w:val="20"/>
        </w:rPr>
        <w:t xml:space="preserve">on production </w:t>
      </w:r>
      <w:r w:rsidRPr="00E26E0A">
        <w:rPr>
          <w:sz w:val="20"/>
          <w:szCs w:val="20"/>
        </w:rPr>
        <w:t xml:space="preserve">constraints associated with </w:t>
      </w:r>
      <w:r>
        <w:rPr>
          <w:sz w:val="20"/>
          <w:szCs w:val="20"/>
        </w:rPr>
        <w:t xml:space="preserve">arable crop </w:t>
      </w:r>
      <w:r w:rsidRPr="00E26E0A">
        <w:rPr>
          <w:sz w:val="20"/>
          <w:szCs w:val="20"/>
        </w:rPr>
        <w:t>production</w:t>
      </w:r>
      <w:r>
        <w:rPr>
          <w:sz w:val="20"/>
          <w:szCs w:val="20"/>
        </w:rPr>
        <w:t xml:space="preserve"> in the study area</w:t>
      </w:r>
      <w:r w:rsidRPr="00E26E0A">
        <w:rPr>
          <w:sz w:val="20"/>
          <w:szCs w:val="20"/>
        </w:rPr>
        <w:t xml:space="preserve">. These constraints were listed according to the proportion of variance associated with them </w:t>
      </w:r>
      <w:r>
        <w:rPr>
          <w:sz w:val="20"/>
          <w:szCs w:val="20"/>
        </w:rPr>
        <w:t>and were classified under four</w:t>
      </w:r>
      <w:r w:rsidRPr="00E26E0A">
        <w:rPr>
          <w:sz w:val="20"/>
          <w:szCs w:val="20"/>
        </w:rPr>
        <w:t xml:space="preserve"> major factors.  These are economic</w:t>
      </w:r>
      <w:r>
        <w:rPr>
          <w:sz w:val="20"/>
          <w:szCs w:val="20"/>
        </w:rPr>
        <w:t xml:space="preserve"> and socio-cultural, </w:t>
      </w:r>
      <w:r w:rsidRPr="00E26E0A">
        <w:rPr>
          <w:sz w:val="20"/>
          <w:szCs w:val="20"/>
        </w:rPr>
        <w:t>institutional</w:t>
      </w:r>
      <w:r>
        <w:rPr>
          <w:sz w:val="20"/>
          <w:szCs w:val="20"/>
        </w:rPr>
        <w:t>, environmental and infrastructural factor</w:t>
      </w:r>
      <w:r w:rsidRPr="00E26E0A">
        <w:rPr>
          <w:sz w:val="20"/>
          <w:szCs w:val="20"/>
        </w:rPr>
        <w:t>s and are discussed as follows:</w:t>
      </w:r>
    </w:p>
    <w:p w:rsidR="009775DB" w:rsidRPr="00E26E0A" w:rsidRDefault="009775DB" w:rsidP="009775DB">
      <w:pPr>
        <w:spacing w:after="0" w:line="240" w:lineRule="auto"/>
        <w:jc w:val="both"/>
        <w:rPr>
          <w:sz w:val="20"/>
          <w:szCs w:val="20"/>
        </w:rPr>
      </w:pPr>
      <w:r w:rsidRPr="00E26E0A">
        <w:rPr>
          <w:b/>
          <w:sz w:val="20"/>
          <w:szCs w:val="20"/>
        </w:rPr>
        <w:t xml:space="preserve">Factor 1 (economic </w:t>
      </w:r>
      <w:r>
        <w:rPr>
          <w:b/>
          <w:sz w:val="20"/>
          <w:szCs w:val="20"/>
        </w:rPr>
        <w:t xml:space="preserve">and socio-cultural </w:t>
      </w:r>
      <w:r w:rsidRPr="00E26E0A">
        <w:rPr>
          <w:b/>
          <w:sz w:val="20"/>
          <w:szCs w:val="20"/>
        </w:rPr>
        <w:t xml:space="preserve">factors): </w:t>
      </w:r>
      <w:r w:rsidRPr="00303FF9">
        <w:rPr>
          <w:sz w:val="20"/>
          <w:szCs w:val="20"/>
        </w:rPr>
        <w:t>The constraints</w:t>
      </w:r>
      <w:r>
        <w:rPr>
          <w:b/>
          <w:sz w:val="20"/>
          <w:szCs w:val="20"/>
        </w:rPr>
        <w:t xml:space="preserve"> </w:t>
      </w:r>
      <w:r>
        <w:rPr>
          <w:sz w:val="20"/>
          <w:szCs w:val="20"/>
        </w:rPr>
        <w:t>that load high in f</w:t>
      </w:r>
      <w:r w:rsidRPr="00E26E0A">
        <w:rPr>
          <w:sz w:val="20"/>
          <w:szCs w:val="20"/>
        </w:rPr>
        <w:t xml:space="preserve">actor one comprised of high cost of </w:t>
      </w:r>
      <w:r>
        <w:rPr>
          <w:sz w:val="20"/>
          <w:szCs w:val="20"/>
        </w:rPr>
        <w:t>farm inputs</w:t>
      </w:r>
      <w:r w:rsidRPr="00E26E0A">
        <w:rPr>
          <w:sz w:val="20"/>
          <w:szCs w:val="20"/>
        </w:rPr>
        <w:t xml:space="preserve"> (</w:t>
      </w:r>
      <w:r w:rsidRPr="00E26E0A">
        <w:rPr>
          <w:rFonts w:eastAsia="Times New Roman"/>
          <w:color w:val="000000"/>
          <w:sz w:val="20"/>
          <w:szCs w:val="20"/>
        </w:rPr>
        <w:t>0.</w:t>
      </w:r>
      <w:r>
        <w:rPr>
          <w:rFonts w:eastAsia="Times New Roman"/>
          <w:color w:val="000000"/>
          <w:sz w:val="20"/>
          <w:szCs w:val="20"/>
        </w:rPr>
        <w:t>649</w:t>
      </w:r>
      <w:r w:rsidRPr="00E26E0A">
        <w:rPr>
          <w:sz w:val="20"/>
          <w:szCs w:val="20"/>
        </w:rPr>
        <w:t xml:space="preserve">), </w:t>
      </w:r>
      <w:r>
        <w:rPr>
          <w:sz w:val="20"/>
          <w:szCs w:val="20"/>
        </w:rPr>
        <w:t xml:space="preserve">low and unattractive prices for farm produce </w:t>
      </w:r>
      <w:r w:rsidRPr="00E26E0A">
        <w:rPr>
          <w:sz w:val="20"/>
          <w:szCs w:val="20"/>
        </w:rPr>
        <w:t>(</w:t>
      </w:r>
      <w:r w:rsidRPr="00E26E0A">
        <w:rPr>
          <w:rFonts w:eastAsia="Times New Roman"/>
          <w:color w:val="000000"/>
          <w:sz w:val="20"/>
          <w:szCs w:val="20"/>
        </w:rPr>
        <w:t>0.</w:t>
      </w:r>
      <w:r>
        <w:rPr>
          <w:rFonts w:eastAsia="Times New Roman"/>
          <w:color w:val="000000"/>
          <w:sz w:val="20"/>
          <w:szCs w:val="20"/>
        </w:rPr>
        <w:t>707</w:t>
      </w:r>
      <w:r w:rsidRPr="00E26E0A">
        <w:rPr>
          <w:sz w:val="20"/>
          <w:szCs w:val="20"/>
        </w:rPr>
        <w:t>)</w:t>
      </w:r>
      <w:r>
        <w:rPr>
          <w:sz w:val="20"/>
          <w:szCs w:val="20"/>
        </w:rPr>
        <w:t>,</w:t>
      </w:r>
      <w:r w:rsidRPr="00E26E0A">
        <w:rPr>
          <w:sz w:val="20"/>
          <w:szCs w:val="20"/>
        </w:rPr>
        <w:t xml:space="preserve"> </w:t>
      </w:r>
      <w:r>
        <w:rPr>
          <w:sz w:val="20"/>
          <w:szCs w:val="20"/>
        </w:rPr>
        <w:t xml:space="preserve">pilfering/theft (0.608) </w:t>
      </w:r>
      <w:r w:rsidRPr="00E26E0A">
        <w:rPr>
          <w:sz w:val="20"/>
          <w:szCs w:val="20"/>
        </w:rPr>
        <w:t>and co</w:t>
      </w:r>
      <w:r>
        <w:rPr>
          <w:sz w:val="20"/>
          <w:szCs w:val="20"/>
        </w:rPr>
        <w:t>nflict with Fulani herdsmen (0.600</w:t>
      </w:r>
      <w:r w:rsidRPr="00E26E0A">
        <w:rPr>
          <w:sz w:val="20"/>
          <w:szCs w:val="20"/>
        </w:rPr>
        <w:t xml:space="preserve">). High cost of farm inputs </w:t>
      </w:r>
      <w:r>
        <w:rPr>
          <w:sz w:val="20"/>
          <w:szCs w:val="20"/>
        </w:rPr>
        <w:t>is</w:t>
      </w:r>
      <w:r w:rsidRPr="00E26E0A">
        <w:rPr>
          <w:sz w:val="20"/>
          <w:szCs w:val="20"/>
        </w:rPr>
        <w:t xml:space="preserve"> a major constraint which poses a barrier to farmers’ timely access to adequate resources required for improved </w:t>
      </w:r>
      <w:r>
        <w:rPr>
          <w:sz w:val="20"/>
          <w:szCs w:val="20"/>
        </w:rPr>
        <w:t xml:space="preserve">crop </w:t>
      </w:r>
      <w:r w:rsidRPr="00E26E0A">
        <w:rPr>
          <w:sz w:val="20"/>
          <w:szCs w:val="20"/>
        </w:rPr>
        <w:t xml:space="preserve">productivity. </w:t>
      </w:r>
      <w:r>
        <w:rPr>
          <w:sz w:val="20"/>
          <w:szCs w:val="20"/>
        </w:rPr>
        <w:t xml:space="preserve">Low and unattractive market prices could </w:t>
      </w:r>
      <w:r w:rsidRPr="00E26E0A">
        <w:rPr>
          <w:sz w:val="20"/>
          <w:szCs w:val="20"/>
        </w:rPr>
        <w:t>limit the profit maximization objective</w:t>
      </w:r>
      <w:r>
        <w:rPr>
          <w:sz w:val="20"/>
          <w:szCs w:val="20"/>
        </w:rPr>
        <w:t xml:space="preserve"> the farmers and could discourage them from intensifying production.</w:t>
      </w:r>
      <w:r w:rsidRPr="00E26E0A">
        <w:rPr>
          <w:sz w:val="20"/>
          <w:szCs w:val="20"/>
        </w:rPr>
        <w:t xml:space="preserve"> </w:t>
      </w:r>
      <w:r>
        <w:rPr>
          <w:sz w:val="20"/>
          <w:szCs w:val="20"/>
        </w:rPr>
        <w:t xml:space="preserve">Pilfering/theft and conflict with Fulani herdsmen have the potential to reduce farmers’ crop yield and farm income.   </w:t>
      </w:r>
    </w:p>
    <w:p w:rsidR="009775DB" w:rsidRPr="007C125B" w:rsidRDefault="009775DB" w:rsidP="009775DB">
      <w:pPr>
        <w:spacing w:after="0" w:line="240" w:lineRule="auto"/>
        <w:jc w:val="both"/>
        <w:rPr>
          <w:sz w:val="20"/>
          <w:szCs w:val="20"/>
        </w:rPr>
      </w:pPr>
      <w:r w:rsidRPr="007C125B">
        <w:rPr>
          <w:b/>
          <w:sz w:val="20"/>
          <w:szCs w:val="20"/>
        </w:rPr>
        <w:t>Factor 2 (institutional factors):</w:t>
      </w:r>
      <w:r w:rsidRPr="007C125B">
        <w:rPr>
          <w:sz w:val="20"/>
          <w:szCs w:val="20"/>
        </w:rPr>
        <w:t xml:space="preserve"> This was dominated by problem of high cost of acquiring credit facilities (0.538), inadequate market information (0.795), inadequate extension and farm advisory services (0.759) and no co-operative or farmers’ association (</w:t>
      </w:r>
      <w:r w:rsidRPr="007C125B">
        <w:rPr>
          <w:rFonts w:eastAsia="Times New Roman"/>
          <w:color w:val="000000"/>
          <w:sz w:val="20"/>
          <w:szCs w:val="20"/>
        </w:rPr>
        <w:t>0.691</w:t>
      </w:r>
      <w:r w:rsidRPr="007C125B">
        <w:rPr>
          <w:sz w:val="20"/>
          <w:szCs w:val="20"/>
        </w:rPr>
        <w:t>). Credit facilities serves a great purpose of enabling farmers gain access to required inputs towards improved productivity and standard of living. However, when farmers are not able to access adequate credit, they tend to get discouraged and reduce cultivable acreage to a sizeable level. This inhibits their productivity as well as their livelihood.</w:t>
      </w:r>
      <w:r>
        <w:rPr>
          <w:sz w:val="20"/>
          <w:szCs w:val="20"/>
        </w:rPr>
        <w:t xml:space="preserve"> Also, the problem of inadequate market information and extension services</w:t>
      </w:r>
      <w:r w:rsidRPr="007C125B">
        <w:rPr>
          <w:sz w:val="20"/>
          <w:szCs w:val="20"/>
        </w:rPr>
        <w:t xml:space="preserve"> could be that extension agents were not enough in terms of number and perhaps are not also well equipped with </w:t>
      </w:r>
      <w:r>
        <w:rPr>
          <w:sz w:val="20"/>
          <w:szCs w:val="20"/>
        </w:rPr>
        <w:t xml:space="preserve">adequate knowledge and </w:t>
      </w:r>
      <w:r w:rsidRPr="007C125B">
        <w:rPr>
          <w:sz w:val="20"/>
          <w:szCs w:val="20"/>
        </w:rPr>
        <w:t>facilities that will foster appr</w:t>
      </w:r>
      <w:r>
        <w:rPr>
          <w:sz w:val="20"/>
          <w:szCs w:val="20"/>
        </w:rPr>
        <w:t>opriate service delivery to the</w:t>
      </w:r>
      <w:r w:rsidRPr="007C125B">
        <w:rPr>
          <w:sz w:val="20"/>
          <w:szCs w:val="20"/>
        </w:rPr>
        <w:t xml:space="preserve"> farmers. </w:t>
      </w:r>
      <w:r>
        <w:rPr>
          <w:sz w:val="20"/>
          <w:szCs w:val="20"/>
        </w:rPr>
        <w:t xml:space="preserve">The farmers also had the problem of no cooperative society or farmers’ association. </w:t>
      </w:r>
      <w:r w:rsidRPr="007C125B">
        <w:rPr>
          <w:sz w:val="20"/>
          <w:szCs w:val="20"/>
        </w:rPr>
        <w:t xml:space="preserve">This lends credence to the argument of </w:t>
      </w:r>
      <w:proofErr w:type="spellStart"/>
      <w:r w:rsidRPr="007C125B">
        <w:rPr>
          <w:sz w:val="20"/>
          <w:szCs w:val="20"/>
        </w:rPr>
        <w:t>Eze</w:t>
      </w:r>
      <w:proofErr w:type="spellEnd"/>
      <w:r w:rsidRPr="007C125B">
        <w:rPr>
          <w:sz w:val="20"/>
          <w:szCs w:val="20"/>
        </w:rPr>
        <w:t xml:space="preserve"> and </w:t>
      </w:r>
      <w:proofErr w:type="spellStart"/>
      <w:r w:rsidRPr="007C125B">
        <w:rPr>
          <w:sz w:val="20"/>
          <w:szCs w:val="20"/>
        </w:rPr>
        <w:t>Akpa</w:t>
      </w:r>
      <w:proofErr w:type="spellEnd"/>
      <w:r w:rsidRPr="007C125B">
        <w:rPr>
          <w:sz w:val="20"/>
          <w:szCs w:val="20"/>
        </w:rPr>
        <w:t xml:space="preserve"> (2010</w:t>
      </w:r>
      <w:r w:rsidR="00F45A64">
        <w:rPr>
          <w:sz w:val="20"/>
          <w:szCs w:val="20"/>
        </w:rPr>
        <w:t>, p.113</w:t>
      </w:r>
      <w:r w:rsidRPr="007C125B">
        <w:rPr>
          <w:sz w:val="20"/>
          <w:szCs w:val="20"/>
        </w:rPr>
        <w:t>) that, inadequate transfer of information to farmers by extension age</w:t>
      </w:r>
      <w:r>
        <w:rPr>
          <w:sz w:val="20"/>
          <w:szCs w:val="20"/>
        </w:rPr>
        <w:t xml:space="preserve">nts due to bottlenecks such as inexistence of or poor cooperation of the farmers which </w:t>
      </w:r>
      <w:r w:rsidRPr="007C125B">
        <w:rPr>
          <w:sz w:val="20"/>
          <w:szCs w:val="20"/>
        </w:rPr>
        <w:t>could lead to poor service delivery.</w:t>
      </w:r>
    </w:p>
    <w:p w:rsidR="009775DB" w:rsidRPr="003C58B3" w:rsidRDefault="009775DB" w:rsidP="009775DB">
      <w:pPr>
        <w:spacing w:after="0" w:line="240" w:lineRule="auto"/>
        <w:jc w:val="both"/>
        <w:rPr>
          <w:sz w:val="20"/>
          <w:szCs w:val="20"/>
        </w:rPr>
      </w:pPr>
      <w:r w:rsidRPr="003C58B3">
        <w:rPr>
          <w:b/>
          <w:sz w:val="20"/>
          <w:szCs w:val="20"/>
        </w:rPr>
        <w:t>Factor 3 (environmental factors):</w:t>
      </w:r>
      <w:r w:rsidRPr="003C58B3">
        <w:rPr>
          <w:sz w:val="20"/>
          <w:szCs w:val="20"/>
        </w:rPr>
        <w:t xml:space="preserve"> The environmental factors here had high loading on high incidence of pest and disease (0.695), impoverished farmland (0.535) and flooding (0.715). It is possible that the farmers are using seeds that are not pest and disease resistant. These problems altogether poses great threat to crop yield and farmers’ productivity in the study area.</w:t>
      </w:r>
    </w:p>
    <w:p w:rsidR="009775DB" w:rsidRPr="00E26E0A" w:rsidRDefault="009775DB" w:rsidP="009775DB">
      <w:pPr>
        <w:spacing w:line="240" w:lineRule="auto"/>
        <w:jc w:val="both"/>
        <w:rPr>
          <w:sz w:val="20"/>
          <w:szCs w:val="20"/>
        </w:rPr>
      </w:pPr>
      <w:r>
        <w:rPr>
          <w:b/>
          <w:sz w:val="20"/>
          <w:szCs w:val="20"/>
        </w:rPr>
        <w:t>Factor 4</w:t>
      </w:r>
      <w:r w:rsidRPr="00E26E0A">
        <w:rPr>
          <w:b/>
          <w:sz w:val="20"/>
          <w:szCs w:val="20"/>
        </w:rPr>
        <w:t xml:space="preserve"> (infrastructural factors):</w:t>
      </w:r>
      <w:r w:rsidRPr="00E26E0A">
        <w:rPr>
          <w:sz w:val="20"/>
          <w:szCs w:val="20"/>
        </w:rPr>
        <w:t xml:space="preserve"> This was dominated by problem of poor</w:t>
      </w:r>
      <w:r>
        <w:rPr>
          <w:sz w:val="20"/>
          <w:szCs w:val="20"/>
        </w:rPr>
        <w:t xml:space="preserve"> road access and transport facilities (0.581) and inadequate </w:t>
      </w:r>
      <w:r w:rsidRPr="00E26E0A">
        <w:rPr>
          <w:sz w:val="20"/>
          <w:szCs w:val="20"/>
        </w:rPr>
        <w:t>storage facilities (</w:t>
      </w:r>
      <w:r w:rsidRPr="00E26E0A">
        <w:rPr>
          <w:rFonts w:eastAsia="Times New Roman"/>
          <w:color w:val="000000"/>
          <w:sz w:val="20"/>
          <w:szCs w:val="20"/>
        </w:rPr>
        <w:t>0.</w:t>
      </w:r>
      <w:r>
        <w:rPr>
          <w:rFonts w:eastAsia="Times New Roman"/>
          <w:color w:val="000000"/>
          <w:sz w:val="20"/>
          <w:szCs w:val="20"/>
        </w:rPr>
        <w:t>617</w:t>
      </w:r>
      <w:r w:rsidRPr="00E26E0A">
        <w:rPr>
          <w:sz w:val="20"/>
          <w:szCs w:val="20"/>
        </w:rPr>
        <w:t>)). The implication of these is that, farmers are not able to smoothly transport their farm produce from the field and also not able to preserve it for a long time. This could cause the farmers to suffer post-harvest losses which will reduce their farm income.</w:t>
      </w:r>
    </w:p>
    <w:p w:rsidR="009775DB" w:rsidRPr="00E26E0A" w:rsidRDefault="009775DB" w:rsidP="009775DB">
      <w:pPr>
        <w:spacing w:line="240" w:lineRule="auto"/>
        <w:jc w:val="both"/>
        <w:rPr>
          <w:sz w:val="20"/>
          <w:szCs w:val="20"/>
        </w:rPr>
      </w:pPr>
      <w:r>
        <w:rPr>
          <w:sz w:val="20"/>
          <w:szCs w:val="20"/>
        </w:rPr>
        <w:t xml:space="preserve">After the factor analysis, the combination of variables in the first factor explained 19.77% of the variance, the second factor component explained 15.59% of the variance, the third factor explained 9.75% of the variance and </w:t>
      </w:r>
      <w:r>
        <w:rPr>
          <w:sz w:val="20"/>
          <w:szCs w:val="20"/>
        </w:rPr>
        <w:lastRenderedPageBreak/>
        <w:t>the fourth factor explained 7.95% of the variance in the 13 variables scale. The true factors that were retained explained 53.06% of the variance in the 13 constraining factor or variable components.</w:t>
      </w:r>
    </w:p>
    <w:p w:rsidR="009775DB" w:rsidRPr="00E45F93" w:rsidRDefault="009775DB" w:rsidP="009775DB">
      <w:pPr>
        <w:spacing w:after="0"/>
        <w:rPr>
          <w:b/>
          <w:sz w:val="20"/>
          <w:szCs w:val="20"/>
        </w:rPr>
      </w:pPr>
      <w:r w:rsidRPr="00E45F93">
        <w:rPr>
          <w:b/>
          <w:sz w:val="20"/>
          <w:szCs w:val="20"/>
        </w:rPr>
        <w:t>Table 3</w:t>
      </w:r>
      <w:r>
        <w:rPr>
          <w:b/>
          <w:sz w:val="20"/>
          <w:szCs w:val="20"/>
        </w:rPr>
        <w:t>: Principal component analysis of farmers’ production constraints in the study area</w:t>
      </w:r>
    </w:p>
    <w:tbl>
      <w:tblPr>
        <w:tblStyle w:val="LightShading"/>
        <w:tblW w:w="9356" w:type="dxa"/>
        <w:tblLook w:val="0620"/>
      </w:tblPr>
      <w:tblGrid>
        <w:gridCol w:w="5215"/>
        <w:gridCol w:w="1035"/>
        <w:gridCol w:w="1035"/>
        <w:gridCol w:w="1035"/>
        <w:gridCol w:w="1036"/>
      </w:tblGrid>
      <w:tr w:rsidR="009775DB" w:rsidRPr="00E45F93" w:rsidTr="004421B1">
        <w:trPr>
          <w:cnfStyle w:val="100000000000"/>
          <w:trHeight w:val="201"/>
        </w:trPr>
        <w:tc>
          <w:tcPr>
            <w:tcW w:w="5215" w:type="dxa"/>
            <w:vMerge w:val="restart"/>
            <w:noWrap/>
            <w:hideMark/>
          </w:tcPr>
          <w:p w:rsidR="009775DB" w:rsidRPr="00E45F93" w:rsidRDefault="009775DB" w:rsidP="004421B1">
            <w:pPr>
              <w:rPr>
                <w:rFonts w:eastAsia="Times New Roman"/>
                <w:sz w:val="20"/>
                <w:szCs w:val="20"/>
                <w:lang w:val="en-US"/>
              </w:rPr>
            </w:pPr>
            <w:r w:rsidRPr="00E45F93">
              <w:rPr>
                <w:rFonts w:eastAsia="Times New Roman"/>
                <w:sz w:val="20"/>
                <w:szCs w:val="20"/>
                <w:lang w:val="en-US"/>
              </w:rPr>
              <w:t>Constraints</w:t>
            </w:r>
          </w:p>
        </w:tc>
        <w:tc>
          <w:tcPr>
            <w:tcW w:w="4140" w:type="dxa"/>
            <w:gridSpan w:val="4"/>
            <w:tcBorders>
              <w:bottom w:val="nil"/>
            </w:tcBorders>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Component</w:t>
            </w:r>
          </w:p>
        </w:tc>
      </w:tr>
      <w:tr w:rsidR="009775DB" w:rsidRPr="00E45F93" w:rsidTr="004421B1">
        <w:trPr>
          <w:trHeight w:val="201"/>
        </w:trPr>
        <w:tc>
          <w:tcPr>
            <w:tcW w:w="5215" w:type="dxa"/>
            <w:vMerge/>
            <w:tcBorders>
              <w:bottom w:val="single" w:sz="4" w:space="0" w:color="auto"/>
            </w:tcBorders>
            <w:noWrap/>
            <w:hideMark/>
          </w:tcPr>
          <w:p w:rsidR="009775DB" w:rsidRPr="00E45F93" w:rsidRDefault="009775DB" w:rsidP="004421B1">
            <w:pPr>
              <w:rPr>
                <w:rFonts w:eastAsia="Times New Roman"/>
                <w:sz w:val="20"/>
                <w:szCs w:val="20"/>
                <w:lang w:val="en-US"/>
              </w:rPr>
            </w:pPr>
          </w:p>
        </w:tc>
        <w:tc>
          <w:tcPr>
            <w:tcW w:w="1035" w:type="dxa"/>
            <w:tcBorders>
              <w:bottom w:val="single" w:sz="4" w:space="0" w:color="auto"/>
            </w:tcBorders>
            <w:hideMark/>
          </w:tcPr>
          <w:p w:rsidR="009775DB" w:rsidRPr="00E45F93" w:rsidRDefault="009775DB" w:rsidP="004421B1">
            <w:pPr>
              <w:jc w:val="center"/>
              <w:rPr>
                <w:rFonts w:eastAsia="Times New Roman"/>
                <w:b/>
                <w:sz w:val="20"/>
                <w:szCs w:val="20"/>
                <w:lang w:val="en-US"/>
              </w:rPr>
            </w:pPr>
            <w:r w:rsidRPr="00E45F93">
              <w:rPr>
                <w:rFonts w:eastAsia="Times New Roman"/>
                <w:b/>
                <w:sz w:val="20"/>
                <w:szCs w:val="20"/>
                <w:lang w:val="en-US"/>
              </w:rPr>
              <w:t>Factor 1</w:t>
            </w:r>
          </w:p>
        </w:tc>
        <w:tc>
          <w:tcPr>
            <w:tcW w:w="1035" w:type="dxa"/>
            <w:tcBorders>
              <w:bottom w:val="single" w:sz="4" w:space="0" w:color="auto"/>
            </w:tcBorders>
            <w:hideMark/>
          </w:tcPr>
          <w:p w:rsidR="009775DB" w:rsidRPr="00E45F93" w:rsidRDefault="009775DB" w:rsidP="004421B1">
            <w:pPr>
              <w:jc w:val="center"/>
              <w:rPr>
                <w:rFonts w:eastAsia="Times New Roman"/>
                <w:b/>
                <w:sz w:val="20"/>
                <w:szCs w:val="20"/>
                <w:lang w:val="en-US"/>
              </w:rPr>
            </w:pPr>
            <w:r w:rsidRPr="00E45F93">
              <w:rPr>
                <w:rFonts w:eastAsia="Times New Roman"/>
                <w:b/>
                <w:sz w:val="20"/>
                <w:szCs w:val="20"/>
                <w:lang w:val="en-US"/>
              </w:rPr>
              <w:t>Factor 2</w:t>
            </w:r>
          </w:p>
        </w:tc>
        <w:tc>
          <w:tcPr>
            <w:tcW w:w="1035" w:type="dxa"/>
            <w:tcBorders>
              <w:bottom w:val="single" w:sz="4" w:space="0" w:color="auto"/>
            </w:tcBorders>
            <w:hideMark/>
          </w:tcPr>
          <w:p w:rsidR="009775DB" w:rsidRPr="00E45F93" w:rsidRDefault="009775DB" w:rsidP="004421B1">
            <w:pPr>
              <w:jc w:val="center"/>
              <w:rPr>
                <w:rFonts w:eastAsia="Times New Roman"/>
                <w:b/>
                <w:sz w:val="20"/>
                <w:szCs w:val="20"/>
                <w:lang w:val="en-US"/>
              </w:rPr>
            </w:pPr>
            <w:r w:rsidRPr="00E45F93">
              <w:rPr>
                <w:rFonts w:eastAsia="Times New Roman"/>
                <w:b/>
                <w:sz w:val="20"/>
                <w:szCs w:val="20"/>
                <w:lang w:val="en-US"/>
              </w:rPr>
              <w:t>Factor 3</w:t>
            </w:r>
          </w:p>
        </w:tc>
        <w:tc>
          <w:tcPr>
            <w:tcW w:w="1036" w:type="dxa"/>
            <w:tcBorders>
              <w:top w:val="nil"/>
              <w:bottom w:val="single" w:sz="4" w:space="0" w:color="auto"/>
            </w:tcBorders>
            <w:hideMark/>
          </w:tcPr>
          <w:p w:rsidR="009775DB" w:rsidRPr="00E45F93" w:rsidRDefault="009775DB" w:rsidP="004421B1">
            <w:pPr>
              <w:jc w:val="center"/>
              <w:rPr>
                <w:rFonts w:eastAsia="Times New Roman"/>
                <w:b/>
                <w:sz w:val="20"/>
                <w:szCs w:val="20"/>
                <w:lang w:val="en-US"/>
              </w:rPr>
            </w:pPr>
            <w:r w:rsidRPr="00E45F93">
              <w:rPr>
                <w:rFonts w:eastAsia="Times New Roman"/>
                <w:b/>
                <w:sz w:val="20"/>
                <w:szCs w:val="20"/>
                <w:lang w:val="en-US"/>
              </w:rPr>
              <w:t>Factor 4</w:t>
            </w:r>
          </w:p>
        </w:tc>
      </w:tr>
      <w:tr w:rsidR="009775DB" w:rsidRPr="00E45F93" w:rsidTr="004421B1">
        <w:trPr>
          <w:trHeight w:val="211"/>
        </w:trPr>
        <w:tc>
          <w:tcPr>
            <w:tcW w:w="5215" w:type="dxa"/>
            <w:tcBorders>
              <w:top w:val="single" w:sz="4" w:space="0" w:color="auto"/>
            </w:tcBorders>
            <w:noWrap/>
            <w:hideMark/>
          </w:tcPr>
          <w:p w:rsidR="009775DB" w:rsidRPr="00E45F93" w:rsidRDefault="009775DB" w:rsidP="004421B1">
            <w:pPr>
              <w:jc w:val="both"/>
              <w:rPr>
                <w:rFonts w:eastAsia="Times New Roman"/>
                <w:color w:val="000000"/>
                <w:sz w:val="20"/>
                <w:szCs w:val="20"/>
                <w:lang w:val="en-US"/>
              </w:rPr>
            </w:pPr>
            <w:r w:rsidRPr="00E45F93">
              <w:rPr>
                <w:rFonts w:eastAsia="Times New Roman"/>
                <w:color w:val="000000"/>
                <w:sz w:val="20"/>
                <w:szCs w:val="20"/>
                <w:lang w:val="en-US"/>
              </w:rPr>
              <w:t xml:space="preserve">High cost of farm inputs </w:t>
            </w:r>
          </w:p>
        </w:tc>
        <w:tc>
          <w:tcPr>
            <w:tcW w:w="1035" w:type="dxa"/>
            <w:tcBorders>
              <w:top w:val="single" w:sz="4" w:space="0" w:color="auto"/>
            </w:tcBorders>
            <w:noWrap/>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0.649</w:t>
            </w:r>
          </w:p>
        </w:tc>
        <w:tc>
          <w:tcPr>
            <w:tcW w:w="1035" w:type="dxa"/>
            <w:tcBorders>
              <w:top w:val="single" w:sz="4" w:space="0" w:color="auto"/>
            </w:tcBorders>
            <w:noWrap/>
            <w:hideMark/>
          </w:tcPr>
          <w:p w:rsidR="009775DB" w:rsidRPr="00E45F93" w:rsidRDefault="009775DB" w:rsidP="004421B1">
            <w:pPr>
              <w:jc w:val="center"/>
              <w:rPr>
                <w:rFonts w:eastAsia="Times New Roman"/>
                <w:sz w:val="20"/>
                <w:szCs w:val="20"/>
                <w:lang w:val="en-US"/>
              </w:rPr>
            </w:pPr>
          </w:p>
        </w:tc>
        <w:tc>
          <w:tcPr>
            <w:tcW w:w="1035" w:type="dxa"/>
            <w:tcBorders>
              <w:top w:val="single" w:sz="4" w:space="0" w:color="auto"/>
            </w:tcBorders>
            <w:noWrap/>
            <w:hideMark/>
          </w:tcPr>
          <w:p w:rsidR="009775DB" w:rsidRPr="00E45F93" w:rsidRDefault="009775DB" w:rsidP="004421B1">
            <w:pPr>
              <w:jc w:val="center"/>
              <w:rPr>
                <w:rFonts w:eastAsia="Times New Roman"/>
                <w:sz w:val="20"/>
                <w:szCs w:val="20"/>
                <w:lang w:val="en-US"/>
              </w:rPr>
            </w:pPr>
          </w:p>
        </w:tc>
        <w:tc>
          <w:tcPr>
            <w:tcW w:w="1036" w:type="dxa"/>
            <w:tcBorders>
              <w:top w:val="single" w:sz="4" w:space="0" w:color="auto"/>
            </w:tcBorders>
            <w:noWrap/>
            <w:hideMark/>
          </w:tcPr>
          <w:p w:rsidR="009775DB" w:rsidRPr="00E45F93" w:rsidRDefault="009775DB" w:rsidP="004421B1">
            <w:pPr>
              <w:jc w:val="center"/>
              <w:rPr>
                <w:rFonts w:eastAsia="Times New Roman"/>
                <w:sz w:val="20"/>
                <w:szCs w:val="20"/>
                <w:lang w:val="en-US"/>
              </w:rPr>
            </w:pPr>
          </w:p>
        </w:tc>
      </w:tr>
      <w:tr w:rsidR="009775DB" w:rsidRPr="00E45F93" w:rsidTr="004421B1">
        <w:trPr>
          <w:trHeight w:val="211"/>
        </w:trPr>
        <w:tc>
          <w:tcPr>
            <w:tcW w:w="5215" w:type="dxa"/>
            <w:noWrap/>
            <w:hideMark/>
          </w:tcPr>
          <w:p w:rsidR="009775DB" w:rsidRPr="00E45F93" w:rsidRDefault="009775DB" w:rsidP="004421B1">
            <w:pPr>
              <w:jc w:val="both"/>
              <w:rPr>
                <w:rFonts w:eastAsia="Times New Roman"/>
                <w:color w:val="000000"/>
                <w:sz w:val="20"/>
                <w:szCs w:val="20"/>
                <w:lang w:val="en-US"/>
              </w:rPr>
            </w:pPr>
            <w:r w:rsidRPr="00E45F93">
              <w:rPr>
                <w:rFonts w:eastAsia="Times New Roman"/>
                <w:color w:val="000000"/>
                <w:sz w:val="20"/>
                <w:szCs w:val="20"/>
                <w:lang w:val="en-US"/>
              </w:rPr>
              <w:t>Low and unattractive prices for farm produce</w:t>
            </w:r>
          </w:p>
        </w:tc>
        <w:tc>
          <w:tcPr>
            <w:tcW w:w="1035" w:type="dxa"/>
            <w:noWrap/>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0.707</w:t>
            </w:r>
          </w:p>
        </w:tc>
        <w:tc>
          <w:tcPr>
            <w:tcW w:w="1035" w:type="dxa"/>
            <w:noWrap/>
            <w:hideMark/>
          </w:tcPr>
          <w:p w:rsidR="009775DB" w:rsidRPr="00E45F93" w:rsidRDefault="009775DB" w:rsidP="004421B1">
            <w:pPr>
              <w:jc w:val="center"/>
              <w:rPr>
                <w:rFonts w:eastAsia="Times New Roman"/>
                <w:sz w:val="20"/>
                <w:szCs w:val="20"/>
                <w:lang w:val="en-US"/>
              </w:rPr>
            </w:pPr>
          </w:p>
        </w:tc>
        <w:tc>
          <w:tcPr>
            <w:tcW w:w="1035" w:type="dxa"/>
            <w:noWrap/>
            <w:hideMark/>
          </w:tcPr>
          <w:p w:rsidR="009775DB" w:rsidRPr="00E45F93" w:rsidRDefault="009775DB" w:rsidP="004421B1">
            <w:pPr>
              <w:jc w:val="center"/>
              <w:rPr>
                <w:rFonts w:eastAsia="Times New Roman"/>
                <w:sz w:val="20"/>
                <w:szCs w:val="20"/>
                <w:lang w:val="en-US"/>
              </w:rPr>
            </w:pPr>
          </w:p>
        </w:tc>
        <w:tc>
          <w:tcPr>
            <w:tcW w:w="1036" w:type="dxa"/>
            <w:noWrap/>
            <w:hideMark/>
          </w:tcPr>
          <w:p w:rsidR="009775DB" w:rsidRPr="00E45F93" w:rsidRDefault="009775DB" w:rsidP="004421B1">
            <w:pPr>
              <w:rPr>
                <w:rFonts w:eastAsia="Times New Roman"/>
                <w:color w:val="000000"/>
                <w:sz w:val="20"/>
                <w:szCs w:val="20"/>
                <w:lang w:val="en-US"/>
              </w:rPr>
            </w:pPr>
          </w:p>
        </w:tc>
      </w:tr>
      <w:tr w:rsidR="009775DB" w:rsidRPr="00E45F93" w:rsidTr="004421B1">
        <w:trPr>
          <w:trHeight w:val="211"/>
        </w:trPr>
        <w:tc>
          <w:tcPr>
            <w:tcW w:w="5215" w:type="dxa"/>
            <w:noWrap/>
            <w:hideMark/>
          </w:tcPr>
          <w:p w:rsidR="009775DB" w:rsidRPr="00E45F93" w:rsidRDefault="009775DB" w:rsidP="004421B1">
            <w:pPr>
              <w:jc w:val="both"/>
              <w:rPr>
                <w:rFonts w:eastAsia="Times New Roman"/>
                <w:color w:val="000000"/>
                <w:sz w:val="20"/>
                <w:szCs w:val="20"/>
                <w:lang w:val="en-US"/>
              </w:rPr>
            </w:pPr>
            <w:r w:rsidRPr="00E45F93">
              <w:rPr>
                <w:rFonts w:eastAsia="Times New Roman"/>
                <w:color w:val="000000"/>
                <w:sz w:val="20"/>
                <w:szCs w:val="20"/>
                <w:lang w:val="en-US"/>
              </w:rPr>
              <w:t>Pilfering/theft</w:t>
            </w:r>
          </w:p>
        </w:tc>
        <w:tc>
          <w:tcPr>
            <w:tcW w:w="1035" w:type="dxa"/>
            <w:noWrap/>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0.608</w:t>
            </w:r>
          </w:p>
        </w:tc>
        <w:tc>
          <w:tcPr>
            <w:tcW w:w="1035" w:type="dxa"/>
            <w:noWrap/>
            <w:hideMark/>
          </w:tcPr>
          <w:p w:rsidR="009775DB" w:rsidRPr="00E45F93" w:rsidRDefault="009775DB" w:rsidP="004421B1">
            <w:pPr>
              <w:jc w:val="center"/>
              <w:rPr>
                <w:rFonts w:eastAsia="Times New Roman"/>
                <w:sz w:val="20"/>
                <w:szCs w:val="20"/>
                <w:lang w:val="en-US"/>
              </w:rPr>
            </w:pPr>
          </w:p>
        </w:tc>
        <w:tc>
          <w:tcPr>
            <w:tcW w:w="1035" w:type="dxa"/>
            <w:noWrap/>
            <w:hideMark/>
          </w:tcPr>
          <w:p w:rsidR="009775DB" w:rsidRPr="00E45F93" w:rsidRDefault="009775DB" w:rsidP="004421B1">
            <w:pPr>
              <w:jc w:val="center"/>
              <w:rPr>
                <w:rFonts w:eastAsia="Times New Roman"/>
                <w:sz w:val="20"/>
                <w:szCs w:val="20"/>
                <w:lang w:val="en-US"/>
              </w:rPr>
            </w:pPr>
          </w:p>
        </w:tc>
        <w:tc>
          <w:tcPr>
            <w:tcW w:w="1036" w:type="dxa"/>
            <w:noWrap/>
            <w:hideMark/>
          </w:tcPr>
          <w:p w:rsidR="009775DB" w:rsidRPr="00E45F93" w:rsidRDefault="009775DB" w:rsidP="004421B1">
            <w:pPr>
              <w:jc w:val="center"/>
              <w:rPr>
                <w:rFonts w:eastAsia="Times New Roman"/>
                <w:sz w:val="20"/>
                <w:szCs w:val="20"/>
                <w:lang w:val="en-US"/>
              </w:rPr>
            </w:pPr>
          </w:p>
        </w:tc>
      </w:tr>
      <w:tr w:rsidR="009775DB" w:rsidRPr="00E45F93" w:rsidTr="004421B1">
        <w:trPr>
          <w:trHeight w:val="211"/>
        </w:trPr>
        <w:tc>
          <w:tcPr>
            <w:tcW w:w="5215" w:type="dxa"/>
            <w:noWrap/>
            <w:hideMark/>
          </w:tcPr>
          <w:p w:rsidR="009775DB" w:rsidRPr="00E45F93" w:rsidRDefault="009775DB" w:rsidP="004421B1">
            <w:pPr>
              <w:jc w:val="both"/>
              <w:rPr>
                <w:rFonts w:eastAsia="Times New Roman"/>
                <w:color w:val="000000"/>
                <w:sz w:val="20"/>
                <w:szCs w:val="20"/>
                <w:lang w:val="en-US"/>
              </w:rPr>
            </w:pPr>
            <w:r w:rsidRPr="00E45F93">
              <w:rPr>
                <w:rFonts w:eastAsia="Times New Roman"/>
                <w:color w:val="000000"/>
                <w:sz w:val="20"/>
                <w:szCs w:val="20"/>
                <w:lang w:val="en-US"/>
              </w:rPr>
              <w:t xml:space="preserve">Conflict with Fulani herdsmen </w:t>
            </w:r>
          </w:p>
        </w:tc>
        <w:tc>
          <w:tcPr>
            <w:tcW w:w="1035" w:type="dxa"/>
            <w:noWrap/>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0.600</w:t>
            </w:r>
          </w:p>
        </w:tc>
        <w:tc>
          <w:tcPr>
            <w:tcW w:w="1035" w:type="dxa"/>
            <w:noWrap/>
            <w:hideMark/>
          </w:tcPr>
          <w:p w:rsidR="009775DB" w:rsidRPr="00E45F93" w:rsidRDefault="009775DB" w:rsidP="004421B1">
            <w:pPr>
              <w:jc w:val="center"/>
              <w:rPr>
                <w:rFonts w:eastAsia="Times New Roman"/>
                <w:sz w:val="20"/>
                <w:szCs w:val="20"/>
                <w:lang w:val="en-US"/>
              </w:rPr>
            </w:pPr>
          </w:p>
        </w:tc>
        <w:tc>
          <w:tcPr>
            <w:tcW w:w="1035" w:type="dxa"/>
            <w:noWrap/>
            <w:hideMark/>
          </w:tcPr>
          <w:p w:rsidR="009775DB" w:rsidRPr="00E45F93" w:rsidRDefault="009775DB" w:rsidP="004421B1">
            <w:pPr>
              <w:jc w:val="center"/>
              <w:rPr>
                <w:rFonts w:eastAsia="Times New Roman"/>
                <w:sz w:val="20"/>
                <w:szCs w:val="20"/>
                <w:lang w:val="en-US"/>
              </w:rPr>
            </w:pPr>
          </w:p>
        </w:tc>
        <w:tc>
          <w:tcPr>
            <w:tcW w:w="1036" w:type="dxa"/>
            <w:noWrap/>
            <w:hideMark/>
          </w:tcPr>
          <w:p w:rsidR="009775DB" w:rsidRPr="00E45F93" w:rsidRDefault="009775DB" w:rsidP="004421B1">
            <w:pPr>
              <w:jc w:val="center"/>
              <w:rPr>
                <w:rFonts w:eastAsia="Times New Roman"/>
                <w:sz w:val="20"/>
                <w:szCs w:val="20"/>
                <w:lang w:val="en-US"/>
              </w:rPr>
            </w:pPr>
          </w:p>
        </w:tc>
      </w:tr>
      <w:tr w:rsidR="009775DB" w:rsidRPr="00E45F93" w:rsidTr="004421B1">
        <w:trPr>
          <w:trHeight w:val="211"/>
        </w:trPr>
        <w:tc>
          <w:tcPr>
            <w:tcW w:w="5215" w:type="dxa"/>
            <w:noWrap/>
            <w:hideMark/>
          </w:tcPr>
          <w:p w:rsidR="009775DB" w:rsidRPr="00E45F93" w:rsidRDefault="009775DB" w:rsidP="004421B1">
            <w:pPr>
              <w:jc w:val="both"/>
              <w:rPr>
                <w:rFonts w:eastAsia="Times New Roman"/>
                <w:color w:val="000000"/>
                <w:sz w:val="20"/>
                <w:szCs w:val="20"/>
                <w:lang w:val="en-US"/>
              </w:rPr>
            </w:pPr>
            <w:r w:rsidRPr="00E45F93">
              <w:rPr>
                <w:rFonts w:eastAsia="Times New Roman"/>
                <w:color w:val="000000"/>
                <w:sz w:val="20"/>
                <w:szCs w:val="20"/>
                <w:lang w:val="en-US"/>
              </w:rPr>
              <w:t>High cost of acquiring credit facilities</w:t>
            </w:r>
          </w:p>
        </w:tc>
        <w:tc>
          <w:tcPr>
            <w:tcW w:w="1035" w:type="dxa"/>
            <w:noWrap/>
            <w:hideMark/>
          </w:tcPr>
          <w:p w:rsidR="009775DB" w:rsidRPr="00E45F93" w:rsidRDefault="009775DB" w:rsidP="004421B1">
            <w:pPr>
              <w:rPr>
                <w:rFonts w:eastAsia="Times New Roman"/>
                <w:color w:val="000000"/>
                <w:sz w:val="20"/>
                <w:szCs w:val="20"/>
                <w:lang w:val="en-US"/>
              </w:rPr>
            </w:pPr>
          </w:p>
        </w:tc>
        <w:tc>
          <w:tcPr>
            <w:tcW w:w="1035" w:type="dxa"/>
            <w:noWrap/>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0.538</w:t>
            </w:r>
          </w:p>
        </w:tc>
        <w:tc>
          <w:tcPr>
            <w:tcW w:w="1035" w:type="dxa"/>
            <w:noWrap/>
            <w:hideMark/>
          </w:tcPr>
          <w:p w:rsidR="009775DB" w:rsidRPr="00E45F93" w:rsidRDefault="009775DB" w:rsidP="004421B1">
            <w:pPr>
              <w:rPr>
                <w:rFonts w:eastAsia="Times New Roman"/>
                <w:color w:val="000000"/>
                <w:sz w:val="20"/>
                <w:szCs w:val="20"/>
                <w:lang w:val="en-US"/>
              </w:rPr>
            </w:pPr>
          </w:p>
        </w:tc>
        <w:tc>
          <w:tcPr>
            <w:tcW w:w="1036" w:type="dxa"/>
            <w:noWrap/>
            <w:hideMark/>
          </w:tcPr>
          <w:p w:rsidR="009775DB" w:rsidRPr="00E45F93" w:rsidRDefault="009775DB" w:rsidP="004421B1">
            <w:pPr>
              <w:jc w:val="center"/>
              <w:rPr>
                <w:rFonts w:eastAsia="Times New Roman"/>
                <w:sz w:val="20"/>
                <w:szCs w:val="20"/>
                <w:lang w:val="en-US"/>
              </w:rPr>
            </w:pPr>
          </w:p>
        </w:tc>
      </w:tr>
      <w:tr w:rsidR="009775DB" w:rsidRPr="00E45F93" w:rsidTr="004421B1">
        <w:trPr>
          <w:trHeight w:val="211"/>
        </w:trPr>
        <w:tc>
          <w:tcPr>
            <w:tcW w:w="5215" w:type="dxa"/>
            <w:noWrap/>
            <w:hideMark/>
          </w:tcPr>
          <w:p w:rsidR="009775DB" w:rsidRPr="00E45F93" w:rsidRDefault="009775DB" w:rsidP="004421B1">
            <w:pPr>
              <w:jc w:val="both"/>
              <w:rPr>
                <w:rFonts w:eastAsia="Times New Roman"/>
                <w:color w:val="000000"/>
                <w:sz w:val="20"/>
                <w:szCs w:val="20"/>
                <w:lang w:val="en-US"/>
              </w:rPr>
            </w:pPr>
            <w:r w:rsidRPr="00E45F93">
              <w:rPr>
                <w:rFonts w:eastAsia="Times New Roman"/>
                <w:color w:val="000000"/>
                <w:sz w:val="20"/>
                <w:szCs w:val="20"/>
                <w:lang w:val="en-US"/>
              </w:rPr>
              <w:t xml:space="preserve">Inadequate market information   </w:t>
            </w:r>
          </w:p>
        </w:tc>
        <w:tc>
          <w:tcPr>
            <w:tcW w:w="1035" w:type="dxa"/>
            <w:noWrap/>
            <w:hideMark/>
          </w:tcPr>
          <w:p w:rsidR="009775DB" w:rsidRPr="00E45F93" w:rsidRDefault="009775DB" w:rsidP="004421B1">
            <w:pPr>
              <w:jc w:val="center"/>
              <w:rPr>
                <w:rFonts w:eastAsia="Times New Roman"/>
                <w:sz w:val="20"/>
                <w:szCs w:val="20"/>
                <w:lang w:val="en-US"/>
              </w:rPr>
            </w:pPr>
          </w:p>
        </w:tc>
        <w:tc>
          <w:tcPr>
            <w:tcW w:w="1035" w:type="dxa"/>
            <w:noWrap/>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0.795</w:t>
            </w:r>
          </w:p>
        </w:tc>
        <w:tc>
          <w:tcPr>
            <w:tcW w:w="1035" w:type="dxa"/>
            <w:noWrap/>
            <w:hideMark/>
          </w:tcPr>
          <w:p w:rsidR="009775DB" w:rsidRPr="00E45F93" w:rsidRDefault="009775DB" w:rsidP="004421B1">
            <w:pPr>
              <w:rPr>
                <w:rFonts w:eastAsia="Times New Roman"/>
                <w:color w:val="000000"/>
                <w:sz w:val="20"/>
                <w:szCs w:val="20"/>
                <w:lang w:val="en-US"/>
              </w:rPr>
            </w:pPr>
          </w:p>
        </w:tc>
        <w:tc>
          <w:tcPr>
            <w:tcW w:w="1036" w:type="dxa"/>
            <w:noWrap/>
            <w:hideMark/>
          </w:tcPr>
          <w:p w:rsidR="009775DB" w:rsidRPr="00E45F93" w:rsidRDefault="009775DB" w:rsidP="004421B1">
            <w:pPr>
              <w:jc w:val="center"/>
              <w:rPr>
                <w:rFonts w:eastAsia="Times New Roman"/>
                <w:sz w:val="20"/>
                <w:szCs w:val="20"/>
                <w:lang w:val="en-US"/>
              </w:rPr>
            </w:pPr>
          </w:p>
        </w:tc>
      </w:tr>
      <w:tr w:rsidR="009775DB" w:rsidRPr="00E45F93" w:rsidTr="004421B1">
        <w:trPr>
          <w:trHeight w:val="211"/>
        </w:trPr>
        <w:tc>
          <w:tcPr>
            <w:tcW w:w="5215" w:type="dxa"/>
            <w:noWrap/>
            <w:hideMark/>
          </w:tcPr>
          <w:p w:rsidR="009775DB" w:rsidRPr="00E45F93" w:rsidRDefault="009775DB" w:rsidP="004421B1">
            <w:pPr>
              <w:jc w:val="both"/>
              <w:rPr>
                <w:rFonts w:eastAsia="Times New Roman"/>
                <w:color w:val="000000"/>
                <w:sz w:val="20"/>
                <w:szCs w:val="20"/>
                <w:lang w:val="en-US"/>
              </w:rPr>
            </w:pPr>
            <w:r w:rsidRPr="00E45F93">
              <w:rPr>
                <w:rFonts w:eastAsia="Times New Roman"/>
                <w:color w:val="000000"/>
                <w:sz w:val="20"/>
                <w:szCs w:val="20"/>
                <w:lang w:val="en-US"/>
              </w:rPr>
              <w:t>Inadequate extension and farm advisory services</w:t>
            </w:r>
          </w:p>
        </w:tc>
        <w:tc>
          <w:tcPr>
            <w:tcW w:w="1035" w:type="dxa"/>
            <w:noWrap/>
            <w:hideMark/>
          </w:tcPr>
          <w:p w:rsidR="009775DB" w:rsidRPr="00E45F93" w:rsidRDefault="009775DB" w:rsidP="004421B1">
            <w:pPr>
              <w:jc w:val="center"/>
              <w:rPr>
                <w:rFonts w:eastAsia="Times New Roman"/>
                <w:sz w:val="20"/>
                <w:szCs w:val="20"/>
                <w:lang w:val="en-US"/>
              </w:rPr>
            </w:pPr>
          </w:p>
        </w:tc>
        <w:tc>
          <w:tcPr>
            <w:tcW w:w="1035" w:type="dxa"/>
            <w:noWrap/>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0.759</w:t>
            </w:r>
          </w:p>
        </w:tc>
        <w:tc>
          <w:tcPr>
            <w:tcW w:w="1035" w:type="dxa"/>
            <w:noWrap/>
            <w:hideMark/>
          </w:tcPr>
          <w:p w:rsidR="009775DB" w:rsidRPr="00E45F93" w:rsidRDefault="009775DB" w:rsidP="004421B1">
            <w:pPr>
              <w:rPr>
                <w:rFonts w:eastAsia="Times New Roman"/>
                <w:color w:val="000000"/>
                <w:sz w:val="20"/>
                <w:szCs w:val="20"/>
                <w:lang w:val="en-US"/>
              </w:rPr>
            </w:pPr>
          </w:p>
        </w:tc>
        <w:tc>
          <w:tcPr>
            <w:tcW w:w="1036" w:type="dxa"/>
            <w:noWrap/>
            <w:hideMark/>
          </w:tcPr>
          <w:p w:rsidR="009775DB" w:rsidRPr="00E45F93" w:rsidRDefault="009775DB" w:rsidP="004421B1">
            <w:pPr>
              <w:jc w:val="center"/>
              <w:rPr>
                <w:rFonts w:eastAsia="Times New Roman"/>
                <w:sz w:val="20"/>
                <w:szCs w:val="20"/>
                <w:lang w:val="en-US"/>
              </w:rPr>
            </w:pPr>
          </w:p>
        </w:tc>
      </w:tr>
      <w:tr w:rsidR="009775DB" w:rsidRPr="00E45F93" w:rsidTr="004421B1">
        <w:trPr>
          <w:trHeight w:val="211"/>
        </w:trPr>
        <w:tc>
          <w:tcPr>
            <w:tcW w:w="5215" w:type="dxa"/>
            <w:noWrap/>
            <w:hideMark/>
          </w:tcPr>
          <w:p w:rsidR="009775DB" w:rsidRPr="00E45F93" w:rsidRDefault="009775DB" w:rsidP="004421B1">
            <w:pPr>
              <w:jc w:val="both"/>
              <w:rPr>
                <w:rFonts w:eastAsia="Times New Roman"/>
                <w:color w:val="000000"/>
                <w:sz w:val="20"/>
                <w:szCs w:val="20"/>
                <w:lang w:val="en-US"/>
              </w:rPr>
            </w:pPr>
            <w:r w:rsidRPr="00E45F93">
              <w:rPr>
                <w:rFonts w:eastAsia="Times New Roman"/>
                <w:color w:val="000000"/>
                <w:sz w:val="20"/>
                <w:szCs w:val="20"/>
                <w:lang w:val="en-US"/>
              </w:rPr>
              <w:t>No co-operative or farm</w:t>
            </w:r>
            <w:r>
              <w:rPr>
                <w:rFonts w:eastAsia="Times New Roman"/>
                <w:color w:val="000000"/>
                <w:sz w:val="20"/>
                <w:szCs w:val="20"/>
                <w:lang w:val="en-US"/>
              </w:rPr>
              <w:t>ers’</w:t>
            </w:r>
            <w:r w:rsidRPr="00E45F93">
              <w:rPr>
                <w:rFonts w:eastAsia="Times New Roman"/>
                <w:color w:val="000000"/>
                <w:sz w:val="20"/>
                <w:szCs w:val="20"/>
                <w:lang w:val="en-US"/>
              </w:rPr>
              <w:t xml:space="preserve"> association</w:t>
            </w:r>
          </w:p>
        </w:tc>
        <w:tc>
          <w:tcPr>
            <w:tcW w:w="1035" w:type="dxa"/>
            <w:noWrap/>
            <w:hideMark/>
          </w:tcPr>
          <w:p w:rsidR="009775DB" w:rsidRPr="00E45F93" w:rsidRDefault="009775DB" w:rsidP="004421B1">
            <w:pPr>
              <w:jc w:val="center"/>
              <w:rPr>
                <w:rFonts w:eastAsia="Times New Roman"/>
                <w:sz w:val="20"/>
                <w:szCs w:val="20"/>
                <w:lang w:val="en-US"/>
              </w:rPr>
            </w:pPr>
          </w:p>
        </w:tc>
        <w:tc>
          <w:tcPr>
            <w:tcW w:w="1035" w:type="dxa"/>
            <w:noWrap/>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0.691</w:t>
            </w:r>
          </w:p>
        </w:tc>
        <w:tc>
          <w:tcPr>
            <w:tcW w:w="1035" w:type="dxa"/>
            <w:noWrap/>
            <w:hideMark/>
          </w:tcPr>
          <w:p w:rsidR="009775DB" w:rsidRPr="00E45F93" w:rsidRDefault="009775DB" w:rsidP="004421B1">
            <w:pPr>
              <w:rPr>
                <w:rFonts w:eastAsia="Times New Roman"/>
                <w:color w:val="000000"/>
                <w:sz w:val="20"/>
                <w:szCs w:val="20"/>
                <w:lang w:val="en-US"/>
              </w:rPr>
            </w:pPr>
          </w:p>
        </w:tc>
        <w:tc>
          <w:tcPr>
            <w:tcW w:w="1036" w:type="dxa"/>
            <w:noWrap/>
            <w:hideMark/>
          </w:tcPr>
          <w:p w:rsidR="009775DB" w:rsidRPr="00E45F93" w:rsidRDefault="009775DB" w:rsidP="004421B1">
            <w:pPr>
              <w:jc w:val="center"/>
              <w:rPr>
                <w:rFonts w:eastAsia="Times New Roman"/>
                <w:sz w:val="20"/>
                <w:szCs w:val="20"/>
                <w:lang w:val="en-US"/>
              </w:rPr>
            </w:pPr>
          </w:p>
        </w:tc>
      </w:tr>
      <w:tr w:rsidR="009775DB" w:rsidRPr="00E45F93" w:rsidTr="004421B1">
        <w:trPr>
          <w:trHeight w:val="211"/>
        </w:trPr>
        <w:tc>
          <w:tcPr>
            <w:tcW w:w="5215" w:type="dxa"/>
            <w:noWrap/>
            <w:hideMark/>
          </w:tcPr>
          <w:p w:rsidR="009775DB" w:rsidRPr="00E45F93" w:rsidRDefault="009775DB" w:rsidP="004421B1">
            <w:pPr>
              <w:jc w:val="both"/>
              <w:rPr>
                <w:rFonts w:eastAsia="Times New Roman"/>
                <w:color w:val="000000"/>
                <w:sz w:val="20"/>
                <w:szCs w:val="20"/>
                <w:lang w:val="en-US"/>
              </w:rPr>
            </w:pPr>
            <w:r w:rsidRPr="00E45F93">
              <w:rPr>
                <w:rFonts w:eastAsia="Times New Roman"/>
                <w:color w:val="000000"/>
                <w:sz w:val="20"/>
                <w:szCs w:val="20"/>
                <w:lang w:val="en-US"/>
              </w:rPr>
              <w:t>High incidence of pests and diseases</w:t>
            </w:r>
          </w:p>
        </w:tc>
        <w:tc>
          <w:tcPr>
            <w:tcW w:w="1035" w:type="dxa"/>
            <w:noWrap/>
            <w:hideMark/>
          </w:tcPr>
          <w:p w:rsidR="009775DB" w:rsidRPr="00E45F93" w:rsidRDefault="009775DB" w:rsidP="004421B1">
            <w:pPr>
              <w:rPr>
                <w:rFonts w:eastAsia="Times New Roman"/>
                <w:color w:val="000000"/>
                <w:sz w:val="20"/>
                <w:szCs w:val="20"/>
                <w:lang w:val="en-US"/>
              </w:rPr>
            </w:pPr>
          </w:p>
        </w:tc>
        <w:tc>
          <w:tcPr>
            <w:tcW w:w="1035" w:type="dxa"/>
            <w:noWrap/>
            <w:hideMark/>
          </w:tcPr>
          <w:p w:rsidR="009775DB" w:rsidRPr="00E45F93" w:rsidRDefault="009775DB" w:rsidP="004421B1">
            <w:pPr>
              <w:jc w:val="center"/>
              <w:rPr>
                <w:rFonts w:eastAsia="Times New Roman"/>
                <w:sz w:val="20"/>
                <w:szCs w:val="20"/>
                <w:lang w:val="en-US"/>
              </w:rPr>
            </w:pPr>
          </w:p>
        </w:tc>
        <w:tc>
          <w:tcPr>
            <w:tcW w:w="1035" w:type="dxa"/>
            <w:noWrap/>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0.695</w:t>
            </w:r>
          </w:p>
        </w:tc>
        <w:tc>
          <w:tcPr>
            <w:tcW w:w="1036" w:type="dxa"/>
            <w:noWrap/>
            <w:hideMark/>
          </w:tcPr>
          <w:p w:rsidR="009775DB" w:rsidRPr="00E45F93" w:rsidRDefault="009775DB" w:rsidP="004421B1">
            <w:pPr>
              <w:rPr>
                <w:rFonts w:eastAsia="Times New Roman"/>
                <w:color w:val="000000"/>
                <w:sz w:val="20"/>
                <w:szCs w:val="20"/>
                <w:lang w:val="en-US"/>
              </w:rPr>
            </w:pPr>
          </w:p>
        </w:tc>
      </w:tr>
      <w:tr w:rsidR="009775DB" w:rsidRPr="00E45F93" w:rsidTr="004421B1">
        <w:trPr>
          <w:trHeight w:val="211"/>
        </w:trPr>
        <w:tc>
          <w:tcPr>
            <w:tcW w:w="5215" w:type="dxa"/>
            <w:noWrap/>
            <w:hideMark/>
          </w:tcPr>
          <w:p w:rsidR="009775DB" w:rsidRPr="00E45F93" w:rsidRDefault="009775DB" w:rsidP="004421B1">
            <w:pPr>
              <w:rPr>
                <w:rFonts w:eastAsia="Times New Roman"/>
                <w:color w:val="000000"/>
                <w:sz w:val="20"/>
                <w:szCs w:val="20"/>
                <w:lang w:val="en-US"/>
              </w:rPr>
            </w:pPr>
            <w:r w:rsidRPr="00E45F93">
              <w:rPr>
                <w:rFonts w:eastAsia="Times New Roman"/>
                <w:color w:val="000000"/>
                <w:sz w:val="20"/>
                <w:szCs w:val="20"/>
                <w:lang w:val="en-US"/>
              </w:rPr>
              <w:t>Impoverished farm land</w:t>
            </w:r>
          </w:p>
        </w:tc>
        <w:tc>
          <w:tcPr>
            <w:tcW w:w="1035" w:type="dxa"/>
            <w:noWrap/>
            <w:hideMark/>
          </w:tcPr>
          <w:p w:rsidR="009775DB" w:rsidRPr="00E45F93" w:rsidRDefault="009775DB" w:rsidP="004421B1">
            <w:pPr>
              <w:jc w:val="center"/>
              <w:rPr>
                <w:rFonts w:eastAsia="Times New Roman"/>
                <w:sz w:val="20"/>
                <w:szCs w:val="20"/>
                <w:lang w:val="en-US"/>
              </w:rPr>
            </w:pPr>
          </w:p>
        </w:tc>
        <w:tc>
          <w:tcPr>
            <w:tcW w:w="1035" w:type="dxa"/>
            <w:noWrap/>
            <w:hideMark/>
          </w:tcPr>
          <w:p w:rsidR="009775DB" w:rsidRPr="00E45F93" w:rsidRDefault="009775DB" w:rsidP="004421B1">
            <w:pPr>
              <w:jc w:val="center"/>
              <w:rPr>
                <w:rFonts w:eastAsia="Times New Roman"/>
                <w:sz w:val="20"/>
                <w:szCs w:val="20"/>
                <w:lang w:val="en-US"/>
              </w:rPr>
            </w:pPr>
          </w:p>
        </w:tc>
        <w:tc>
          <w:tcPr>
            <w:tcW w:w="1035" w:type="dxa"/>
            <w:noWrap/>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0.535</w:t>
            </w:r>
          </w:p>
        </w:tc>
        <w:tc>
          <w:tcPr>
            <w:tcW w:w="1036" w:type="dxa"/>
            <w:noWrap/>
            <w:hideMark/>
          </w:tcPr>
          <w:p w:rsidR="009775DB" w:rsidRPr="00E45F93" w:rsidRDefault="009775DB" w:rsidP="004421B1">
            <w:pPr>
              <w:rPr>
                <w:rFonts w:eastAsia="Times New Roman"/>
                <w:color w:val="000000"/>
                <w:sz w:val="20"/>
                <w:szCs w:val="20"/>
                <w:lang w:val="en-US"/>
              </w:rPr>
            </w:pPr>
          </w:p>
        </w:tc>
      </w:tr>
      <w:tr w:rsidR="009775DB" w:rsidRPr="00E45F93" w:rsidTr="004421B1">
        <w:trPr>
          <w:trHeight w:val="211"/>
        </w:trPr>
        <w:tc>
          <w:tcPr>
            <w:tcW w:w="5215" w:type="dxa"/>
            <w:noWrap/>
            <w:hideMark/>
          </w:tcPr>
          <w:p w:rsidR="009775DB" w:rsidRPr="00E45F93" w:rsidRDefault="009775DB" w:rsidP="004421B1">
            <w:pPr>
              <w:jc w:val="both"/>
              <w:rPr>
                <w:rFonts w:eastAsia="Times New Roman"/>
                <w:color w:val="000000"/>
                <w:sz w:val="20"/>
                <w:szCs w:val="20"/>
                <w:lang w:val="en-US"/>
              </w:rPr>
            </w:pPr>
            <w:r w:rsidRPr="00E45F93">
              <w:rPr>
                <w:rFonts w:eastAsia="Times New Roman"/>
                <w:color w:val="000000"/>
                <w:sz w:val="20"/>
                <w:szCs w:val="20"/>
                <w:lang w:val="en-US"/>
              </w:rPr>
              <w:t>Flood problem</w:t>
            </w:r>
          </w:p>
        </w:tc>
        <w:tc>
          <w:tcPr>
            <w:tcW w:w="1035" w:type="dxa"/>
            <w:noWrap/>
            <w:hideMark/>
          </w:tcPr>
          <w:p w:rsidR="009775DB" w:rsidRPr="00E45F93" w:rsidRDefault="009775DB" w:rsidP="004421B1">
            <w:pPr>
              <w:jc w:val="center"/>
              <w:rPr>
                <w:rFonts w:eastAsia="Times New Roman"/>
                <w:sz w:val="20"/>
                <w:szCs w:val="20"/>
                <w:lang w:val="en-US"/>
              </w:rPr>
            </w:pPr>
          </w:p>
        </w:tc>
        <w:tc>
          <w:tcPr>
            <w:tcW w:w="1035" w:type="dxa"/>
            <w:noWrap/>
            <w:hideMark/>
          </w:tcPr>
          <w:p w:rsidR="009775DB" w:rsidRPr="00E45F93" w:rsidRDefault="009775DB" w:rsidP="004421B1">
            <w:pPr>
              <w:rPr>
                <w:rFonts w:eastAsia="Times New Roman"/>
                <w:color w:val="000000"/>
                <w:sz w:val="20"/>
                <w:szCs w:val="20"/>
                <w:lang w:val="en-US"/>
              </w:rPr>
            </w:pPr>
          </w:p>
        </w:tc>
        <w:tc>
          <w:tcPr>
            <w:tcW w:w="1035" w:type="dxa"/>
            <w:noWrap/>
            <w:hideMark/>
          </w:tcPr>
          <w:p w:rsidR="009775DB" w:rsidRPr="00E45F93" w:rsidRDefault="009775DB" w:rsidP="004421B1">
            <w:pPr>
              <w:jc w:val="center"/>
              <w:rPr>
                <w:rFonts w:eastAsia="Times New Roman"/>
                <w:color w:val="000000"/>
                <w:sz w:val="20"/>
                <w:szCs w:val="20"/>
                <w:lang w:val="en-US"/>
              </w:rPr>
            </w:pPr>
            <w:r w:rsidRPr="00E45F93">
              <w:rPr>
                <w:rFonts w:eastAsia="Times New Roman"/>
                <w:color w:val="000000"/>
                <w:sz w:val="20"/>
                <w:szCs w:val="20"/>
                <w:lang w:val="en-US"/>
              </w:rPr>
              <w:t>0.715</w:t>
            </w:r>
          </w:p>
        </w:tc>
        <w:tc>
          <w:tcPr>
            <w:tcW w:w="1036" w:type="dxa"/>
            <w:noWrap/>
            <w:hideMark/>
          </w:tcPr>
          <w:p w:rsidR="009775DB" w:rsidRPr="00E45F93" w:rsidRDefault="009775DB" w:rsidP="004421B1">
            <w:pPr>
              <w:rPr>
                <w:rFonts w:eastAsia="Times New Roman"/>
                <w:color w:val="000000"/>
                <w:sz w:val="20"/>
                <w:szCs w:val="20"/>
                <w:lang w:val="en-US"/>
              </w:rPr>
            </w:pPr>
          </w:p>
        </w:tc>
      </w:tr>
      <w:tr w:rsidR="009775DB" w:rsidRPr="00E45F93" w:rsidTr="004421B1">
        <w:trPr>
          <w:trHeight w:val="211"/>
        </w:trPr>
        <w:tc>
          <w:tcPr>
            <w:tcW w:w="5215" w:type="dxa"/>
            <w:noWrap/>
            <w:hideMark/>
          </w:tcPr>
          <w:p w:rsidR="009775DB" w:rsidRPr="00E45F93" w:rsidRDefault="009775DB" w:rsidP="004421B1">
            <w:pPr>
              <w:jc w:val="both"/>
              <w:rPr>
                <w:rFonts w:eastAsia="Times New Roman"/>
                <w:color w:val="000000"/>
                <w:sz w:val="20"/>
                <w:szCs w:val="20"/>
                <w:lang w:val="en-US"/>
              </w:rPr>
            </w:pPr>
            <w:r w:rsidRPr="00E45F93">
              <w:rPr>
                <w:rFonts w:eastAsia="Times New Roman"/>
                <w:color w:val="000000"/>
                <w:sz w:val="20"/>
                <w:szCs w:val="20"/>
                <w:lang w:val="en-US"/>
              </w:rPr>
              <w:t>Poor road access and transport facilities</w:t>
            </w:r>
          </w:p>
        </w:tc>
        <w:tc>
          <w:tcPr>
            <w:tcW w:w="1035" w:type="dxa"/>
            <w:noWrap/>
            <w:hideMark/>
          </w:tcPr>
          <w:p w:rsidR="009775DB" w:rsidRPr="00E45F93" w:rsidRDefault="009775DB" w:rsidP="004421B1">
            <w:pPr>
              <w:rPr>
                <w:rFonts w:eastAsia="Times New Roman"/>
                <w:color w:val="000000"/>
                <w:sz w:val="20"/>
                <w:szCs w:val="20"/>
                <w:lang w:val="en-US"/>
              </w:rPr>
            </w:pPr>
          </w:p>
        </w:tc>
        <w:tc>
          <w:tcPr>
            <w:tcW w:w="1035" w:type="dxa"/>
            <w:noWrap/>
            <w:hideMark/>
          </w:tcPr>
          <w:p w:rsidR="009775DB" w:rsidRPr="00E45F93" w:rsidRDefault="009775DB" w:rsidP="004421B1">
            <w:pPr>
              <w:rPr>
                <w:rFonts w:eastAsia="Times New Roman"/>
                <w:color w:val="000000"/>
                <w:sz w:val="20"/>
                <w:szCs w:val="20"/>
                <w:lang w:val="en-US"/>
              </w:rPr>
            </w:pPr>
          </w:p>
        </w:tc>
        <w:tc>
          <w:tcPr>
            <w:tcW w:w="1035" w:type="dxa"/>
            <w:noWrap/>
            <w:hideMark/>
          </w:tcPr>
          <w:p w:rsidR="009775DB" w:rsidRPr="00E45F93" w:rsidRDefault="009775DB" w:rsidP="004421B1">
            <w:pPr>
              <w:rPr>
                <w:rFonts w:eastAsia="Times New Roman"/>
                <w:color w:val="000000"/>
                <w:sz w:val="20"/>
                <w:szCs w:val="20"/>
                <w:lang w:val="en-US"/>
              </w:rPr>
            </w:pPr>
          </w:p>
        </w:tc>
        <w:tc>
          <w:tcPr>
            <w:tcW w:w="1036" w:type="dxa"/>
            <w:noWrap/>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0.581</w:t>
            </w:r>
          </w:p>
        </w:tc>
      </w:tr>
      <w:tr w:rsidR="009775DB" w:rsidRPr="00E45F93" w:rsidTr="004421B1">
        <w:trPr>
          <w:trHeight w:val="211"/>
        </w:trPr>
        <w:tc>
          <w:tcPr>
            <w:tcW w:w="5215" w:type="dxa"/>
            <w:noWrap/>
            <w:hideMark/>
          </w:tcPr>
          <w:p w:rsidR="009775DB" w:rsidRPr="00E45F93" w:rsidRDefault="009775DB" w:rsidP="004421B1">
            <w:pPr>
              <w:jc w:val="both"/>
              <w:rPr>
                <w:rFonts w:eastAsia="Times New Roman"/>
                <w:color w:val="000000"/>
                <w:sz w:val="20"/>
                <w:szCs w:val="20"/>
                <w:lang w:val="en-US"/>
              </w:rPr>
            </w:pPr>
            <w:r w:rsidRPr="00E45F93">
              <w:rPr>
                <w:rFonts w:eastAsia="Times New Roman"/>
                <w:color w:val="000000"/>
                <w:sz w:val="20"/>
                <w:szCs w:val="20"/>
                <w:lang w:val="en-US"/>
              </w:rPr>
              <w:t>Inadequate storage facilities</w:t>
            </w:r>
          </w:p>
        </w:tc>
        <w:tc>
          <w:tcPr>
            <w:tcW w:w="1035" w:type="dxa"/>
            <w:noWrap/>
            <w:hideMark/>
          </w:tcPr>
          <w:p w:rsidR="009775DB" w:rsidRPr="00E45F93" w:rsidRDefault="009775DB" w:rsidP="004421B1">
            <w:pPr>
              <w:jc w:val="center"/>
              <w:rPr>
                <w:rFonts w:eastAsia="Times New Roman"/>
                <w:sz w:val="20"/>
                <w:szCs w:val="20"/>
                <w:lang w:val="en-US"/>
              </w:rPr>
            </w:pPr>
          </w:p>
        </w:tc>
        <w:tc>
          <w:tcPr>
            <w:tcW w:w="1035" w:type="dxa"/>
            <w:noWrap/>
            <w:hideMark/>
          </w:tcPr>
          <w:p w:rsidR="009775DB" w:rsidRPr="00E45F93" w:rsidRDefault="009775DB" w:rsidP="004421B1">
            <w:pPr>
              <w:rPr>
                <w:rFonts w:eastAsia="Times New Roman"/>
                <w:color w:val="000000"/>
                <w:sz w:val="20"/>
                <w:szCs w:val="20"/>
                <w:lang w:val="en-US"/>
              </w:rPr>
            </w:pPr>
          </w:p>
        </w:tc>
        <w:tc>
          <w:tcPr>
            <w:tcW w:w="1035" w:type="dxa"/>
            <w:noWrap/>
            <w:hideMark/>
          </w:tcPr>
          <w:p w:rsidR="009775DB" w:rsidRPr="00E45F93" w:rsidRDefault="009775DB" w:rsidP="004421B1">
            <w:pPr>
              <w:rPr>
                <w:rFonts w:eastAsia="Times New Roman"/>
                <w:color w:val="000000"/>
                <w:sz w:val="20"/>
                <w:szCs w:val="20"/>
                <w:lang w:val="en-US"/>
              </w:rPr>
            </w:pPr>
          </w:p>
        </w:tc>
        <w:tc>
          <w:tcPr>
            <w:tcW w:w="1036" w:type="dxa"/>
            <w:noWrap/>
            <w:hideMark/>
          </w:tcPr>
          <w:p w:rsidR="009775DB" w:rsidRPr="00E45F93" w:rsidRDefault="009775DB" w:rsidP="004421B1">
            <w:pPr>
              <w:jc w:val="center"/>
              <w:rPr>
                <w:rFonts w:eastAsia="Times New Roman"/>
                <w:sz w:val="20"/>
                <w:szCs w:val="20"/>
                <w:lang w:val="en-US"/>
              </w:rPr>
            </w:pPr>
            <w:r w:rsidRPr="00E45F93">
              <w:rPr>
                <w:rFonts w:eastAsia="Times New Roman"/>
                <w:sz w:val="20"/>
                <w:szCs w:val="20"/>
                <w:lang w:val="en-US"/>
              </w:rPr>
              <w:t>0.617</w:t>
            </w:r>
          </w:p>
        </w:tc>
      </w:tr>
      <w:tr w:rsidR="009775DB" w:rsidRPr="00E45F93" w:rsidTr="004421B1">
        <w:trPr>
          <w:trHeight w:val="201"/>
        </w:trPr>
        <w:tc>
          <w:tcPr>
            <w:tcW w:w="5215" w:type="dxa"/>
            <w:tcBorders>
              <w:bottom w:val="single" w:sz="4" w:space="0" w:color="auto"/>
            </w:tcBorders>
            <w:noWrap/>
            <w:hideMark/>
          </w:tcPr>
          <w:p w:rsidR="009775DB" w:rsidRPr="00E45F93" w:rsidRDefault="009775DB" w:rsidP="004421B1">
            <w:pPr>
              <w:jc w:val="both"/>
              <w:rPr>
                <w:rFonts w:eastAsia="Times New Roman"/>
                <w:b/>
                <w:bCs/>
                <w:color w:val="000000"/>
                <w:sz w:val="20"/>
                <w:szCs w:val="20"/>
                <w:lang w:val="en-US"/>
              </w:rPr>
            </w:pPr>
            <w:r w:rsidRPr="00E45F93">
              <w:rPr>
                <w:rFonts w:eastAsia="Times New Roman"/>
                <w:b/>
                <w:bCs/>
                <w:color w:val="000000"/>
                <w:sz w:val="20"/>
                <w:szCs w:val="20"/>
                <w:lang w:val="en-US"/>
              </w:rPr>
              <w:t>Percentage of total variance</w:t>
            </w:r>
          </w:p>
        </w:tc>
        <w:tc>
          <w:tcPr>
            <w:tcW w:w="1035" w:type="dxa"/>
            <w:tcBorders>
              <w:bottom w:val="single" w:sz="4" w:space="0" w:color="auto"/>
            </w:tcBorders>
            <w:noWrap/>
            <w:hideMark/>
          </w:tcPr>
          <w:p w:rsidR="009775DB" w:rsidRPr="00E45F93" w:rsidRDefault="009775DB" w:rsidP="004421B1">
            <w:pPr>
              <w:jc w:val="center"/>
              <w:rPr>
                <w:rFonts w:eastAsia="Times New Roman"/>
                <w:b/>
                <w:bCs/>
                <w:sz w:val="20"/>
                <w:szCs w:val="20"/>
                <w:lang w:val="en-US"/>
              </w:rPr>
            </w:pPr>
            <w:r w:rsidRPr="00E45F93">
              <w:rPr>
                <w:rFonts w:eastAsia="Times New Roman"/>
                <w:b/>
                <w:bCs/>
                <w:sz w:val="20"/>
                <w:szCs w:val="20"/>
                <w:lang w:val="en-US"/>
              </w:rPr>
              <w:t>1</w:t>
            </w:r>
            <w:r>
              <w:rPr>
                <w:rFonts w:eastAsia="Times New Roman"/>
                <w:b/>
                <w:bCs/>
                <w:sz w:val="20"/>
                <w:szCs w:val="20"/>
                <w:lang w:val="en-US"/>
              </w:rPr>
              <w:t>9</w:t>
            </w:r>
            <w:r w:rsidRPr="00E45F93">
              <w:rPr>
                <w:rFonts w:eastAsia="Times New Roman"/>
                <w:b/>
                <w:bCs/>
                <w:sz w:val="20"/>
                <w:szCs w:val="20"/>
                <w:lang w:val="en-US"/>
              </w:rPr>
              <w:t>.77</w:t>
            </w:r>
          </w:p>
        </w:tc>
        <w:tc>
          <w:tcPr>
            <w:tcW w:w="1035" w:type="dxa"/>
            <w:tcBorders>
              <w:bottom w:val="single" w:sz="4" w:space="0" w:color="auto"/>
            </w:tcBorders>
            <w:noWrap/>
            <w:hideMark/>
          </w:tcPr>
          <w:p w:rsidR="009775DB" w:rsidRPr="00E45F93" w:rsidRDefault="009775DB" w:rsidP="004421B1">
            <w:pPr>
              <w:jc w:val="center"/>
              <w:rPr>
                <w:rFonts w:eastAsia="Times New Roman"/>
                <w:b/>
                <w:bCs/>
                <w:sz w:val="20"/>
                <w:szCs w:val="20"/>
                <w:lang w:val="en-US"/>
              </w:rPr>
            </w:pPr>
            <w:r w:rsidRPr="00E45F93">
              <w:rPr>
                <w:rFonts w:eastAsia="Times New Roman"/>
                <w:b/>
                <w:bCs/>
                <w:sz w:val="20"/>
                <w:szCs w:val="20"/>
                <w:lang w:val="en-US"/>
              </w:rPr>
              <w:t>15.59</w:t>
            </w:r>
          </w:p>
        </w:tc>
        <w:tc>
          <w:tcPr>
            <w:tcW w:w="1035" w:type="dxa"/>
            <w:tcBorders>
              <w:bottom w:val="single" w:sz="4" w:space="0" w:color="auto"/>
            </w:tcBorders>
            <w:noWrap/>
            <w:hideMark/>
          </w:tcPr>
          <w:p w:rsidR="009775DB" w:rsidRPr="00E45F93" w:rsidRDefault="009775DB" w:rsidP="004421B1">
            <w:pPr>
              <w:jc w:val="center"/>
              <w:rPr>
                <w:rFonts w:eastAsia="Times New Roman"/>
                <w:b/>
                <w:bCs/>
                <w:sz w:val="20"/>
                <w:szCs w:val="20"/>
                <w:lang w:val="en-US"/>
              </w:rPr>
            </w:pPr>
            <w:r w:rsidRPr="00E45F93">
              <w:rPr>
                <w:rFonts w:eastAsia="Times New Roman"/>
                <w:b/>
                <w:bCs/>
                <w:sz w:val="20"/>
                <w:szCs w:val="20"/>
                <w:lang w:val="en-US"/>
              </w:rPr>
              <w:t>9.75</w:t>
            </w:r>
          </w:p>
        </w:tc>
        <w:tc>
          <w:tcPr>
            <w:tcW w:w="1036" w:type="dxa"/>
            <w:tcBorders>
              <w:bottom w:val="single" w:sz="4" w:space="0" w:color="auto"/>
            </w:tcBorders>
            <w:noWrap/>
            <w:hideMark/>
          </w:tcPr>
          <w:p w:rsidR="009775DB" w:rsidRPr="00E45F93" w:rsidRDefault="009775DB" w:rsidP="004421B1">
            <w:pPr>
              <w:jc w:val="center"/>
              <w:rPr>
                <w:rFonts w:eastAsia="Times New Roman"/>
                <w:b/>
                <w:bCs/>
                <w:sz w:val="20"/>
                <w:szCs w:val="20"/>
                <w:lang w:val="en-US"/>
              </w:rPr>
            </w:pPr>
            <w:r>
              <w:rPr>
                <w:rFonts w:eastAsia="Times New Roman"/>
                <w:b/>
                <w:bCs/>
                <w:sz w:val="20"/>
                <w:szCs w:val="20"/>
                <w:lang w:val="en-US"/>
              </w:rPr>
              <w:t>7</w:t>
            </w:r>
            <w:r w:rsidRPr="00E45F93">
              <w:rPr>
                <w:rFonts w:eastAsia="Times New Roman"/>
                <w:b/>
                <w:bCs/>
                <w:sz w:val="20"/>
                <w:szCs w:val="20"/>
                <w:lang w:val="en-US"/>
              </w:rPr>
              <w:t>.95</w:t>
            </w:r>
          </w:p>
        </w:tc>
      </w:tr>
    </w:tbl>
    <w:p w:rsidR="009775DB" w:rsidRDefault="009775DB" w:rsidP="009775DB">
      <w:pPr>
        <w:spacing w:after="120" w:line="240" w:lineRule="auto"/>
        <w:rPr>
          <w:sz w:val="20"/>
          <w:szCs w:val="20"/>
        </w:rPr>
      </w:pPr>
      <w:r>
        <w:rPr>
          <w:sz w:val="20"/>
          <w:szCs w:val="20"/>
        </w:rPr>
        <w:t>Source: computed from field survey, 2019.</w:t>
      </w:r>
    </w:p>
    <w:p w:rsidR="009775DB" w:rsidRDefault="009775DB" w:rsidP="009775DB">
      <w:pPr>
        <w:spacing w:after="0" w:line="240" w:lineRule="auto"/>
        <w:rPr>
          <w:rFonts w:eastAsia="Times New Roman"/>
          <w:sz w:val="20"/>
          <w:szCs w:val="20"/>
          <w:lang w:val="en-US"/>
        </w:rPr>
      </w:pPr>
      <w:r w:rsidRPr="004952B3">
        <w:rPr>
          <w:b/>
          <w:sz w:val="20"/>
          <w:szCs w:val="28"/>
        </w:rPr>
        <w:t>Note:</w:t>
      </w:r>
      <w:r w:rsidRPr="004952B3">
        <w:rPr>
          <w:sz w:val="20"/>
          <w:szCs w:val="28"/>
        </w:rPr>
        <w:t xml:space="preserve"> </w:t>
      </w:r>
      <w:r w:rsidRPr="00E45F93">
        <w:rPr>
          <w:rFonts w:eastAsia="Times New Roman"/>
          <w:sz w:val="20"/>
          <w:szCs w:val="20"/>
          <w:lang w:val="en-US"/>
        </w:rPr>
        <w:t xml:space="preserve">Extraction Method: Principal Component Analysis. </w:t>
      </w:r>
      <w:r w:rsidRPr="00E45F93">
        <w:rPr>
          <w:rFonts w:eastAsia="Times New Roman"/>
          <w:sz w:val="20"/>
          <w:szCs w:val="20"/>
          <w:lang w:val="en-US"/>
        </w:rPr>
        <w:br/>
        <w:t xml:space="preserve"> Rotation Method: </w:t>
      </w:r>
      <w:proofErr w:type="spellStart"/>
      <w:r w:rsidRPr="00E45F93">
        <w:rPr>
          <w:rFonts w:eastAsia="Times New Roman"/>
          <w:sz w:val="20"/>
          <w:szCs w:val="20"/>
          <w:lang w:val="en-US"/>
        </w:rPr>
        <w:t>Varimax</w:t>
      </w:r>
      <w:proofErr w:type="spellEnd"/>
      <w:r w:rsidRPr="00E45F93">
        <w:rPr>
          <w:rFonts w:eastAsia="Times New Roman"/>
          <w:sz w:val="20"/>
          <w:szCs w:val="20"/>
          <w:lang w:val="en-US"/>
        </w:rPr>
        <w:t xml:space="preserve"> with Kaiser Normalization.</w:t>
      </w:r>
    </w:p>
    <w:p w:rsidR="009775DB" w:rsidRPr="004952B3" w:rsidRDefault="009775DB" w:rsidP="009775DB">
      <w:pPr>
        <w:pStyle w:val="ListParagraph"/>
        <w:spacing w:after="0" w:line="240" w:lineRule="auto"/>
        <w:ind w:hanging="720"/>
        <w:jc w:val="both"/>
        <w:rPr>
          <w:sz w:val="20"/>
          <w:szCs w:val="28"/>
        </w:rPr>
      </w:pPr>
      <w:r w:rsidRPr="004952B3">
        <w:rPr>
          <w:sz w:val="20"/>
          <w:szCs w:val="28"/>
        </w:rPr>
        <w:t xml:space="preserve">Factor loading of </w:t>
      </w:r>
      <w:r w:rsidRPr="004952B3">
        <w:rPr>
          <w:b/>
          <w:sz w:val="20"/>
          <w:szCs w:val="28"/>
        </w:rPr>
        <w:t>0.40</w:t>
      </w:r>
      <w:r w:rsidRPr="004952B3">
        <w:rPr>
          <w:sz w:val="20"/>
          <w:szCs w:val="28"/>
        </w:rPr>
        <w:t xml:space="preserve"> was used at 10% overlapping variance.</w:t>
      </w:r>
    </w:p>
    <w:p w:rsidR="009775DB" w:rsidRPr="004952B3" w:rsidRDefault="009775DB" w:rsidP="009775DB">
      <w:pPr>
        <w:spacing w:after="0" w:line="192" w:lineRule="auto"/>
        <w:jc w:val="both"/>
        <w:rPr>
          <w:sz w:val="20"/>
          <w:szCs w:val="28"/>
        </w:rPr>
      </w:pPr>
      <w:r w:rsidRPr="004952B3">
        <w:rPr>
          <w:sz w:val="20"/>
          <w:szCs w:val="28"/>
        </w:rPr>
        <w:t xml:space="preserve">Variables with factor loadings of less than </w:t>
      </w:r>
      <w:r w:rsidRPr="004952B3">
        <w:rPr>
          <w:b/>
          <w:sz w:val="20"/>
          <w:szCs w:val="28"/>
        </w:rPr>
        <w:t>0.40</w:t>
      </w:r>
      <w:r w:rsidRPr="004952B3">
        <w:rPr>
          <w:sz w:val="20"/>
          <w:szCs w:val="28"/>
        </w:rPr>
        <w:t xml:space="preserve"> were not used.</w:t>
      </w:r>
    </w:p>
    <w:p w:rsidR="009775DB" w:rsidRDefault="009775DB" w:rsidP="00124A83">
      <w:pPr>
        <w:spacing w:after="120" w:line="240" w:lineRule="auto"/>
        <w:rPr>
          <w:sz w:val="20"/>
          <w:szCs w:val="20"/>
        </w:rPr>
      </w:pPr>
    </w:p>
    <w:p w:rsidR="009775DB" w:rsidRDefault="004421B1" w:rsidP="004421B1">
      <w:pPr>
        <w:spacing w:after="0" w:line="240" w:lineRule="auto"/>
        <w:rPr>
          <w:b/>
          <w:sz w:val="20"/>
          <w:szCs w:val="20"/>
        </w:rPr>
      </w:pPr>
      <w:r w:rsidRPr="004421B1">
        <w:rPr>
          <w:b/>
          <w:sz w:val="20"/>
          <w:szCs w:val="20"/>
        </w:rPr>
        <w:t xml:space="preserve">CONCLUSION </w:t>
      </w:r>
    </w:p>
    <w:p w:rsidR="004421B1" w:rsidRPr="00124A83" w:rsidRDefault="004421B1" w:rsidP="00124A83">
      <w:pPr>
        <w:spacing w:after="0" w:line="240" w:lineRule="auto"/>
        <w:jc w:val="both"/>
        <w:rPr>
          <w:sz w:val="20"/>
          <w:szCs w:val="20"/>
        </w:rPr>
      </w:pPr>
      <w:r w:rsidRPr="00124A83">
        <w:rPr>
          <w:sz w:val="20"/>
          <w:szCs w:val="20"/>
        </w:rPr>
        <w:t>On</w:t>
      </w:r>
      <w:r w:rsidRPr="00124A83">
        <w:rPr>
          <w:b/>
          <w:sz w:val="20"/>
          <w:szCs w:val="20"/>
        </w:rPr>
        <w:t xml:space="preserve"> </w:t>
      </w:r>
      <w:r w:rsidRPr="00124A83">
        <w:rPr>
          <w:sz w:val="20"/>
          <w:szCs w:val="20"/>
        </w:rPr>
        <w:t xml:space="preserve">the basis of the results of this study, it can be concluded that arable crop farmers in </w:t>
      </w:r>
      <w:proofErr w:type="spellStart"/>
      <w:r w:rsidRPr="00124A83">
        <w:rPr>
          <w:sz w:val="20"/>
          <w:szCs w:val="20"/>
        </w:rPr>
        <w:t>Kwara</w:t>
      </w:r>
      <w:proofErr w:type="spellEnd"/>
      <w:r w:rsidRPr="00124A83">
        <w:rPr>
          <w:sz w:val="20"/>
          <w:szCs w:val="20"/>
        </w:rPr>
        <w:t xml:space="preserve"> State are faced with several production constraints </w:t>
      </w:r>
      <w:r w:rsidR="00124A83">
        <w:rPr>
          <w:sz w:val="20"/>
          <w:szCs w:val="20"/>
        </w:rPr>
        <w:t>which poses great threat to their productivity and this</w:t>
      </w:r>
      <w:r w:rsidRPr="00124A83">
        <w:rPr>
          <w:sz w:val="20"/>
          <w:szCs w:val="20"/>
        </w:rPr>
        <w:t xml:space="preserve"> calls for urgent intervention and remedy. It was therefore recommended that; government in collaboration with security agencies and community leaders should make efforts to curb conflicts with Fulani herdsmen, government through the relevant agricultural agencies and financial institutions in the study area should facilitate the provision of subsidized inputs provide adequate and effective farm advisory/extension services to the farmers and the farmers should form cooperative societies to help enhance their access credit facilities. </w:t>
      </w:r>
    </w:p>
    <w:p w:rsidR="008B5DF3" w:rsidRPr="0050237C" w:rsidRDefault="004421B1" w:rsidP="00124A83">
      <w:pPr>
        <w:spacing w:after="0" w:line="240" w:lineRule="auto"/>
        <w:rPr>
          <w:sz w:val="20"/>
          <w:szCs w:val="20"/>
        </w:rPr>
      </w:pPr>
      <w:r>
        <w:rPr>
          <w:szCs w:val="24"/>
        </w:rPr>
        <w:t xml:space="preserve">  </w:t>
      </w:r>
    </w:p>
    <w:p w:rsidR="002923D4" w:rsidRPr="0050237C" w:rsidRDefault="004C7632" w:rsidP="0050237C">
      <w:pPr>
        <w:spacing w:after="0" w:line="240" w:lineRule="auto"/>
        <w:rPr>
          <w:b/>
          <w:sz w:val="20"/>
          <w:szCs w:val="20"/>
        </w:rPr>
      </w:pPr>
      <w:r w:rsidRPr="0050237C">
        <w:rPr>
          <w:b/>
          <w:sz w:val="20"/>
          <w:szCs w:val="20"/>
        </w:rPr>
        <w:t>REFERENCES:</w:t>
      </w:r>
    </w:p>
    <w:p w:rsidR="00785CD9" w:rsidRPr="00785CD9" w:rsidRDefault="00785CD9" w:rsidP="00785CD9">
      <w:pPr>
        <w:autoSpaceDE w:val="0"/>
        <w:autoSpaceDN w:val="0"/>
        <w:adjustRightInd w:val="0"/>
        <w:spacing w:after="120" w:line="240" w:lineRule="auto"/>
        <w:ind w:left="720" w:hanging="720"/>
        <w:jc w:val="both"/>
        <w:rPr>
          <w:sz w:val="20"/>
          <w:szCs w:val="20"/>
        </w:rPr>
      </w:pPr>
      <w:proofErr w:type="spellStart"/>
      <w:r w:rsidRPr="00785CD9">
        <w:rPr>
          <w:sz w:val="20"/>
          <w:szCs w:val="20"/>
        </w:rPr>
        <w:t>Arene</w:t>
      </w:r>
      <w:proofErr w:type="spellEnd"/>
      <w:r w:rsidRPr="00785CD9">
        <w:rPr>
          <w:sz w:val="20"/>
          <w:szCs w:val="20"/>
        </w:rPr>
        <w:t xml:space="preserve">, C. J. (2008). </w:t>
      </w:r>
      <w:proofErr w:type="gramStart"/>
      <w:r w:rsidRPr="00785CD9">
        <w:rPr>
          <w:sz w:val="20"/>
          <w:szCs w:val="20"/>
        </w:rPr>
        <w:t xml:space="preserve">Comparative Economics of Maize and Rice Production among Resource-poor Farmers in </w:t>
      </w:r>
      <w:proofErr w:type="spellStart"/>
      <w:r w:rsidRPr="00785CD9">
        <w:rPr>
          <w:sz w:val="20"/>
          <w:szCs w:val="20"/>
        </w:rPr>
        <w:t>Anambra</w:t>
      </w:r>
      <w:proofErr w:type="spellEnd"/>
      <w:r w:rsidRPr="00785CD9">
        <w:rPr>
          <w:sz w:val="20"/>
          <w:szCs w:val="20"/>
        </w:rPr>
        <w:t xml:space="preserve"> State of Nigeria.</w:t>
      </w:r>
      <w:proofErr w:type="gramEnd"/>
      <w:r w:rsidRPr="00785CD9">
        <w:rPr>
          <w:sz w:val="20"/>
          <w:szCs w:val="20"/>
        </w:rPr>
        <w:t xml:space="preserve"> </w:t>
      </w:r>
      <w:r w:rsidRPr="00785CD9">
        <w:rPr>
          <w:i/>
          <w:iCs/>
          <w:sz w:val="20"/>
          <w:szCs w:val="20"/>
        </w:rPr>
        <w:t xml:space="preserve">African Development Review, </w:t>
      </w:r>
      <w:r w:rsidRPr="00785CD9">
        <w:rPr>
          <w:sz w:val="20"/>
          <w:szCs w:val="20"/>
        </w:rPr>
        <w:t>4(1), 102 – 113</w:t>
      </w:r>
    </w:p>
    <w:p w:rsidR="00785CD9" w:rsidRPr="00785CD9" w:rsidRDefault="00785CD9" w:rsidP="00785CD9">
      <w:pPr>
        <w:spacing w:after="120" w:line="240" w:lineRule="auto"/>
        <w:ind w:left="720" w:hanging="720"/>
        <w:jc w:val="both"/>
        <w:rPr>
          <w:sz w:val="20"/>
          <w:szCs w:val="20"/>
        </w:rPr>
      </w:pPr>
      <w:r w:rsidRPr="00785CD9">
        <w:rPr>
          <w:sz w:val="20"/>
          <w:szCs w:val="20"/>
          <w:lang w:val="fr-FR"/>
        </w:rPr>
        <w:t xml:space="preserve">Eze, C. I. &amp; </w:t>
      </w:r>
      <w:proofErr w:type="spellStart"/>
      <w:r w:rsidRPr="00785CD9">
        <w:rPr>
          <w:sz w:val="20"/>
          <w:szCs w:val="20"/>
          <w:lang w:val="fr-FR"/>
        </w:rPr>
        <w:t>Akpa</w:t>
      </w:r>
      <w:proofErr w:type="spellEnd"/>
      <w:r w:rsidRPr="00785CD9">
        <w:rPr>
          <w:sz w:val="20"/>
          <w:szCs w:val="20"/>
          <w:lang w:val="fr-FR"/>
        </w:rPr>
        <w:t xml:space="preserve">, C. E. (2010). </w:t>
      </w:r>
      <w:proofErr w:type="gramStart"/>
      <w:r w:rsidRPr="00785CD9">
        <w:rPr>
          <w:sz w:val="20"/>
          <w:szCs w:val="20"/>
        </w:rPr>
        <w:t xml:space="preserve">Analysis of Technical efficiency of National </w:t>
      </w:r>
      <w:proofErr w:type="spellStart"/>
      <w:r w:rsidRPr="00785CD9">
        <w:rPr>
          <w:sz w:val="20"/>
          <w:szCs w:val="20"/>
        </w:rPr>
        <w:t>fadama</w:t>
      </w:r>
      <w:proofErr w:type="spellEnd"/>
      <w:r w:rsidRPr="00785CD9">
        <w:rPr>
          <w:sz w:val="20"/>
          <w:szCs w:val="20"/>
        </w:rPr>
        <w:t xml:space="preserve"> 11 facility on Arable crop farmers in Imo State, Nigeria.</w:t>
      </w:r>
      <w:proofErr w:type="gramEnd"/>
      <w:r w:rsidRPr="00785CD9">
        <w:rPr>
          <w:sz w:val="20"/>
          <w:szCs w:val="20"/>
        </w:rPr>
        <w:t xml:space="preserve"> </w:t>
      </w:r>
      <w:r w:rsidRPr="00785CD9">
        <w:rPr>
          <w:i/>
          <w:sz w:val="20"/>
          <w:szCs w:val="20"/>
        </w:rPr>
        <w:t xml:space="preserve">Journal of Agriculture and Social Research (JASR) </w:t>
      </w:r>
      <w:r w:rsidRPr="00785CD9">
        <w:rPr>
          <w:sz w:val="20"/>
          <w:szCs w:val="20"/>
        </w:rPr>
        <w:t>41(1), 108-114.</w:t>
      </w:r>
    </w:p>
    <w:p w:rsidR="00785CD9" w:rsidRDefault="00785CD9" w:rsidP="00785CD9">
      <w:pPr>
        <w:autoSpaceDE w:val="0"/>
        <w:autoSpaceDN w:val="0"/>
        <w:adjustRightInd w:val="0"/>
        <w:spacing w:after="120" w:line="240" w:lineRule="auto"/>
        <w:ind w:left="720" w:hanging="720"/>
        <w:jc w:val="both"/>
        <w:rPr>
          <w:sz w:val="20"/>
          <w:szCs w:val="20"/>
        </w:rPr>
      </w:pPr>
      <w:proofErr w:type="spellStart"/>
      <w:r w:rsidRPr="00785CD9">
        <w:rPr>
          <w:sz w:val="20"/>
          <w:szCs w:val="20"/>
        </w:rPr>
        <w:t>Igwe</w:t>
      </w:r>
      <w:proofErr w:type="spellEnd"/>
      <w:r w:rsidRPr="00785CD9">
        <w:rPr>
          <w:sz w:val="20"/>
          <w:szCs w:val="20"/>
        </w:rPr>
        <w:t xml:space="preserve">, K.C., </w:t>
      </w:r>
      <w:proofErr w:type="spellStart"/>
      <w:r w:rsidRPr="00785CD9">
        <w:rPr>
          <w:sz w:val="20"/>
          <w:szCs w:val="20"/>
        </w:rPr>
        <w:t>Onyenweaku</w:t>
      </w:r>
      <w:proofErr w:type="spellEnd"/>
      <w:r w:rsidRPr="00785CD9">
        <w:rPr>
          <w:sz w:val="20"/>
          <w:szCs w:val="20"/>
        </w:rPr>
        <w:t xml:space="preserve">, C.E., &amp; </w:t>
      </w:r>
      <w:proofErr w:type="spellStart"/>
      <w:r w:rsidRPr="00785CD9">
        <w:rPr>
          <w:sz w:val="20"/>
          <w:szCs w:val="20"/>
        </w:rPr>
        <w:t>Nwaru</w:t>
      </w:r>
      <w:proofErr w:type="spellEnd"/>
      <w:r w:rsidRPr="00785CD9">
        <w:rPr>
          <w:sz w:val="20"/>
          <w:szCs w:val="20"/>
        </w:rPr>
        <w:t xml:space="preserve">, S. (2011). Application of Linear Programming to Semi-Commercial Arable and Fishery Enterprises </w:t>
      </w:r>
      <w:proofErr w:type="gramStart"/>
      <w:r w:rsidRPr="00785CD9">
        <w:rPr>
          <w:sz w:val="20"/>
          <w:szCs w:val="20"/>
        </w:rPr>
        <w:t>In</w:t>
      </w:r>
      <w:proofErr w:type="gramEnd"/>
      <w:r w:rsidRPr="00785CD9">
        <w:rPr>
          <w:sz w:val="20"/>
          <w:szCs w:val="20"/>
        </w:rPr>
        <w:t xml:space="preserve"> </w:t>
      </w:r>
      <w:proofErr w:type="spellStart"/>
      <w:r w:rsidRPr="00785CD9">
        <w:rPr>
          <w:sz w:val="20"/>
          <w:szCs w:val="20"/>
        </w:rPr>
        <w:t>Abia</w:t>
      </w:r>
      <w:proofErr w:type="spellEnd"/>
      <w:r w:rsidRPr="00785CD9">
        <w:rPr>
          <w:sz w:val="20"/>
          <w:szCs w:val="20"/>
        </w:rPr>
        <w:t xml:space="preserve"> State, Nigeria. </w:t>
      </w:r>
      <w:proofErr w:type="gramStart"/>
      <w:r w:rsidRPr="00785CD9">
        <w:rPr>
          <w:i/>
          <w:iCs/>
          <w:sz w:val="20"/>
          <w:szCs w:val="20"/>
        </w:rPr>
        <w:t>International Journal of Economics and Management Sciences.</w:t>
      </w:r>
      <w:proofErr w:type="gramEnd"/>
      <w:r w:rsidRPr="00785CD9">
        <w:rPr>
          <w:i/>
          <w:iCs/>
          <w:sz w:val="20"/>
          <w:szCs w:val="20"/>
        </w:rPr>
        <w:t xml:space="preserve"> </w:t>
      </w:r>
      <w:r w:rsidRPr="00785CD9">
        <w:rPr>
          <w:sz w:val="20"/>
          <w:szCs w:val="20"/>
        </w:rPr>
        <w:t>1(1)</w:t>
      </w:r>
      <w:proofErr w:type="gramStart"/>
      <w:r w:rsidRPr="00785CD9">
        <w:rPr>
          <w:sz w:val="20"/>
          <w:szCs w:val="20"/>
        </w:rPr>
        <w:t>,75</w:t>
      </w:r>
      <w:proofErr w:type="gramEnd"/>
      <w:r w:rsidRPr="00785CD9">
        <w:rPr>
          <w:sz w:val="20"/>
          <w:szCs w:val="20"/>
        </w:rPr>
        <w:t>-81</w:t>
      </w:r>
    </w:p>
    <w:p w:rsidR="00785CD9" w:rsidRPr="00785CD9" w:rsidRDefault="00785CD9" w:rsidP="00785CD9">
      <w:pPr>
        <w:autoSpaceDE w:val="0"/>
        <w:autoSpaceDN w:val="0"/>
        <w:adjustRightInd w:val="0"/>
        <w:spacing w:after="120" w:line="240" w:lineRule="auto"/>
        <w:ind w:left="720" w:hanging="720"/>
        <w:jc w:val="both"/>
        <w:rPr>
          <w:sz w:val="20"/>
          <w:szCs w:val="20"/>
        </w:rPr>
      </w:pPr>
      <w:proofErr w:type="spellStart"/>
      <w:r w:rsidRPr="00785CD9">
        <w:rPr>
          <w:sz w:val="20"/>
          <w:szCs w:val="20"/>
        </w:rPr>
        <w:t>Jirgi</w:t>
      </w:r>
      <w:proofErr w:type="spellEnd"/>
      <w:r w:rsidRPr="00785CD9">
        <w:rPr>
          <w:sz w:val="20"/>
          <w:szCs w:val="20"/>
        </w:rPr>
        <w:t xml:space="preserve">, A. J. (2013). </w:t>
      </w:r>
      <w:proofErr w:type="gramStart"/>
      <w:r w:rsidRPr="00785CD9">
        <w:rPr>
          <w:sz w:val="20"/>
          <w:szCs w:val="20"/>
        </w:rPr>
        <w:t xml:space="preserve">Technical efficiency and risk preferences of cropping systems in </w:t>
      </w:r>
      <w:proofErr w:type="spellStart"/>
      <w:r w:rsidRPr="00785CD9">
        <w:rPr>
          <w:sz w:val="20"/>
          <w:szCs w:val="20"/>
        </w:rPr>
        <w:t>Kebbi</w:t>
      </w:r>
      <w:proofErr w:type="spellEnd"/>
      <w:r w:rsidRPr="00785CD9">
        <w:rPr>
          <w:sz w:val="20"/>
          <w:szCs w:val="20"/>
        </w:rPr>
        <w:t xml:space="preserve"> State, Nigeria.</w:t>
      </w:r>
      <w:proofErr w:type="gramEnd"/>
      <w:r w:rsidRPr="00785CD9">
        <w:rPr>
          <w:sz w:val="20"/>
          <w:szCs w:val="20"/>
        </w:rPr>
        <w:t xml:space="preserve"> Unpublished PhD Dissertation</w:t>
      </w:r>
      <w:r w:rsidRPr="00785CD9">
        <w:rPr>
          <w:i/>
          <w:sz w:val="20"/>
          <w:szCs w:val="20"/>
        </w:rPr>
        <w:t xml:space="preserve">, </w:t>
      </w:r>
      <w:r w:rsidRPr="00785CD9">
        <w:rPr>
          <w:sz w:val="20"/>
          <w:szCs w:val="20"/>
        </w:rPr>
        <w:t>Department of Agricultural Economics, University of Free State, Bloemfontein, South Africa</w:t>
      </w:r>
    </w:p>
    <w:p w:rsidR="00785CD9" w:rsidRPr="00785CD9" w:rsidRDefault="00785CD9" w:rsidP="00785CD9">
      <w:pPr>
        <w:spacing w:after="120" w:line="240" w:lineRule="auto"/>
        <w:ind w:left="720" w:hanging="720"/>
        <w:jc w:val="both"/>
        <w:rPr>
          <w:sz w:val="20"/>
          <w:szCs w:val="20"/>
        </w:rPr>
      </w:pPr>
      <w:r w:rsidRPr="00785CD9">
        <w:rPr>
          <w:sz w:val="20"/>
          <w:szCs w:val="20"/>
        </w:rPr>
        <w:t xml:space="preserve">Kaiser, H. F. (1958). </w:t>
      </w:r>
      <w:proofErr w:type="gramStart"/>
      <w:r w:rsidRPr="00785CD9">
        <w:rPr>
          <w:sz w:val="20"/>
          <w:szCs w:val="20"/>
        </w:rPr>
        <w:t xml:space="preserve">The </w:t>
      </w:r>
      <w:proofErr w:type="spellStart"/>
      <w:r w:rsidRPr="00785CD9">
        <w:rPr>
          <w:sz w:val="20"/>
          <w:szCs w:val="20"/>
        </w:rPr>
        <w:t>Varimax</w:t>
      </w:r>
      <w:proofErr w:type="spellEnd"/>
      <w:r w:rsidRPr="00785CD9">
        <w:rPr>
          <w:sz w:val="20"/>
          <w:szCs w:val="20"/>
        </w:rPr>
        <w:t xml:space="preserve"> criterion for analytic rotation in factor analysis.</w:t>
      </w:r>
      <w:proofErr w:type="gramEnd"/>
      <w:r w:rsidRPr="00785CD9">
        <w:rPr>
          <w:sz w:val="20"/>
          <w:szCs w:val="20"/>
        </w:rPr>
        <w:t xml:space="preserve"> </w:t>
      </w:r>
      <w:r w:rsidRPr="00785CD9">
        <w:rPr>
          <w:i/>
          <w:sz w:val="20"/>
          <w:szCs w:val="20"/>
        </w:rPr>
        <w:t>Psycho-</w:t>
      </w:r>
      <w:proofErr w:type="spellStart"/>
      <w:r w:rsidRPr="00785CD9">
        <w:rPr>
          <w:i/>
          <w:sz w:val="20"/>
          <w:szCs w:val="20"/>
        </w:rPr>
        <w:t>metrika</w:t>
      </w:r>
      <w:proofErr w:type="spellEnd"/>
      <w:r w:rsidRPr="00785CD9">
        <w:rPr>
          <w:sz w:val="20"/>
          <w:szCs w:val="20"/>
        </w:rPr>
        <w:t>, 23(1), 187 - 200</w:t>
      </w:r>
    </w:p>
    <w:p w:rsidR="00785CD9" w:rsidRPr="00785CD9" w:rsidRDefault="00785CD9" w:rsidP="00785CD9">
      <w:pPr>
        <w:autoSpaceDE w:val="0"/>
        <w:autoSpaceDN w:val="0"/>
        <w:adjustRightInd w:val="0"/>
        <w:spacing w:after="120" w:line="240" w:lineRule="auto"/>
        <w:ind w:left="720" w:hanging="720"/>
        <w:jc w:val="both"/>
        <w:rPr>
          <w:sz w:val="20"/>
          <w:szCs w:val="20"/>
        </w:rPr>
      </w:pPr>
      <w:proofErr w:type="spellStart"/>
      <w:proofErr w:type="gramStart"/>
      <w:r w:rsidRPr="00785CD9">
        <w:rPr>
          <w:sz w:val="20"/>
          <w:szCs w:val="20"/>
        </w:rPr>
        <w:t>Kwara</w:t>
      </w:r>
      <w:proofErr w:type="spellEnd"/>
      <w:r w:rsidRPr="00785CD9">
        <w:rPr>
          <w:sz w:val="20"/>
          <w:szCs w:val="20"/>
        </w:rPr>
        <w:t xml:space="preserve"> State Ministry of Agriculture and Natural Resources (KWSMANR) (2010).</w:t>
      </w:r>
      <w:proofErr w:type="gramEnd"/>
      <w:r w:rsidRPr="00785CD9">
        <w:rPr>
          <w:sz w:val="20"/>
          <w:szCs w:val="20"/>
        </w:rPr>
        <w:t xml:space="preserve"> </w:t>
      </w:r>
      <w:proofErr w:type="gramStart"/>
      <w:r w:rsidRPr="00785CD9">
        <w:rPr>
          <w:sz w:val="20"/>
          <w:szCs w:val="20"/>
        </w:rPr>
        <w:t xml:space="preserve">Report of </w:t>
      </w:r>
      <w:proofErr w:type="spellStart"/>
      <w:r w:rsidRPr="00785CD9">
        <w:rPr>
          <w:sz w:val="20"/>
          <w:szCs w:val="20"/>
        </w:rPr>
        <w:t>Kwara</w:t>
      </w:r>
      <w:proofErr w:type="spellEnd"/>
      <w:r w:rsidRPr="00785CD9">
        <w:rPr>
          <w:sz w:val="20"/>
          <w:szCs w:val="20"/>
        </w:rPr>
        <w:t xml:space="preserve"> State farmer’s census.</w:t>
      </w:r>
      <w:proofErr w:type="gramEnd"/>
      <w:r w:rsidRPr="00785CD9">
        <w:rPr>
          <w:sz w:val="20"/>
          <w:szCs w:val="20"/>
        </w:rPr>
        <w:t xml:space="preserve"> Ilorin, </w:t>
      </w:r>
      <w:proofErr w:type="spellStart"/>
      <w:r w:rsidRPr="00785CD9">
        <w:rPr>
          <w:sz w:val="20"/>
          <w:szCs w:val="20"/>
        </w:rPr>
        <w:t>Kwara</w:t>
      </w:r>
      <w:proofErr w:type="spellEnd"/>
      <w:r w:rsidRPr="00785CD9">
        <w:rPr>
          <w:sz w:val="20"/>
          <w:szCs w:val="20"/>
        </w:rPr>
        <w:t xml:space="preserve"> State, Nigeria </w:t>
      </w:r>
    </w:p>
    <w:p w:rsidR="00785CD9" w:rsidRPr="00785CD9" w:rsidRDefault="00785CD9" w:rsidP="00785CD9">
      <w:pPr>
        <w:autoSpaceDE w:val="0"/>
        <w:autoSpaceDN w:val="0"/>
        <w:adjustRightInd w:val="0"/>
        <w:spacing w:after="120" w:line="240" w:lineRule="auto"/>
        <w:ind w:left="720" w:hanging="720"/>
        <w:jc w:val="both"/>
        <w:rPr>
          <w:sz w:val="20"/>
          <w:szCs w:val="20"/>
        </w:rPr>
      </w:pPr>
      <w:proofErr w:type="spellStart"/>
      <w:proofErr w:type="gramStart"/>
      <w:r w:rsidRPr="00785CD9">
        <w:rPr>
          <w:sz w:val="20"/>
          <w:szCs w:val="20"/>
        </w:rPr>
        <w:t>Kwara</w:t>
      </w:r>
      <w:proofErr w:type="spellEnd"/>
      <w:r w:rsidRPr="00785CD9">
        <w:rPr>
          <w:sz w:val="20"/>
          <w:szCs w:val="20"/>
        </w:rPr>
        <w:t xml:space="preserve"> State Planning Commission (KWSPC) (2007).</w:t>
      </w:r>
      <w:proofErr w:type="gramEnd"/>
      <w:r w:rsidRPr="00785CD9">
        <w:rPr>
          <w:sz w:val="20"/>
          <w:szCs w:val="20"/>
        </w:rPr>
        <w:t xml:space="preserve"> </w:t>
      </w:r>
      <w:proofErr w:type="spellStart"/>
      <w:r w:rsidRPr="00785CD9">
        <w:rPr>
          <w:sz w:val="20"/>
          <w:szCs w:val="20"/>
        </w:rPr>
        <w:t>Kwara</w:t>
      </w:r>
      <w:proofErr w:type="spellEnd"/>
      <w:r w:rsidRPr="00785CD9">
        <w:rPr>
          <w:sz w:val="20"/>
          <w:szCs w:val="20"/>
        </w:rPr>
        <w:t xml:space="preserve"> State Year Book, </w:t>
      </w:r>
      <w:proofErr w:type="spellStart"/>
      <w:r w:rsidRPr="00785CD9">
        <w:rPr>
          <w:sz w:val="20"/>
          <w:szCs w:val="20"/>
        </w:rPr>
        <w:t>Kwara</w:t>
      </w:r>
      <w:proofErr w:type="spellEnd"/>
      <w:r w:rsidRPr="00785CD9">
        <w:rPr>
          <w:sz w:val="20"/>
          <w:szCs w:val="20"/>
        </w:rPr>
        <w:t xml:space="preserve"> State, Nigeria</w:t>
      </w:r>
    </w:p>
    <w:p w:rsidR="00E16C55" w:rsidRPr="00785CD9" w:rsidRDefault="00785CD9" w:rsidP="00785CD9">
      <w:pPr>
        <w:spacing w:after="120" w:line="240" w:lineRule="auto"/>
        <w:ind w:left="720" w:hanging="720"/>
        <w:jc w:val="both"/>
        <w:rPr>
          <w:sz w:val="20"/>
          <w:szCs w:val="20"/>
        </w:rPr>
      </w:pPr>
      <w:proofErr w:type="spellStart"/>
      <w:proofErr w:type="gramStart"/>
      <w:r w:rsidRPr="00785CD9">
        <w:rPr>
          <w:sz w:val="20"/>
          <w:szCs w:val="20"/>
        </w:rPr>
        <w:t>Sallawu</w:t>
      </w:r>
      <w:proofErr w:type="spellEnd"/>
      <w:r w:rsidRPr="00785CD9">
        <w:rPr>
          <w:sz w:val="20"/>
          <w:szCs w:val="20"/>
        </w:rPr>
        <w:t xml:space="preserve">, H., </w:t>
      </w:r>
      <w:proofErr w:type="spellStart"/>
      <w:r w:rsidRPr="00785CD9">
        <w:rPr>
          <w:sz w:val="20"/>
          <w:szCs w:val="20"/>
        </w:rPr>
        <w:t>Nmadu</w:t>
      </w:r>
      <w:proofErr w:type="spellEnd"/>
      <w:r w:rsidRPr="00785CD9">
        <w:rPr>
          <w:sz w:val="20"/>
          <w:szCs w:val="20"/>
        </w:rPr>
        <w:t>, J. N., Coker, A. A. A. and Mohammed, U. S. (2019).</w:t>
      </w:r>
      <w:proofErr w:type="gramEnd"/>
      <w:r w:rsidRPr="00785CD9">
        <w:rPr>
          <w:sz w:val="20"/>
          <w:szCs w:val="20"/>
        </w:rPr>
        <w:t xml:space="preserve"> </w:t>
      </w:r>
      <w:proofErr w:type="gramStart"/>
      <w:r w:rsidRPr="00785CD9">
        <w:rPr>
          <w:sz w:val="20"/>
          <w:szCs w:val="20"/>
        </w:rPr>
        <w:t>Exploratory analysis of constraints to livelihood diversification among IFAD_VCDP farmers in Benue State, Nigeria.</w:t>
      </w:r>
      <w:proofErr w:type="gramEnd"/>
      <w:r w:rsidRPr="00785CD9">
        <w:rPr>
          <w:sz w:val="20"/>
          <w:szCs w:val="20"/>
        </w:rPr>
        <w:t xml:space="preserve"> Paper presented at the 1</w:t>
      </w:r>
      <w:r w:rsidRPr="00785CD9">
        <w:rPr>
          <w:sz w:val="20"/>
          <w:szCs w:val="20"/>
          <w:vertAlign w:val="superscript"/>
        </w:rPr>
        <w:t>st</w:t>
      </w:r>
      <w:r w:rsidRPr="00785CD9">
        <w:rPr>
          <w:sz w:val="20"/>
          <w:szCs w:val="20"/>
        </w:rPr>
        <w:t xml:space="preserve"> International Conference of Agriculture and Agricultural Technology (ICAAT) held at Federal University of Technology, </w:t>
      </w:r>
      <w:proofErr w:type="spellStart"/>
      <w:r w:rsidRPr="00785CD9">
        <w:rPr>
          <w:sz w:val="20"/>
          <w:szCs w:val="20"/>
        </w:rPr>
        <w:t>Minna</w:t>
      </w:r>
      <w:proofErr w:type="spellEnd"/>
      <w:r w:rsidRPr="00785CD9">
        <w:rPr>
          <w:sz w:val="20"/>
          <w:szCs w:val="20"/>
        </w:rPr>
        <w:t xml:space="preserve">, Nigeria, </w:t>
      </w:r>
      <w:proofErr w:type="gramStart"/>
      <w:r w:rsidRPr="00785CD9">
        <w:rPr>
          <w:sz w:val="20"/>
          <w:szCs w:val="20"/>
        </w:rPr>
        <w:t>23</w:t>
      </w:r>
      <w:r w:rsidRPr="00785CD9">
        <w:rPr>
          <w:sz w:val="20"/>
          <w:szCs w:val="20"/>
          <w:vertAlign w:val="superscript"/>
        </w:rPr>
        <w:t>rd</w:t>
      </w:r>
      <w:proofErr w:type="gramEnd"/>
      <w:r w:rsidRPr="00785CD9">
        <w:rPr>
          <w:sz w:val="20"/>
          <w:szCs w:val="20"/>
        </w:rPr>
        <w:t xml:space="preserve"> – 26</w:t>
      </w:r>
      <w:r w:rsidRPr="00785CD9">
        <w:rPr>
          <w:sz w:val="20"/>
          <w:szCs w:val="20"/>
          <w:vertAlign w:val="superscript"/>
        </w:rPr>
        <w:t>th</w:t>
      </w:r>
      <w:r w:rsidRPr="00785CD9">
        <w:rPr>
          <w:sz w:val="20"/>
          <w:szCs w:val="20"/>
        </w:rPr>
        <w:t xml:space="preserve"> April, 2019. Pp 78 – 87.</w:t>
      </w:r>
    </w:p>
    <w:sectPr w:rsidR="00E16C55" w:rsidRPr="00785CD9" w:rsidSect="00C42D12">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73D" w:rsidRDefault="004D773D" w:rsidP="004C7632">
      <w:pPr>
        <w:spacing w:after="0" w:line="240" w:lineRule="auto"/>
      </w:pPr>
      <w:r>
        <w:separator/>
      </w:r>
    </w:p>
  </w:endnote>
  <w:endnote w:type="continuationSeparator" w:id="0">
    <w:p w:rsidR="004D773D" w:rsidRDefault="004D773D" w:rsidP="004C7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350226"/>
      <w:docPartObj>
        <w:docPartGallery w:val="Page Numbers (Bottom of Page)"/>
        <w:docPartUnique/>
      </w:docPartObj>
    </w:sdtPr>
    <w:sdtContent>
      <w:p w:rsidR="004421B1" w:rsidRDefault="00A9777A">
        <w:pPr>
          <w:pStyle w:val="Footer"/>
          <w:jc w:val="center"/>
        </w:pPr>
        <w:fldSimple w:instr=" PAGE   \* MERGEFORMAT ">
          <w:r w:rsidR="00B4290A">
            <w:rPr>
              <w:noProof/>
            </w:rPr>
            <w:t>1</w:t>
          </w:r>
        </w:fldSimple>
      </w:p>
    </w:sdtContent>
  </w:sdt>
  <w:p w:rsidR="004421B1" w:rsidRDefault="00442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73D" w:rsidRDefault="004D773D" w:rsidP="004C7632">
      <w:pPr>
        <w:spacing w:after="0" w:line="240" w:lineRule="auto"/>
      </w:pPr>
      <w:r>
        <w:separator/>
      </w:r>
    </w:p>
  </w:footnote>
  <w:footnote w:type="continuationSeparator" w:id="0">
    <w:p w:rsidR="004D773D" w:rsidRDefault="004D773D" w:rsidP="004C7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22787"/>
    <w:multiLevelType w:val="hybridMultilevel"/>
    <w:tmpl w:val="ECDC6708"/>
    <w:lvl w:ilvl="0" w:tplc="DE0631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16C55"/>
    <w:rsid w:val="0000021A"/>
    <w:rsid w:val="00004065"/>
    <w:rsid w:val="00073625"/>
    <w:rsid w:val="000A6BBE"/>
    <w:rsid w:val="000E4D6E"/>
    <w:rsid w:val="000F2855"/>
    <w:rsid w:val="00124A83"/>
    <w:rsid w:val="001520C9"/>
    <w:rsid w:val="0016359E"/>
    <w:rsid w:val="00216337"/>
    <w:rsid w:val="00223E1A"/>
    <w:rsid w:val="00247FD8"/>
    <w:rsid w:val="002923D4"/>
    <w:rsid w:val="002C66C6"/>
    <w:rsid w:val="003538A3"/>
    <w:rsid w:val="0035446A"/>
    <w:rsid w:val="003B0FEF"/>
    <w:rsid w:val="003E5506"/>
    <w:rsid w:val="004421B1"/>
    <w:rsid w:val="00445F1B"/>
    <w:rsid w:val="00464604"/>
    <w:rsid w:val="004C2D5E"/>
    <w:rsid w:val="004C7632"/>
    <w:rsid w:val="004D773D"/>
    <w:rsid w:val="004F20D1"/>
    <w:rsid w:val="0050237C"/>
    <w:rsid w:val="00564B8F"/>
    <w:rsid w:val="0056536B"/>
    <w:rsid w:val="00574BA7"/>
    <w:rsid w:val="00620F12"/>
    <w:rsid w:val="00625BE7"/>
    <w:rsid w:val="006309B2"/>
    <w:rsid w:val="00651C0D"/>
    <w:rsid w:val="006D4B52"/>
    <w:rsid w:val="00785CD9"/>
    <w:rsid w:val="007D16F6"/>
    <w:rsid w:val="008311AD"/>
    <w:rsid w:val="008529E6"/>
    <w:rsid w:val="008B5DF3"/>
    <w:rsid w:val="008E60E6"/>
    <w:rsid w:val="00900E87"/>
    <w:rsid w:val="0095267F"/>
    <w:rsid w:val="009775DB"/>
    <w:rsid w:val="009820DA"/>
    <w:rsid w:val="009D757B"/>
    <w:rsid w:val="00A77E0D"/>
    <w:rsid w:val="00A92892"/>
    <w:rsid w:val="00A94742"/>
    <w:rsid w:val="00A9777A"/>
    <w:rsid w:val="00AF3980"/>
    <w:rsid w:val="00B4290A"/>
    <w:rsid w:val="00B61DC0"/>
    <w:rsid w:val="00BB37A4"/>
    <w:rsid w:val="00BF3973"/>
    <w:rsid w:val="00BF4C40"/>
    <w:rsid w:val="00C42D12"/>
    <w:rsid w:val="00CC50CD"/>
    <w:rsid w:val="00CE164B"/>
    <w:rsid w:val="00D5688D"/>
    <w:rsid w:val="00DA0AD7"/>
    <w:rsid w:val="00DF0EF6"/>
    <w:rsid w:val="00E16C55"/>
    <w:rsid w:val="00E91B4C"/>
    <w:rsid w:val="00ED5FF0"/>
    <w:rsid w:val="00EE53AF"/>
    <w:rsid w:val="00F058C4"/>
    <w:rsid w:val="00F45A64"/>
    <w:rsid w:val="00F879A1"/>
    <w:rsid w:val="00FA0DE5"/>
    <w:rsid w:val="00FA6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8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55"/>
    <w:rPr>
      <w:rFonts w:ascii="Tahoma" w:hAnsi="Tahoma" w:cs="Tahoma"/>
      <w:sz w:val="16"/>
      <w:szCs w:val="16"/>
      <w:lang w:val="en-GB"/>
    </w:rPr>
  </w:style>
  <w:style w:type="character" w:customStyle="1" w:styleId="Headerorfooter">
    <w:name w:val="Header or footer"/>
    <w:basedOn w:val="DefaultParagraphFont"/>
    <w:rsid w:val="00E16C55"/>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BodytextBold">
    <w:name w:val="Body text + Bold"/>
    <w:basedOn w:val="DefaultParagraphFont"/>
    <w:rsid w:val="00E16C55"/>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Bodytext9">
    <w:name w:val="Body text (9)_"/>
    <w:basedOn w:val="DefaultParagraphFont"/>
    <w:link w:val="Bodytext90"/>
    <w:rsid w:val="00E16C55"/>
    <w:rPr>
      <w:rFonts w:ascii="Arial" w:eastAsia="Arial" w:hAnsi="Arial" w:cs="Arial"/>
      <w:b/>
      <w:bCs/>
      <w:sz w:val="20"/>
      <w:szCs w:val="20"/>
      <w:shd w:val="clear" w:color="auto" w:fill="FFFFFF"/>
    </w:rPr>
  </w:style>
  <w:style w:type="paragraph" w:customStyle="1" w:styleId="Bodytext90">
    <w:name w:val="Body text (9)"/>
    <w:basedOn w:val="Normal"/>
    <w:link w:val="Bodytext9"/>
    <w:rsid w:val="00E16C55"/>
    <w:pPr>
      <w:widowControl w:val="0"/>
      <w:shd w:val="clear" w:color="auto" w:fill="FFFFFF"/>
      <w:spacing w:after="0" w:line="0" w:lineRule="atLeast"/>
      <w:jc w:val="center"/>
    </w:pPr>
    <w:rPr>
      <w:rFonts w:ascii="Arial" w:eastAsia="Arial" w:hAnsi="Arial" w:cs="Arial"/>
      <w:b/>
      <w:bCs/>
      <w:sz w:val="20"/>
      <w:szCs w:val="20"/>
      <w:lang w:val="en-US"/>
    </w:rPr>
  </w:style>
  <w:style w:type="character" w:styleId="Hyperlink">
    <w:name w:val="Hyperlink"/>
    <w:uiPriority w:val="99"/>
    <w:unhideWhenUsed/>
    <w:rsid w:val="00FA6038"/>
    <w:rPr>
      <w:color w:val="0000FF"/>
      <w:u w:val="single"/>
    </w:rPr>
  </w:style>
  <w:style w:type="character" w:customStyle="1" w:styleId="Bodytext">
    <w:name w:val="Body text_"/>
    <w:basedOn w:val="DefaultParagraphFont"/>
    <w:link w:val="Bodytext0"/>
    <w:rsid w:val="002923D4"/>
    <w:rPr>
      <w:rFonts w:ascii="Arial" w:eastAsia="Arial" w:hAnsi="Arial" w:cs="Arial"/>
      <w:sz w:val="20"/>
      <w:szCs w:val="20"/>
      <w:shd w:val="clear" w:color="auto" w:fill="FFFFFF"/>
    </w:rPr>
  </w:style>
  <w:style w:type="character" w:customStyle="1" w:styleId="Tablecaption">
    <w:name w:val="Table caption_"/>
    <w:basedOn w:val="DefaultParagraphFont"/>
    <w:link w:val="Tablecaption0"/>
    <w:rsid w:val="002923D4"/>
    <w:rPr>
      <w:rFonts w:ascii="Arial" w:eastAsia="Arial" w:hAnsi="Arial" w:cs="Arial"/>
      <w:sz w:val="18"/>
      <w:szCs w:val="18"/>
      <w:shd w:val="clear" w:color="auto" w:fill="FFFFFF"/>
    </w:rPr>
  </w:style>
  <w:style w:type="character" w:customStyle="1" w:styleId="Tablecaption2">
    <w:name w:val="Table caption (2)_"/>
    <w:basedOn w:val="DefaultParagraphFont"/>
    <w:link w:val="Tablecaption20"/>
    <w:rsid w:val="002923D4"/>
    <w:rPr>
      <w:rFonts w:ascii="FrankRuehl" w:eastAsia="FrankRuehl" w:hAnsi="FrankRuehl" w:cs="FrankRuehl"/>
      <w:i/>
      <w:iCs/>
      <w:sz w:val="22"/>
      <w:shd w:val="clear" w:color="auto" w:fill="FFFFFF"/>
    </w:rPr>
  </w:style>
  <w:style w:type="character" w:customStyle="1" w:styleId="Tablecaption2ArialUnicodeMS">
    <w:name w:val="Table caption (2) + Arial Unicode MS"/>
    <w:aliases w:val="4 pt,Not Italic,Body text + Courier New"/>
    <w:basedOn w:val="Tablecaption2"/>
    <w:rsid w:val="002923D4"/>
    <w:rPr>
      <w:rFonts w:ascii="Arial Unicode MS" w:eastAsia="Arial Unicode MS" w:hAnsi="Arial Unicode MS" w:cs="Arial Unicode MS"/>
      <w:color w:val="000000"/>
      <w:spacing w:val="0"/>
      <w:w w:val="100"/>
      <w:position w:val="0"/>
      <w:sz w:val="8"/>
      <w:szCs w:val="8"/>
      <w:lang w:val="en-US" w:eastAsia="en-US" w:bidi="en-US"/>
    </w:rPr>
  </w:style>
  <w:style w:type="character" w:customStyle="1" w:styleId="Tablecaption2Arial">
    <w:name w:val="Table caption (2) + Arial"/>
    <w:aliases w:val="8.5 pt"/>
    <w:basedOn w:val="Tablecaption2"/>
    <w:rsid w:val="002923D4"/>
    <w:rPr>
      <w:rFonts w:ascii="Arial" w:eastAsia="Arial" w:hAnsi="Arial" w:cs="Arial"/>
      <w:color w:val="000000"/>
      <w:spacing w:val="0"/>
      <w:w w:val="100"/>
      <w:position w:val="0"/>
      <w:sz w:val="17"/>
      <w:szCs w:val="17"/>
      <w:lang w:val="en-US" w:eastAsia="en-US" w:bidi="en-US"/>
    </w:rPr>
  </w:style>
  <w:style w:type="character" w:customStyle="1" w:styleId="Tablecaption2CourierNew">
    <w:name w:val="Table caption (2) + Courier New"/>
    <w:aliases w:val="7 pt,Bold"/>
    <w:basedOn w:val="Tablecaption2"/>
    <w:rsid w:val="002923D4"/>
    <w:rPr>
      <w:rFonts w:ascii="Courier New" w:eastAsia="Courier New" w:hAnsi="Courier New" w:cs="Courier New"/>
      <w:b/>
      <w:bCs/>
      <w:color w:val="000000"/>
      <w:spacing w:val="0"/>
      <w:w w:val="100"/>
      <w:position w:val="0"/>
      <w:sz w:val="14"/>
      <w:szCs w:val="14"/>
      <w:lang w:val="en-US" w:eastAsia="en-US" w:bidi="en-US"/>
    </w:rPr>
  </w:style>
  <w:style w:type="character" w:customStyle="1" w:styleId="Bodytext8pt">
    <w:name w:val="Body text + 8 pt"/>
    <w:basedOn w:val="Bodytext"/>
    <w:rsid w:val="002923D4"/>
    <w:rPr>
      <w:color w:val="000000"/>
      <w:spacing w:val="0"/>
      <w:w w:val="100"/>
      <w:position w:val="0"/>
      <w:sz w:val="16"/>
      <w:szCs w:val="16"/>
      <w:lang w:val="en-US" w:eastAsia="en-US" w:bidi="en-US"/>
    </w:rPr>
  </w:style>
  <w:style w:type="paragraph" w:customStyle="1" w:styleId="Bodytext0">
    <w:name w:val="Body text"/>
    <w:basedOn w:val="Normal"/>
    <w:link w:val="Bodytext"/>
    <w:rsid w:val="002923D4"/>
    <w:pPr>
      <w:widowControl w:val="0"/>
      <w:shd w:val="clear" w:color="auto" w:fill="FFFFFF"/>
      <w:spacing w:before="300" w:after="180" w:line="254" w:lineRule="exact"/>
      <w:ind w:hanging="560"/>
      <w:jc w:val="center"/>
    </w:pPr>
    <w:rPr>
      <w:rFonts w:ascii="Arial" w:eastAsia="Arial" w:hAnsi="Arial" w:cs="Arial"/>
      <w:sz w:val="20"/>
      <w:szCs w:val="20"/>
      <w:lang w:val="en-US"/>
    </w:rPr>
  </w:style>
  <w:style w:type="paragraph" w:customStyle="1" w:styleId="Tablecaption0">
    <w:name w:val="Table caption"/>
    <w:basedOn w:val="Normal"/>
    <w:link w:val="Tablecaption"/>
    <w:rsid w:val="002923D4"/>
    <w:pPr>
      <w:widowControl w:val="0"/>
      <w:shd w:val="clear" w:color="auto" w:fill="FFFFFF"/>
      <w:spacing w:after="0" w:line="0" w:lineRule="atLeast"/>
    </w:pPr>
    <w:rPr>
      <w:rFonts w:ascii="Arial" w:eastAsia="Arial" w:hAnsi="Arial" w:cs="Arial"/>
      <w:sz w:val="18"/>
      <w:szCs w:val="18"/>
      <w:lang w:val="en-US"/>
    </w:rPr>
  </w:style>
  <w:style w:type="paragraph" w:customStyle="1" w:styleId="Tablecaption20">
    <w:name w:val="Table caption (2)"/>
    <w:basedOn w:val="Normal"/>
    <w:link w:val="Tablecaption2"/>
    <w:rsid w:val="002923D4"/>
    <w:pPr>
      <w:widowControl w:val="0"/>
      <w:shd w:val="clear" w:color="auto" w:fill="FFFFFF"/>
      <w:spacing w:after="0" w:line="0" w:lineRule="atLeast"/>
    </w:pPr>
    <w:rPr>
      <w:rFonts w:ascii="FrankRuehl" w:eastAsia="FrankRuehl" w:hAnsi="FrankRuehl" w:cs="FrankRuehl"/>
      <w:i/>
      <w:iCs/>
      <w:sz w:val="22"/>
      <w:lang w:val="en-US"/>
    </w:rPr>
  </w:style>
  <w:style w:type="table" w:customStyle="1" w:styleId="LightShading1">
    <w:name w:val="Light Shading1"/>
    <w:basedOn w:val="TableNormal"/>
    <w:uiPriority w:val="60"/>
    <w:rsid w:val="002923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4C76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7632"/>
    <w:rPr>
      <w:lang w:val="en-GB"/>
    </w:rPr>
  </w:style>
  <w:style w:type="paragraph" w:styleId="Footer">
    <w:name w:val="footer"/>
    <w:basedOn w:val="Normal"/>
    <w:link w:val="FooterChar"/>
    <w:uiPriority w:val="99"/>
    <w:unhideWhenUsed/>
    <w:rsid w:val="004C7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632"/>
    <w:rPr>
      <w:lang w:val="en-GB"/>
    </w:rPr>
  </w:style>
  <w:style w:type="paragraph" w:styleId="ListParagraph">
    <w:name w:val="List Paragraph"/>
    <w:basedOn w:val="Normal"/>
    <w:qFormat/>
    <w:rsid w:val="0016359E"/>
    <w:pPr>
      <w:ind w:left="720"/>
      <w:contextualSpacing/>
    </w:pPr>
  </w:style>
  <w:style w:type="paragraph" w:customStyle="1" w:styleId="Default">
    <w:name w:val="Default"/>
    <w:rsid w:val="0016359E"/>
    <w:pPr>
      <w:autoSpaceDE w:val="0"/>
      <w:autoSpaceDN w:val="0"/>
      <w:adjustRightInd w:val="0"/>
      <w:spacing w:after="0" w:line="240" w:lineRule="auto"/>
    </w:pPr>
    <w:rPr>
      <w:rFonts w:eastAsia="Calibri"/>
      <w:color w:val="000000"/>
      <w:szCs w:val="24"/>
    </w:rPr>
  </w:style>
  <w:style w:type="table" w:styleId="LightShading">
    <w:name w:val="Light Shading"/>
    <w:basedOn w:val="TableNormal"/>
    <w:uiPriority w:val="60"/>
    <w:rsid w:val="009775D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adewumiadeoluw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asn%20confere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asn%20confere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0.13666032370953632"/>
          <c:y val="1.620370370370371E-2"/>
          <c:w val="0.56111111111111112"/>
          <c:h val="0.93518518518518523"/>
        </c:manualLayout>
      </c:layout>
      <c:pieChart>
        <c:varyColors val="1"/>
        <c:ser>
          <c:idx val="0"/>
          <c:order val="0"/>
          <c:tx>
            <c:strRef>
              <c:f>Sheet6!$B$1</c:f>
              <c:strCache>
                <c:ptCount val="1"/>
                <c:pt idx="0">
                  <c:v>Percentage</c:v>
                </c:pt>
              </c:strCache>
            </c:strRef>
          </c:tx>
          <c:explosion val="25"/>
          <c:dLbls>
            <c:dLbl>
              <c:idx val="0"/>
              <c:tx>
                <c:rich>
                  <a:bodyPr/>
                  <a:lstStyle/>
                  <a:p>
                    <a:r>
                      <a:rPr lang="en-US" sz="1000"/>
                      <a:t>8.43%</a:t>
                    </a:r>
                  </a:p>
                </c:rich>
              </c:tx>
              <c:showVal val="1"/>
              <c:showPercent val="1"/>
            </c:dLbl>
            <c:dLbl>
              <c:idx val="1"/>
              <c:tx>
                <c:rich>
                  <a:bodyPr/>
                  <a:lstStyle/>
                  <a:p>
                    <a:r>
                      <a:rPr lang="en-US" sz="1000"/>
                      <a:t>91.57%</a:t>
                    </a:r>
                  </a:p>
                </c:rich>
              </c:tx>
              <c:showVal val="1"/>
              <c:showPercent val="1"/>
            </c:dLbl>
            <c:txPr>
              <a:bodyPr/>
              <a:lstStyle/>
              <a:p>
                <a:pPr>
                  <a:defRPr sz="1000"/>
                </a:pPr>
                <a:endParaRPr lang="en-US"/>
              </a:p>
            </c:txPr>
            <c:showVal val="1"/>
            <c:showPercent val="1"/>
            <c:showLeaderLines val="1"/>
          </c:dLbls>
          <c:cat>
            <c:strRef>
              <c:f>Sheet6!$A$2:$A$3</c:f>
              <c:strCache>
                <c:ptCount val="2"/>
                <c:pt idx="0">
                  <c:v>Female</c:v>
                </c:pt>
                <c:pt idx="1">
                  <c:v>Male</c:v>
                </c:pt>
              </c:strCache>
            </c:strRef>
          </c:cat>
          <c:val>
            <c:numRef>
              <c:f>Sheet6!$B$2:$B$3</c:f>
              <c:numCache>
                <c:formatCode>General</c:formatCode>
                <c:ptCount val="2"/>
                <c:pt idx="0">
                  <c:v>8.43</c:v>
                </c:pt>
                <c:pt idx="1">
                  <c:v>91.57</c:v>
                </c:pt>
              </c:numCache>
            </c:numRef>
          </c:val>
        </c:ser>
        <c:dLbls>
          <c:showPercent val="1"/>
        </c:dLbls>
        <c:firstSliceAng val="0"/>
      </c:pieChart>
    </c:plotArea>
    <c:legend>
      <c:legendPos val="r"/>
      <c:legendEntry>
        <c:idx val="0"/>
        <c:txPr>
          <a:bodyPr/>
          <a:lstStyle/>
          <a:p>
            <a:pPr>
              <a:defRPr sz="1000"/>
            </a:pPr>
            <a:endParaRPr lang="en-US"/>
          </a:p>
        </c:txPr>
      </c:legendEntry>
      <c:legendEntry>
        <c:idx val="1"/>
        <c:txPr>
          <a:bodyPr/>
          <a:lstStyle/>
          <a:p>
            <a:pPr>
              <a:defRPr sz="1000"/>
            </a:pPr>
            <a:endParaRPr lang="en-US"/>
          </a:p>
        </c:txPr>
      </c:legendEntry>
      <c:layout>
        <c:manualLayout>
          <c:xMode val="edge"/>
          <c:yMode val="edge"/>
          <c:x val="0.74704146747757283"/>
          <c:y val="0.29128280839895115"/>
          <c:w val="0.23629188306804061"/>
          <c:h val="0.29243438320210047"/>
        </c:manualLayout>
      </c:layout>
      <c:txPr>
        <a:bodyPr/>
        <a:lstStyle/>
        <a:p>
          <a:pPr>
            <a:defRPr sz="14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view3D>
      <c:rAngAx val="1"/>
    </c:view3D>
    <c:plotArea>
      <c:layout>
        <c:manualLayout>
          <c:layoutTarget val="inner"/>
          <c:xMode val="edge"/>
          <c:yMode val="edge"/>
          <c:x val="0.19125069063032293"/>
          <c:y val="3.5384080861723982E-2"/>
          <c:w val="0.78138849941136057"/>
          <c:h val="0.76160373865398989"/>
        </c:manualLayout>
      </c:layout>
      <c:bar3DChart>
        <c:barDir val="col"/>
        <c:grouping val="clustered"/>
        <c:ser>
          <c:idx val="0"/>
          <c:order val="0"/>
          <c:tx>
            <c:strRef>
              <c:f>Sheet7!$B$1</c:f>
              <c:strCache>
                <c:ptCount val="1"/>
                <c:pt idx="0">
                  <c:v>Percentage</c:v>
                </c:pt>
              </c:strCache>
            </c:strRef>
          </c:tx>
          <c:cat>
            <c:strRef>
              <c:f>Sheet7!$A$2:$A$5</c:f>
              <c:strCache>
                <c:ptCount val="4"/>
                <c:pt idx="0">
                  <c:v>Divorced</c:v>
                </c:pt>
                <c:pt idx="1">
                  <c:v>Married</c:v>
                </c:pt>
                <c:pt idx="2">
                  <c:v>Single</c:v>
                </c:pt>
                <c:pt idx="3">
                  <c:v>Widowed</c:v>
                </c:pt>
              </c:strCache>
            </c:strRef>
          </c:cat>
          <c:val>
            <c:numRef>
              <c:f>Sheet7!$B$2:$B$5</c:f>
              <c:numCache>
                <c:formatCode>General</c:formatCode>
                <c:ptCount val="4"/>
                <c:pt idx="0">
                  <c:v>3.07</c:v>
                </c:pt>
                <c:pt idx="1">
                  <c:v>86.210000000000022</c:v>
                </c:pt>
                <c:pt idx="2">
                  <c:v>5.3599999999999985</c:v>
                </c:pt>
                <c:pt idx="3">
                  <c:v>5.3599999999999985</c:v>
                </c:pt>
              </c:numCache>
            </c:numRef>
          </c:val>
        </c:ser>
        <c:shape val="pyramid"/>
        <c:axId val="67597824"/>
        <c:axId val="67599360"/>
        <c:axId val="0"/>
      </c:bar3DChart>
      <c:catAx>
        <c:axId val="67597824"/>
        <c:scaling>
          <c:orientation val="minMax"/>
        </c:scaling>
        <c:axPos val="b"/>
        <c:majorTickMark val="none"/>
        <c:tickLblPos val="nextTo"/>
        <c:crossAx val="67599360"/>
        <c:crosses val="autoZero"/>
        <c:auto val="1"/>
        <c:lblAlgn val="ctr"/>
        <c:lblOffset val="100"/>
      </c:catAx>
      <c:valAx>
        <c:axId val="67599360"/>
        <c:scaling>
          <c:orientation val="minMax"/>
        </c:scaling>
        <c:axPos val="l"/>
        <c:majorGridlines/>
        <c:title>
          <c:tx>
            <c:rich>
              <a:bodyPr/>
              <a:lstStyle/>
              <a:p>
                <a:pPr>
                  <a:defRPr sz="900"/>
                </a:pPr>
                <a:r>
                  <a:rPr lang="en-US" sz="900"/>
                  <a:t>Percentage</a:t>
                </a:r>
                <a:r>
                  <a:rPr lang="en-US" sz="900" baseline="0"/>
                  <a:t> distribution (%)</a:t>
                </a:r>
                <a:endParaRPr lang="en-US" sz="900"/>
              </a:p>
            </c:rich>
          </c:tx>
        </c:title>
        <c:numFmt formatCode="General" sourceLinked="1"/>
        <c:majorTickMark val="none"/>
        <c:tickLblPos val="nextTo"/>
        <c:crossAx val="67597824"/>
        <c:crosses val="autoZero"/>
        <c:crossBetween val="between"/>
      </c:valAx>
      <c:dTable>
        <c:showHorzBorder val="1"/>
        <c:showVertBorder val="1"/>
        <c:showOutline val="1"/>
        <c:showKeys val="1"/>
        <c:txPr>
          <a:bodyPr/>
          <a:lstStyle/>
          <a:p>
            <a:pPr rtl="0">
              <a:defRPr sz="800"/>
            </a:pPr>
            <a:endParaRPr lang="en-US"/>
          </a:p>
        </c:txPr>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YES</cp:lastModifiedBy>
  <cp:revision>3</cp:revision>
  <dcterms:created xsi:type="dcterms:W3CDTF">2019-09-01T01:52:00Z</dcterms:created>
  <dcterms:modified xsi:type="dcterms:W3CDTF">2019-09-01T01:52:00Z</dcterms:modified>
</cp:coreProperties>
</file>