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Times New Roman" w:hAnsi="Times New Roman" w:eastAsia="SimSun" w:cs="Times New Roman"/>
          <w:b/>
          <w:bCs/>
          <w:color w:val="5B9BD5" w:themeColor="accent1"/>
          <w:sz w:val="28"/>
          <w:szCs w:val="28"/>
          <w:lang w:val="en-US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  <w:lang w:val="en-US"/>
        </w:rPr>
        <w:t>Partial P</w:t>
      </w:r>
      <w:r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</w:rPr>
        <w:t xml:space="preserve">urification </w:t>
      </w:r>
      <w:r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  <w:lang w:val="en-US"/>
        </w:rPr>
        <w:t>and Characterization</w:t>
      </w:r>
      <w:r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</w:rPr>
        <w:t xml:space="preserve"> of </w:t>
      </w:r>
      <w:r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  <w:lang w:val="en-US"/>
        </w:rPr>
        <w:t>Phytocystatin</w:t>
      </w:r>
      <w:r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  <w:lang w:val="en-US"/>
        </w:rPr>
        <w:t>f</w:t>
      </w:r>
      <w:r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</w:rPr>
        <w:t xml:space="preserve">rom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auto"/>
          <w:sz w:val="24"/>
          <w:szCs w:val="24"/>
          <w:lang w:val="en-US"/>
        </w:rPr>
        <w:t>Calotropis</w:t>
      </w:r>
      <w:r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auto"/>
          <w:sz w:val="24"/>
          <w:szCs w:val="24"/>
          <w:lang w:val="en-US"/>
        </w:rPr>
        <w:t>procera</w:t>
      </w:r>
      <w:r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</w:rPr>
        <w:t xml:space="preserve"> with </w:t>
      </w:r>
      <w:r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  <w:lang w:val="en-US"/>
        </w:rPr>
        <w:t>A</w:t>
      </w:r>
      <w:r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</w:rPr>
        <w:t>nti</w:t>
      </w:r>
      <w:r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  <w:lang w:val="en-US"/>
        </w:rPr>
        <w:t>bacterial Activities</w:t>
      </w:r>
    </w:p>
    <w:p>
      <w:pPr>
        <w:spacing w:line="360" w:lineRule="auto"/>
        <w:jc w:val="both"/>
        <w:rPr>
          <w:rFonts w:hint="default" w:ascii="Times New Roman" w:hAnsi="Times New Roman" w:eastAsia="SimSun" w:cs="Times New Roman"/>
          <w:sz w:val="24"/>
          <w:szCs w:val="24"/>
          <w:vertAlign w:val="superscript"/>
          <w:lang w:val="en-US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u w:val="single"/>
        </w:rPr>
        <w:t>ABDULKADIR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u w:val="single"/>
          <w:lang w:val="en-US"/>
        </w:rPr>
        <w:t xml:space="preserve">, 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u w:val="single"/>
        </w:rPr>
        <w:t>ABDULLAHI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vertAlign w:val="superscript"/>
        </w:rPr>
        <w:t>1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vertAlign w:val="superscript"/>
          <w:lang w:val="en-US"/>
        </w:rPr>
        <w:t xml:space="preserve">,2 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vertAlign w:val="baseline"/>
          <w:lang w:val="en-US"/>
        </w:rPr>
        <w:t>KABIRU, ADAMU YUSUF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vertAlign w:val="superscript"/>
        </w:rPr>
        <w:t>1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vertAlign w:val="superscript"/>
          <w:lang w:val="en-US"/>
        </w:rPr>
        <w:t>,2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vertAlign w:val="baseline"/>
          <w:lang w:val="en-US"/>
        </w:rPr>
        <w:t xml:space="preserve"> AND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vertAlign w:val="superscript"/>
          <w:lang w:val="en-US"/>
        </w:rPr>
        <w:t xml:space="preserve">  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>MUHAMMAD HADIZA LAMI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vertAlign w:val="superscript"/>
          <w:lang w:val="en-US"/>
        </w:rPr>
        <w:t>1,2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 xml:space="preserve"> </w:t>
      </w:r>
    </w:p>
    <w:p>
      <w:pPr>
        <w:spacing w:line="360" w:lineRule="auto"/>
        <w:ind w:left="240" w:hanging="220" w:hangingChars="100"/>
        <w:jc w:val="both"/>
        <w:rPr>
          <w:rFonts w:hint="default" w:ascii="Times New Roman" w:hAnsi="Times New Roman" w:eastAsia="SimSun" w:cs="Times New Roman"/>
          <w:sz w:val="20"/>
          <w:szCs w:val="20"/>
        </w:rPr>
      </w:pPr>
      <w:r>
        <w:rPr>
          <w:rFonts w:ascii="Times New Roman" w:hAnsi="Times New Roman" w:cs="Times New Roman"/>
          <w:vertAlign w:val="superscript"/>
          <w:lang w:val="en-AU"/>
        </w:rPr>
        <w:t>1</w:t>
      </w:r>
      <w:r>
        <w:rPr>
          <w:rFonts w:hint="default" w:ascii="Times New Roman" w:hAnsi="Times New Roman" w:eastAsia="SimSun" w:cs="Times New Roman"/>
          <w:sz w:val="20"/>
          <w:szCs w:val="20"/>
        </w:rPr>
        <w:t>Africa Centre of Excellence for Mycotoxin and Food Safety, Federal University of Technology, Minna, Nige</w:t>
      </w:r>
      <w:r>
        <w:rPr>
          <w:rFonts w:hint="default" w:ascii="Times New Roman" w:hAnsi="Times New Roman" w:eastAsia="SimSun" w:cs="Times New Roman"/>
          <w:sz w:val="20"/>
          <w:szCs w:val="20"/>
          <w:lang w:val="en-US"/>
        </w:rPr>
        <w:t xml:space="preserve">r </w:t>
      </w:r>
      <w:r>
        <w:rPr>
          <w:rFonts w:hint="default" w:ascii="Times New Roman" w:hAnsi="Times New Roman" w:eastAsia="SimSun" w:cs="Times New Roman"/>
          <w:sz w:val="20"/>
          <w:szCs w:val="20"/>
        </w:rPr>
        <w:t>state, Nigeria</w:t>
      </w:r>
    </w:p>
    <w:p>
      <w:pPr>
        <w:spacing w:line="360" w:lineRule="auto"/>
        <w:ind w:left="240" w:hanging="200" w:hangingChars="100"/>
        <w:jc w:val="both"/>
        <w:rPr>
          <w:rFonts w:hint="default" w:ascii="Times New Roman" w:hAnsi="Times New Roman" w:eastAsia="SimSu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sz w:val="20"/>
          <w:szCs w:val="20"/>
          <w:vertAlign w:val="superscript"/>
          <w:lang w:val="en-US"/>
        </w:rPr>
        <w:t>2</w:t>
      </w:r>
      <w:r>
        <w:rPr>
          <w:rFonts w:hint="default" w:ascii="Times New Roman" w:hAnsi="Times New Roman" w:eastAsia="SimSun" w:cs="Times New Roman"/>
          <w:sz w:val="20"/>
          <w:szCs w:val="20"/>
        </w:rPr>
        <w:t>Department of Biochemistry, Federal University of Technology, Minna, Niger state, Nigeria</w:t>
      </w: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Corresponding author: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 </w:t>
      </w:r>
      <w:r>
        <w:rPr>
          <w:rFonts w:hint="default" w:ascii="Times New Roman" w:hAnsi="Times New Roman" w:cs="Times New Roman"/>
          <w:lang w:val="en-US"/>
        </w:rPr>
        <w:t xml:space="preserve">Abdulkadir, Abdullahi    </w:t>
      </w:r>
      <w:r>
        <w:rPr>
          <w:rFonts w:ascii="Times New Roman" w:hAnsi="Times New Roman" w:cs="Times New Roman"/>
        </w:rPr>
        <w:t>Email:</w:t>
      </w:r>
      <w:r>
        <w:rPr>
          <w:rFonts w:hint="default" w:ascii="Times New Roman" w:hAnsi="Times New Roman" w:cs="Times New Roman"/>
          <w:lang w:val="en-US"/>
        </w:rPr>
        <w:t>abdulkadir.abdullahi@futminna.edu.ng</w:t>
      </w:r>
      <w:bookmarkStart w:id="0" w:name="_GoBack"/>
      <w:bookmarkEnd w:id="0"/>
    </w:p>
    <w:p>
      <w:pPr>
        <w:ind w:left="1200" w:hanging="1200" w:hangingChars="500"/>
        <w:rPr>
          <w:rFonts w:ascii="SimSun" w:hAnsi="SimSun" w:eastAsia="SimSun" w:cs="SimSu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Keywords: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i/>
          <w:iCs/>
          <w:sz w:val="22"/>
          <w:szCs w:val="22"/>
          <w:lang w:val="en-US"/>
        </w:rPr>
        <w:t>Calotropis</w:t>
      </w:r>
      <w:r>
        <w:rPr>
          <w:rFonts w:hint="default" w:ascii="Times New Roman" w:hAnsi="Times New Roman" w:eastAsia="SimSu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i/>
          <w:iCs/>
          <w:sz w:val="22"/>
          <w:szCs w:val="22"/>
          <w:lang w:val="en-US"/>
        </w:rPr>
        <w:t>procera</w:t>
      </w:r>
      <w:r>
        <w:rPr>
          <w:rFonts w:hint="default" w:ascii="Times New Roman" w:hAnsi="Times New Roman" w:eastAsia="SimSun" w:cs="Times New Roman"/>
          <w:sz w:val="22"/>
          <w:szCs w:val="22"/>
        </w:rPr>
        <w:t>; plant protease inhibitor; phytocystatin; papain inhibitor; antibacterial;</w:t>
      </w:r>
    </w:p>
    <w:p>
      <w:pPr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Theme: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Materials for AGRICULTURE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Abstract: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line="240" w:lineRule="auto"/>
        <w:jc w:val="both"/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P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hytocystatins 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are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large family of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plant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bioactive protein inhibitors of papain-like cysteine proteases. In this study, we present the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partial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purifi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cation of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phytocystatin isolated from 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lang w:val="en-US"/>
        </w:rPr>
        <w:t>Calotropis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lang w:val="en-US"/>
        </w:rPr>
        <w:t xml:space="preserve">procera </w:t>
      </w:r>
      <w: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en-US"/>
        </w:rPr>
        <w:t>latex</w:t>
      </w:r>
      <w:r>
        <w:rPr>
          <w:rFonts w:hint="default" w:ascii="Times New Roman" w:hAnsi="Times New Roman" w:eastAsia="SimSun" w:cs="Times New Roman"/>
          <w:sz w:val="24"/>
          <w:szCs w:val="24"/>
        </w:rPr>
        <w:t>.The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Phosphate buffer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extract 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from the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latex of 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</w:rPr>
        <w:t>C.procera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with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papain inhibitory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activity w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as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concentrated by cold acetone precipitation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and was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further subjected to purification using ammonium sulphate fractionation and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Hydrophobic chromatography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on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Phenyl sepharose column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Cold acetone precipitated extract gave 9.6% protein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yield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with 6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3</w:t>
      </w:r>
      <w:r>
        <w:rPr>
          <w:rFonts w:hint="default" w:ascii="Times New Roman" w:hAnsi="Times New Roman" w:eastAsia="SimSun" w:cs="Times New Roman"/>
          <w:sz w:val="24"/>
          <w:szCs w:val="24"/>
        </w:rPr>
        <w:t>% inhibition of protease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. An estimated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molecular 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weigth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of 1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8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kDa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was obtained on </w:t>
      </w:r>
      <w:r>
        <w:rPr>
          <w:rFonts w:hint="default" w:ascii="Times New Roman" w:hAnsi="Times New Roman" w:eastAsia="SimSun" w:cs="Times New Roman"/>
          <w:sz w:val="24"/>
          <w:szCs w:val="24"/>
        </w:rPr>
        <w:t>sodium dodecyl sulphate (SDS) polyacrylamide gel electrophoresis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and  optimum temperature 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and </w:t>
      </w:r>
      <w:r>
        <w:rPr>
          <w:rFonts w:hint="default" w:ascii="Times New Roman" w:hAnsi="Times New Roman" w:eastAsia="SimSun" w:cs="Times New Roman"/>
          <w:sz w:val="24"/>
          <w:szCs w:val="24"/>
        </w:rPr>
        <w:t>pH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at 60</w:t>
      </w:r>
      <w:r>
        <w:rPr>
          <w:rFonts w:hint="default" w:ascii="Times New Roman" w:hAnsi="Times New Roman" w:eastAsia="SimSun" w:cs="Times New Roman"/>
          <w:sz w:val="24"/>
          <w:szCs w:val="24"/>
          <w:vertAlign w:val="superscript"/>
        </w:rPr>
        <w:t>0</w:t>
      </w:r>
      <w:r>
        <w:rPr>
          <w:rFonts w:hint="default" w:ascii="Times New Roman" w:hAnsi="Times New Roman" w:eastAsia="SimSun" w:cs="Times New Roman"/>
          <w:sz w:val="24"/>
          <w:szCs w:val="24"/>
        </w:rPr>
        <w:t>C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and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6.0  respectively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.</w:t>
      </w:r>
      <w:r>
        <w:rPr>
          <w:rFonts w:hint="default" w:ascii="Times New Roman" w:hAnsi="Times New Roman" w:eastAsia="SimSun" w:cs="Times New Roman"/>
          <w:sz w:val="24"/>
          <w:szCs w:val="24"/>
        </w:rPr>
        <w:t>The fifty percent inhibitory concentration (IC</w:t>
      </w:r>
      <w:r>
        <w:rPr>
          <w:rFonts w:hint="default" w:ascii="Times New Roman" w:hAnsi="Times New Roman" w:eastAsia="SimSun" w:cs="Times New Roman"/>
          <w:sz w:val="24"/>
          <w:szCs w:val="24"/>
          <w:vertAlign w:val="subscript"/>
        </w:rPr>
        <w:t>50</w:t>
      </w:r>
      <w:r>
        <w:rPr>
          <w:rFonts w:hint="default" w:ascii="Times New Roman" w:hAnsi="Times New Roman" w:eastAsia="SimSun" w:cs="Times New Roman"/>
          <w:sz w:val="24"/>
          <w:szCs w:val="24"/>
        </w:rPr>
        <w:t>)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of the inhibitor on Papain enzyme was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 23.10±1.2 µg/ml  with inhibitor binding constant (Ki)  of 8.0µg/ml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,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suggested high affinity between inhibitors and enzymes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Chemical modification of  some key amino acids present in the binding site of 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the partially purified phytocystatin</w:t>
      </w:r>
      <w:r>
        <w:rPr>
          <w:rFonts w:hint="default" w:ascii="Times New Roman" w:hAnsi="Times New Roman" w:eastAsia="SimSun" w:cs="Times New Roman"/>
          <w:sz w:val="24"/>
          <w:szCs w:val="24"/>
        </w:rPr>
        <w:t>, revealed the presence Cysteine and Histidine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eastAsia="SimSun" w:cs="Times New Roman"/>
          <w:sz w:val="24"/>
          <w:szCs w:val="24"/>
        </w:rPr>
        <w:t>More interestingly, phytocystatin presents a strong antimicrobial activity against human pathogens such as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</w:rPr>
        <w:t>Staphylococcus aureus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 and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</w:rPr>
        <w:t>Enterococcus faecalis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,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 which is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a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ne</w:t>
      </w:r>
      <w:r>
        <w:rPr>
          <w:rFonts w:hint="default" w:ascii="Times New Roman" w:hAnsi="Times New Roman" w:eastAsia="SimSun" w:cs="Times New Roman"/>
          <w:sz w:val="24"/>
          <w:szCs w:val="24"/>
        </w:rPr>
        <w:t>w property for this family of protease inhibitors. These results highlight the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biotechnological </w:t>
      </w:r>
      <w:r>
        <w:rPr>
          <w:rFonts w:hint="default" w:ascii="Times New Roman" w:hAnsi="Times New Roman" w:eastAsia="SimSun" w:cs="Times New Roman"/>
          <w:sz w:val="24"/>
          <w:szCs w:val="24"/>
        </w:rPr>
        <w:t>potential of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phytocystatin from latex of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this plant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. </w:t>
      </w:r>
    </w:p>
    <w:p>
      <w:pPr>
        <w:rPr>
          <w:rFonts w:hint="default" w:ascii="Times New Roman" w:hAnsi="Times New Roman" w:eastAsia="SimSun" w:cs="Times New Roman"/>
          <w:sz w:val="24"/>
          <w:szCs w:val="24"/>
          <w:lang w:val="en-US"/>
        </w:rPr>
      </w:pPr>
    </w:p>
    <w:sectPr>
      <w:pgSz w:w="11906" w:h="16838"/>
      <w:pgMar w:top="1440" w:right="792" w:bottom="1440" w:left="936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51C40"/>
    <w:rsid w:val="17BA24A6"/>
    <w:rsid w:val="19E4057A"/>
    <w:rsid w:val="2BD7020A"/>
    <w:rsid w:val="45651C40"/>
    <w:rsid w:val="5E5169A4"/>
    <w:rsid w:val="651C1D31"/>
    <w:rsid w:val="7BE649E8"/>
    <w:rsid w:val="7BEA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Office_11.2.0.10311_F1E327BC-269C-435d-A152-05C5408002CA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2022-11-24T02:10:00Z</dcterms:created>
  <dc:creator>hp</dc:creator>
  <cp:lastModifiedBy>hp</cp:lastModifiedBy>
  <dcterms:modified xsi:type="dcterms:W3CDTF">2022-12-22T06:28:53Z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1033-11.2.0.10311</vt:lpwstr>
  </property>
  <property fmtid="{D5CDD505-2E9C-101B-9397-08002B2CF9AE}" pid="3" name="ICV">
    <vt:lpwstr>208DCFE1A7A94F1DA10DD02C22BED158</vt:lpwstr>
  </property>
</Properties>
</file>