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F2632" w14:textId="17294830" w:rsidR="00282B49" w:rsidRDefault="00AD1669" w:rsidP="00282B49">
      <w:pPr>
        <w:jc w:val="center"/>
        <w:rPr>
          <w:b/>
          <w:bCs/>
        </w:rPr>
      </w:pPr>
      <w:bookmarkStart w:id="0" w:name="_Hlk119164165"/>
      <w:r>
        <w:rPr>
          <w:b/>
          <w:bCs/>
        </w:rPr>
        <w:t>GIS-Based Approach to</w:t>
      </w:r>
      <w:r w:rsidRPr="00775610">
        <w:rPr>
          <w:b/>
          <w:bCs/>
        </w:rPr>
        <w:t xml:space="preserve"> Small Hydropower Potential </w:t>
      </w:r>
      <w:r>
        <w:rPr>
          <w:b/>
          <w:bCs/>
        </w:rPr>
        <w:t>Assessment Along River Ogun, Nigeria</w:t>
      </w:r>
    </w:p>
    <w:bookmarkEnd w:id="0"/>
    <w:p w14:paraId="2DC03CA4" w14:textId="74375584" w:rsidR="006164AB" w:rsidRDefault="00E25E68" w:rsidP="00282B49">
      <w:pPr>
        <w:jc w:val="center"/>
        <w:rPr>
          <w:b/>
          <w:bCs/>
        </w:rPr>
      </w:pPr>
      <w:r>
        <w:rPr>
          <w:b/>
          <w:bCs/>
        </w:rPr>
        <w:t>Akande S.O</w:t>
      </w:r>
      <w:r w:rsidR="00DA5322" w:rsidRPr="00DA5322">
        <w:rPr>
          <w:b/>
          <w:bCs/>
          <w:vertAlign w:val="superscript"/>
        </w:rPr>
        <w:t>1</w:t>
      </w:r>
      <w:r>
        <w:rPr>
          <w:b/>
          <w:bCs/>
        </w:rPr>
        <w:t>, Sanusi Y.A</w:t>
      </w:r>
      <w:r w:rsidR="00DA5322" w:rsidRPr="00DA5322">
        <w:rPr>
          <w:b/>
          <w:bCs/>
          <w:vertAlign w:val="superscript"/>
        </w:rPr>
        <w:t>1</w:t>
      </w:r>
      <w:r>
        <w:rPr>
          <w:b/>
          <w:bCs/>
        </w:rPr>
        <w:t>, Sanni, L.M</w:t>
      </w:r>
      <w:r w:rsidR="00DA5322" w:rsidRPr="00DA5322">
        <w:rPr>
          <w:b/>
          <w:bCs/>
          <w:vertAlign w:val="superscript"/>
        </w:rPr>
        <w:t>1</w:t>
      </w:r>
      <w:r>
        <w:rPr>
          <w:b/>
          <w:bCs/>
        </w:rPr>
        <w:t xml:space="preserve">., </w:t>
      </w:r>
      <w:r w:rsidR="002413ED">
        <w:rPr>
          <w:b/>
          <w:bCs/>
        </w:rPr>
        <w:t>Nda-Idris, A</w:t>
      </w:r>
      <w:r w:rsidR="00DA5322" w:rsidRPr="00DA5322">
        <w:rPr>
          <w:b/>
          <w:bCs/>
          <w:vertAlign w:val="superscript"/>
        </w:rPr>
        <w:t>2</w:t>
      </w:r>
      <w:r w:rsidR="002413ED">
        <w:rPr>
          <w:b/>
          <w:bCs/>
        </w:rPr>
        <w:t xml:space="preserve">., &amp; </w:t>
      </w:r>
      <w:r>
        <w:rPr>
          <w:b/>
          <w:bCs/>
        </w:rPr>
        <w:t>Santali, B.N</w:t>
      </w:r>
      <w:r w:rsidR="00DA5322" w:rsidRPr="00DA5322">
        <w:rPr>
          <w:b/>
          <w:bCs/>
          <w:vertAlign w:val="superscript"/>
        </w:rPr>
        <w:t>1</w:t>
      </w:r>
      <w:r w:rsidR="002413ED">
        <w:rPr>
          <w:b/>
          <w:bCs/>
        </w:rPr>
        <w:t>.</w:t>
      </w:r>
    </w:p>
    <w:p w14:paraId="45625F3A" w14:textId="77777777" w:rsidR="00DA5322" w:rsidRDefault="00DA5322" w:rsidP="00DA5322">
      <w:pPr>
        <w:spacing w:after="0" w:line="240" w:lineRule="auto"/>
        <w:jc w:val="center"/>
        <w:rPr>
          <w:b/>
          <w:bCs/>
        </w:rPr>
      </w:pPr>
    </w:p>
    <w:p w14:paraId="73455DC3" w14:textId="4651A637" w:rsidR="00DA5322" w:rsidRDefault="00DA5322" w:rsidP="00DA5322">
      <w:pPr>
        <w:spacing w:after="0" w:line="240" w:lineRule="auto"/>
        <w:jc w:val="center"/>
        <w:rPr>
          <w:b/>
          <w:bCs/>
        </w:rPr>
      </w:pPr>
      <w:r>
        <w:rPr>
          <w:b/>
          <w:bCs/>
        </w:rPr>
        <w:t>Department of Urban and Regional Planning</w:t>
      </w:r>
    </w:p>
    <w:p w14:paraId="1E9430CE" w14:textId="54D4DA34" w:rsidR="00DA5322" w:rsidRDefault="00DA5322" w:rsidP="00DA5322">
      <w:pPr>
        <w:spacing w:after="0" w:line="240" w:lineRule="auto"/>
        <w:jc w:val="center"/>
        <w:rPr>
          <w:b/>
          <w:bCs/>
        </w:rPr>
      </w:pPr>
      <w:r>
        <w:rPr>
          <w:b/>
          <w:bCs/>
        </w:rPr>
        <w:t>&amp; Department of Geology</w:t>
      </w:r>
    </w:p>
    <w:p w14:paraId="6A89F927" w14:textId="77777777" w:rsidR="00DA5322" w:rsidRDefault="00DA5322" w:rsidP="00DA5322">
      <w:pPr>
        <w:spacing w:after="0" w:line="240" w:lineRule="auto"/>
        <w:jc w:val="center"/>
        <w:rPr>
          <w:b/>
          <w:bCs/>
        </w:rPr>
      </w:pPr>
      <w:r>
        <w:rPr>
          <w:b/>
          <w:bCs/>
        </w:rPr>
        <w:t>Federal University of Technology, Minna</w:t>
      </w:r>
    </w:p>
    <w:p w14:paraId="04C3E738" w14:textId="77777777" w:rsidR="00DA5322" w:rsidRDefault="00DA5322" w:rsidP="00282B49">
      <w:pPr>
        <w:jc w:val="center"/>
        <w:rPr>
          <w:b/>
          <w:bCs/>
        </w:rPr>
      </w:pPr>
    </w:p>
    <w:p w14:paraId="38B0EED0" w14:textId="77777777" w:rsidR="00282B49" w:rsidRPr="00781C51" w:rsidRDefault="00282B49" w:rsidP="00282B49">
      <w:pPr>
        <w:rPr>
          <w:b/>
          <w:bCs/>
        </w:rPr>
      </w:pPr>
      <w:r w:rsidRPr="00781C51">
        <w:rPr>
          <w:b/>
          <w:bCs/>
        </w:rPr>
        <w:t>Abstract</w:t>
      </w:r>
    </w:p>
    <w:p w14:paraId="76C67089" w14:textId="5535AEF4" w:rsidR="00282B49" w:rsidRDefault="000174CC" w:rsidP="00282B49">
      <w:pPr>
        <w:jc w:val="both"/>
      </w:pPr>
      <w:r>
        <w:t>Electricity access is one of the challenges faced in Nigeria today; and this problem is more pronounced in the rural communities. C</w:t>
      </w:r>
      <w:r w:rsidR="00282B49">
        <w:t xml:space="preserve">onnecting rural communities to the national grid is always a problem due the financial and logistical constraints of extending power through difficult terrain. </w:t>
      </w:r>
      <w:r w:rsidR="00282B49" w:rsidRPr="00AA2469">
        <w:t>To meet the energy demands of this deprived vast rural population small hydropower plants are recommended to be built and installed.</w:t>
      </w:r>
      <w:r w:rsidR="00282B49">
        <w:t xml:space="preserve"> Small hydropower is a clean renewable and reliable energy alternative that meets the economic and environmental energy policy objectives. Improved technological development in GIS and remote sensing provides alternative methodologies for the assessment of theoretical hydropower potentials. This study provides a methodological pathway towards identifying small hydropower potentials for </w:t>
      </w:r>
      <w:r w:rsidR="00A2070C">
        <w:t>rural communities along the River Course</w:t>
      </w:r>
      <w:r w:rsidR="00282B49">
        <w:t>. Input data for the study include Digital Elevation Model (DEM), precipitation and evaporation collected in raster, and population data. The study identified a total of 5</w:t>
      </w:r>
      <w:r w:rsidR="00A8245B">
        <w:t>7</w:t>
      </w:r>
      <w:r w:rsidR="00282B49">
        <w:t xml:space="preserve"> potential hydropower sites with a maximum energy potential of 5.80 mw site. </w:t>
      </w:r>
      <w:r w:rsidR="0010564F">
        <w:t>Ogun River</w:t>
      </w:r>
      <w:r w:rsidR="00282B49">
        <w:t xml:space="preserve"> has </w:t>
      </w:r>
      <w:r w:rsidR="0010564F">
        <w:t>75</w:t>
      </w:r>
      <w:r w:rsidR="00A8245B">
        <w:t>380</w:t>
      </w:r>
      <w:r w:rsidR="00282B49">
        <w:t xml:space="preserve">kW of potential energy distributed along </w:t>
      </w:r>
      <w:r w:rsidR="0010564F">
        <w:t>the river course in Ogun State</w:t>
      </w:r>
      <w:r w:rsidR="00282B49">
        <w:t xml:space="preserve">. The estimated energy potential is expected to support about </w:t>
      </w:r>
      <w:r w:rsidR="0010564F">
        <w:t>22</w:t>
      </w:r>
      <w:r w:rsidR="000C26D4">
        <w:t>,</w:t>
      </w:r>
      <w:r w:rsidR="00A8245B">
        <w:t>040, 16530, and 11020</w:t>
      </w:r>
      <w:r w:rsidR="00282B49">
        <w:t xml:space="preserve"> households </w:t>
      </w:r>
      <w:r w:rsidR="00A8245B">
        <w:t>at 100% 75% and 50% performance respectively</w:t>
      </w:r>
      <w:r w:rsidR="00282B49">
        <w:t>. The study concludes that small hydropower plants are viable option for reducing the energy deficit of the country and can also help in the attainment of sustainable development goals 7 (universal energy access for all). The study recommends that government must take advantage of emerging GIS and remote sensing technologies to identify, estimate, and develop small hydropower plants for rural electrification while pursing and encouraging energy democratisation and decentralization.</w:t>
      </w:r>
    </w:p>
    <w:p w14:paraId="35D822D8" w14:textId="77777777" w:rsidR="00282B49" w:rsidRDefault="00282B49" w:rsidP="00282B49">
      <w:pPr>
        <w:jc w:val="both"/>
      </w:pPr>
      <w:r w:rsidRPr="00781C51">
        <w:rPr>
          <w:b/>
          <w:bCs/>
        </w:rPr>
        <w:t>Keywords:</w:t>
      </w:r>
      <w:r>
        <w:t xml:space="preserve"> Electricity, Small hydropower potential, GIS, and Rural Electrification</w:t>
      </w:r>
    </w:p>
    <w:p w14:paraId="4E6CD8D0" w14:textId="40C67EC0" w:rsidR="00AA4587" w:rsidRDefault="00AA4587"/>
    <w:p w14:paraId="19F967C4" w14:textId="100E7FC8" w:rsidR="00AA4587" w:rsidRDefault="00AA4587"/>
    <w:p w14:paraId="1748CA44" w14:textId="5E84456E" w:rsidR="00AA4587" w:rsidRDefault="00AA4587"/>
    <w:p w14:paraId="136865AE" w14:textId="27117A16" w:rsidR="00AA4587" w:rsidRDefault="00AA4587"/>
    <w:p w14:paraId="2DDEE48F" w14:textId="77777777" w:rsidR="00A8245B" w:rsidRDefault="00A8245B">
      <w:pPr>
        <w:rPr>
          <w:b/>
          <w:bCs/>
        </w:rPr>
      </w:pPr>
    </w:p>
    <w:p w14:paraId="3692DEB3" w14:textId="77777777" w:rsidR="00A8245B" w:rsidRDefault="00A8245B">
      <w:pPr>
        <w:rPr>
          <w:b/>
          <w:bCs/>
        </w:rPr>
      </w:pPr>
    </w:p>
    <w:p w14:paraId="458F5DBC" w14:textId="15DB769B" w:rsidR="00A8245B" w:rsidRDefault="00A8245B">
      <w:pPr>
        <w:rPr>
          <w:b/>
          <w:bCs/>
        </w:rPr>
      </w:pPr>
    </w:p>
    <w:p w14:paraId="1F61DB72" w14:textId="082C74AA" w:rsidR="00E25E68" w:rsidRDefault="00E25E68">
      <w:pPr>
        <w:rPr>
          <w:b/>
          <w:bCs/>
        </w:rPr>
      </w:pPr>
    </w:p>
    <w:p w14:paraId="64856878" w14:textId="66961B51" w:rsidR="00AA4587" w:rsidRPr="00A8245B" w:rsidRDefault="00A8245B">
      <w:pPr>
        <w:rPr>
          <w:b/>
          <w:bCs/>
        </w:rPr>
      </w:pPr>
      <w:r>
        <w:rPr>
          <w:b/>
          <w:bCs/>
        </w:rPr>
        <w:lastRenderedPageBreak/>
        <w:t>1.0</w:t>
      </w:r>
      <w:r>
        <w:rPr>
          <w:b/>
          <w:bCs/>
        </w:rPr>
        <w:tab/>
      </w:r>
      <w:r w:rsidRPr="00A8245B">
        <w:rPr>
          <w:b/>
          <w:bCs/>
        </w:rPr>
        <w:t>INTRODUCTION</w:t>
      </w:r>
    </w:p>
    <w:p w14:paraId="45172E21" w14:textId="73CB389F" w:rsidR="00904393" w:rsidRDefault="004C7F21" w:rsidP="00AA4587">
      <w:pPr>
        <w:jc w:val="both"/>
      </w:pPr>
      <w:r>
        <w:t xml:space="preserve">Hydropower is undoubtedly one of the most sustainable, reliable, clean, and renewable energy sources that serves both energy and national environmental policy objectives (Kusre </w:t>
      </w:r>
      <w:r w:rsidRPr="006C7C8A">
        <w:rPr>
          <w:i/>
          <w:iCs/>
        </w:rPr>
        <w:t>et al.,</w:t>
      </w:r>
      <w:r>
        <w:t xml:space="preserve"> 2009). It is a major renewable energy source for electricity production due to its reliability and </w:t>
      </w:r>
      <w:r w:rsidR="00161568">
        <w:t>i</w:t>
      </w:r>
      <w:r>
        <w:t>t produces less greenhouse gas emission.</w:t>
      </w:r>
      <w:r w:rsidR="006C7C8A">
        <w:t xml:space="preserve"> </w:t>
      </w:r>
      <w:r w:rsidR="00904393">
        <w:t xml:space="preserve">Hydropower energy system comes with numerous advantages among which are </w:t>
      </w:r>
      <w:r w:rsidR="00F47CA8">
        <w:t xml:space="preserve">low operation and maintenance cost, less greenhouse gas emission, high efficiency (above 60%), and longer life span (Hatata </w:t>
      </w:r>
      <w:r w:rsidR="00F47CA8" w:rsidRPr="005450ED">
        <w:rPr>
          <w:i/>
          <w:iCs/>
        </w:rPr>
        <w:t>et al.,</w:t>
      </w:r>
      <w:r w:rsidR="00F47CA8">
        <w:t xml:space="preserve"> 2019).</w:t>
      </w:r>
    </w:p>
    <w:p w14:paraId="704C9FCF" w14:textId="6B1FF6C7" w:rsidR="001016DD" w:rsidRPr="001016DD" w:rsidRDefault="00F47CA8" w:rsidP="001016DD">
      <w:pPr>
        <w:jc w:val="both"/>
      </w:pPr>
      <w:r>
        <w:t xml:space="preserve">Small hydropower </w:t>
      </w:r>
      <w:r w:rsidR="001016DD">
        <w:t xml:space="preserve">(SHP) </w:t>
      </w:r>
      <w:r>
        <w:t xml:space="preserve">is one of the numerous off-grid alternatives to electric grid extension that provides communities outside the grid network with electricity and usually serve as supplement in urban areas or large cities (Eshra </w:t>
      </w:r>
      <w:r w:rsidRPr="0031075B">
        <w:rPr>
          <w:i/>
          <w:iCs/>
        </w:rPr>
        <w:t>et al.,</w:t>
      </w:r>
      <w:r>
        <w:t xml:space="preserve"> 2021). </w:t>
      </w:r>
      <w:r w:rsidR="001016DD">
        <w:t>No universally acceptable definition of small hydropower exists, however, the smallness of hydropower ranges from 1-10MW in literature (</w:t>
      </w:r>
      <w:r w:rsidR="001016DD">
        <w:rPr>
          <w:color w:val="000000" w:themeColor="text1"/>
        </w:rPr>
        <w:t xml:space="preserve">Khare </w:t>
      </w:r>
      <w:r w:rsidR="001016DD" w:rsidRPr="00AA34DB">
        <w:rPr>
          <w:i/>
          <w:iCs/>
          <w:color w:val="000000" w:themeColor="text1"/>
        </w:rPr>
        <w:t>et al.,</w:t>
      </w:r>
      <w:r w:rsidR="001016DD">
        <w:rPr>
          <w:color w:val="000000" w:themeColor="text1"/>
        </w:rPr>
        <w:t xml:space="preserve"> 2019; </w:t>
      </w:r>
      <w:r w:rsidR="001016DD">
        <w:t xml:space="preserve">Morales </w:t>
      </w:r>
      <w:r w:rsidR="001016DD" w:rsidRPr="005450ED">
        <w:rPr>
          <w:i/>
          <w:iCs/>
        </w:rPr>
        <w:t>et al.,</w:t>
      </w:r>
      <w:r w:rsidR="001016DD">
        <w:t xml:space="preserve"> 201</w:t>
      </w:r>
      <w:r w:rsidR="0031075B">
        <w:t>4</w:t>
      </w:r>
      <w:r w:rsidR="001016DD">
        <w:t>; Paish, 2002).</w:t>
      </w:r>
      <w:r w:rsidR="001016DD" w:rsidRPr="001016DD">
        <w:rPr>
          <w:rFonts w:eastAsia="FrutigerLTPro-Condensed" w:cs="Times New Roman"/>
          <w:szCs w:val="24"/>
        </w:rPr>
        <w:t xml:space="preserve"> </w:t>
      </w:r>
      <w:r>
        <w:t xml:space="preserve">According to Ghorbani </w:t>
      </w:r>
      <w:r w:rsidRPr="0031075B">
        <w:rPr>
          <w:i/>
          <w:iCs/>
        </w:rPr>
        <w:t>et al.</w:t>
      </w:r>
      <w:r>
        <w:t xml:space="preserve"> (2020) small hydropower is one of the most popular renewable energy sources with very little or no environmental and social implication compared to large scale hydropower system</w:t>
      </w:r>
      <w:r w:rsidR="000F198A">
        <w:t xml:space="preserve"> (Yadoo and Cruickshank, 2012).</w:t>
      </w:r>
      <w:r w:rsidR="00C950E3">
        <w:t xml:space="preserve"> </w:t>
      </w:r>
      <w:r w:rsidR="001016DD" w:rsidRPr="001016DD">
        <w:t>Despite the numerous advantages of small hydropower and abundant water resources in Nigeria; SHP potential remains relatively untapped (Adedeji, 2016).</w:t>
      </w:r>
    </w:p>
    <w:p w14:paraId="0680670A" w14:textId="2477AA50" w:rsidR="001C04F2" w:rsidRDefault="001C04F2" w:rsidP="001960F7">
      <w:pPr>
        <w:jc w:val="both"/>
      </w:pPr>
      <w:r w:rsidRPr="001C04F2">
        <w:t xml:space="preserve">Nigeria has abundant hydropower potentials yet has failed to utilise these resources maximally. </w:t>
      </w:r>
      <w:r>
        <w:t xml:space="preserve">About 12.4% of Nigeria’s landmass is covered with water (Ita </w:t>
      </w:r>
      <w:r w:rsidR="005F01BE" w:rsidRPr="0031075B">
        <w:rPr>
          <w:i/>
          <w:iCs/>
        </w:rPr>
        <w:t>et al.</w:t>
      </w:r>
      <w:r w:rsidRPr="0031075B">
        <w:rPr>
          <w:i/>
          <w:iCs/>
        </w:rPr>
        <w:t>,</w:t>
      </w:r>
      <w:r>
        <w:t xml:space="preserve"> 1985)</w:t>
      </w:r>
      <w:r w:rsidR="005F01BE">
        <w:t xml:space="preserve">, yet </w:t>
      </w:r>
      <w:r w:rsidRPr="001C04F2">
        <w:t xml:space="preserve">only about 20% </w:t>
      </w:r>
      <w:r w:rsidR="005F01BE">
        <w:t xml:space="preserve">(IEA, 2014) </w:t>
      </w:r>
      <w:r w:rsidRPr="001C04F2">
        <w:t xml:space="preserve">of Nigeria’s electricity generation comes from hydropower, </w:t>
      </w:r>
      <w:r w:rsidR="005F01BE">
        <w:t xml:space="preserve">which are </w:t>
      </w:r>
      <w:r w:rsidRPr="001C04F2">
        <w:t>mostly large hydropower plants (</w:t>
      </w:r>
      <w:r w:rsidR="0031075B" w:rsidRPr="001C04F2">
        <w:t>e.g.,</w:t>
      </w:r>
      <w:r w:rsidRPr="001C04F2">
        <w:t xml:space="preserve"> Kainji, Shiroro, and Jebba).</w:t>
      </w:r>
      <w:r>
        <w:t xml:space="preserve"> </w:t>
      </w:r>
      <w:r w:rsidR="005F01BE">
        <w:t xml:space="preserve">In the face of abundant water resources, </w:t>
      </w:r>
      <w:r>
        <w:t>Nigeria</w:t>
      </w:r>
      <w:r w:rsidR="005450ED">
        <w:t>, is facing serious crisis in electricity generation</w:t>
      </w:r>
      <w:r w:rsidR="001960F7">
        <w:t xml:space="preserve"> and this has serious implication on the level of electricity access in the country. </w:t>
      </w:r>
      <w:r w:rsidR="001960F7" w:rsidRPr="007E63FF">
        <w:t>According to the International Energy Agency (2016), electricity access in Nigeria</w:t>
      </w:r>
      <w:r w:rsidR="001960F7">
        <w:t xml:space="preserve"> stands</w:t>
      </w:r>
      <w:r w:rsidR="001960F7" w:rsidRPr="007E63FF">
        <w:t xml:space="preserve"> at 55</w:t>
      </w:r>
      <w:r w:rsidR="001960F7">
        <w:t>%</w:t>
      </w:r>
      <w:r w:rsidR="001960F7" w:rsidRPr="007E63FF">
        <w:t xml:space="preserve"> in urban areas and 36</w:t>
      </w:r>
      <w:r w:rsidR="001960F7">
        <w:t>%</w:t>
      </w:r>
      <w:r w:rsidR="001960F7" w:rsidRPr="007E63FF">
        <w:t xml:space="preserve"> in rural areas, while about 134 million people (76 percent) rely on traditional biomass for energy.</w:t>
      </w:r>
      <w:r w:rsidR="001960F7">
        <w:t xml:space="preserve"> </w:t>
      </w:r>
    </w:p>
    <w:p w14:paraId="262D4F18" w14:textId="24621163" w:rsidR="001B5B2D" w:rsidRDefault="00CF047B" w:rsidP="001B5B2D">
      <w:pPr>
        <w:jc w:val="both"/>
      </w:pPr>
      <w:r>
        <w:t xml:space="preserve">Access to clean electricity is critical to the achievement of SDGs goal 7 (affordable and clean energy) and goal 13 (Climate Action) as well as </w:t>
      </w:r>
      <w:r w:rsidR="001B2CFD">
        <w:t>the</w:t>
      </w:r>
      <w:r>
        <w:t xml:space="preserve"> </w:t>
      </w:r>
      <w:r w:rsidR="001B2CFD">
        <w:t xml:space="preserve">development many sectors of a nation including </w:t>
      </w:r>
      <w:r>
        <w:t>education</w:t>
      </w:r>
      <w:r w:rsidR="001B2CFD">
        <w:t>, water, industrialization,</w:t>
      </w:r>
      <w:r>
        <w:t xml:space="preserve"> and health. </w:t>
      </w:r>
      <w:r w:rsidR="001B2CFD">
        <w:t xml:space="preserve">Hence, </w:t>
      </w:r>
      <w:r w:rsidR="00B52F09">
        <w:t>meeting and achieving most of the SDGs, particularly goals 7 and 13 requires concerted efforts towards the generation and distribution of electricity to all citizens in the rural and urban areas of the country.</w:t>
      </w:r>
      <w:r w:rsidR="001B5B2D">
        <w:t xml:space="preserve"> </w:t>
      </w:r>
      <w:r w:rsidR="001B5B2D" w:rsidRPr="001B5B2D">
        <w:t>Small hydropower according to Paish (2002), are now the greatest alternative, providing a considerable, long-lasting, and cost-effective source of energy with minimal environmental impact.</w:t>
      </w:r>
    </w:p>
    <w:p w14:paraId="6141BA43" w14:textId="6E686EBC" w:rsidR="001B5B2D" w:rsidRPr="001B5B2D" w:rsidRDefault="00D955FB" w:rsidP="001B5B2D">
      <w:pPr>
        <w:jc w:val="both"/>
      </w:pPr>
      <w:r>
        <w:t xml:space="preserve">In other to ensure energy </w:t>
      </w:r>
      <w:r w:rsidR="006B0E07">
        <w:t xml:space="preserve">access </w:t>
      </w:r>
      <w:r>
        <w:t xml:space="preserve">for all by year 2030, rigorous </w:t>
      </w:r>
      <w:r w:rsidR="00EB637F">
        <w:t xml:space="preserve">attempt towards energy decentralisation and adoption of programmes that promotes energy mix (on-grid and off grid energy solution) must be pursued </w:t>
      </w:r>
      <w:r w:rsidR="00EB637F" w:rsidRPr="002E0FDD">
        <w:t>(PPEO, 2017).</w:t>
      </w:r>
      <w:r w:rsidR="00EB637F">
        <w:t xml:space="preserve"> The </w:t>
      </w:r>
      <w:r w:rsidR="001E28C1">
        <w:t>u</w:t>
      </w:r>
      <w:r w:rsidR="00EB637F">
        <w:t xml:space="preserve">rban-rural dichotomy in energy access must in Nigeria must be balanced and this can be achieved through the use of off grid energy solutions, particularly small hydropower. </w:t>
      </w:r>
      <w:r w:rsidR="001B5B2D">
        <w:t xml:space="preserve">According to Energy Commission of Nigeria (ECN, 2004), only twelve of the thirty-six states of the country has been surveyed for SHP potential; these states have a total SHP potential 734.2MW identified over 277 SHP potential sites. However only about 5% of the SHP potential has been harnessed in only four states in the country (ECN, 2004).  </w:t>
      </w:r>
      <w:r w:rsidR="0000145C">
        <w:t xml:space="preserve">The recent advancement </w:t>
      </w:r>
      <w:r w:rsidR="0000145C">
        <w:lastRenderedPageBreak/>
        <w:t>of in technology and geographic information system (GIS) has provided a cost effective and fast approach to small hydropower survey and assessment using remote sensing data. This study is therefore an attempt to showcase a pathway</w:t>
      </w:r>
      <w:r w:rsidR="00541DF1">
        <w:t xml:space="preserve"> towards effective survey and viability assessment of small hydropower potentials for electricity generation along Ogun River using GIS and remote sensing technology.</w:t>
      </w:r>
    </w:p>
    <w:p w14:paraId="7BC20842" w14:textId="3FDDFB49" w:rsidR="001E28C1" w:rsidRPr="000669A6" w:rsidRDefault="002E0FDD" w:rsidP="001E28C1">
      <w:pPr>
        <w:jc w:val="both"/>
        <w:rPr>
          <w:b/>
          <w:bCs/>
        </w:rPr>
      </w:pPr>
      <w:r>
        <w:rPr>
          <w:b/>
          <w:bCs/>
        </w:rPr>
        <w:t>2</w:t>
      </w:r>
      <w:r w:rsidR="001E28C1" w:rsidRPr="000669A6">
        <w:rPr>
          <w:b/>
          <w:bCs/>
        </w:rPr>
        <w:t>.</w:t>
      </w:r>
      <w:r w:rsidR="001E28C1">
        <w:rPr>
          <w:b/>
          <w:bCs/>
        </w:rPr>
        <w:t>0</w:t>
      </w:r>
      <w:r w:rsidR="001E28C1" w:rsidRPr="000669A6">
        <w:rPr>
          <w:b/>
          <w:bCs/>
        </w:rPr>
        <w:t xml:space="preserve"> </w:t>
      </w:r>
      <w:r w:rsidR="001E28C1" w:rsidRPr="000669A6">
        <w:rPr>
          <w:b/>
          <w:bCs/>
        </w:rPr>
        <w:tab/>
      </w:r>
      <w:r w:rsidR="00CA3984">
        <w:rPr>
          <w:b/>
          <w:bCs/>
        </w:rPr>
        <w:t xml:space="preserve">Study Area </w:t>
      </w:r>
      <w:r>
        <w:rPr>
          <w:b/>
          <w:bCs/>
        </w:rPr>
        <w:t xml:space="preserve"> </w:t>
      </w:r>
    </w:p>
    <w:p w14:paraId="6432DA4F" w14:textId="4B5735E0" w:rsidR="002D1F12" w:rsidRDefault="002D1F12" w:rsidP="001E28C1">
      <w:pPr>
        <w:jc w:val="both"/>
      </w:pPr>
      <w:r>
        <w:t>River is one of the most prominent rivers in Ogun State</w:t>
      </w:r>
      <w:r w:rsidR="00DC03BE">
        <w:t xml:space="preserve"> among which are River Oyan, Oshun, and Oni</w:t>
      </w:r>
      <w:r>
        <w:t xml:space="preserve">. The river runs from Osun state in the north to the south in Lagos state before emptying into the </w:t>
      </w:r>
      <w:r w:rsidR="00DC03BE">
        <w:t>Atlantic Ocean</w:t>
      </w:r>
      <w:r>
        <w:t xml:space="preserve">. However, the focus of this study will be on the stretch of the river within Ogun State (Figure 1). River Ogun within Ogun State traverses five local government areas (LGAs) of the state; Abeokuta </w:t>
      </w:r>
      <w:r w:rsidR="00DC03BE">
        <w:t>north,</w:t>
      </w:r>
      <w:r>
        <w:t xml:space="preserve"> which is partly urban and partly rural, Abeokuta south (100% urban), Ifo, Obafemi-Owode and Odeda.</w:t>
      </w:r>
      <w:r w:rsidR="00DC03BE">
        <w:t xml:space="preserve"> River Ogun is a permanent river and its mostly recharged through rainfall. Ogun State experienced at least 9 months of rainy season from </w:t>
      </w:r>
      <w:r w:rsidR="00DC03BE" w:rsidRPr="00EE454C">
        <w:t>March to November</w:t>
      </w:r>
      <w:r w:rsidR="00DC03BE">
        <w:t xml:space="preserve"> and intermittent rain for the rest of the year (Azodo, 2014). It is also instructive to know that Ogun State is the home to many industries in Nigeria and hence there is high competition for residential and industrial energy use. The seemingly inadequate energy access for urban residential and </w:t>
      </w:r>
      <w:r w:rsidR="00304D11">
        <w:t>industrial is likely accountable for the low or no level of energy access experienced in many rural communities in the State.</w:t>
      </w:r>
    </w:p>
    <w:p w14:paraId="59A1576C" w14:textId="0DDC9D69" w:rsidR="005E1692" w:rsidRDefault="005E1692" w:rsidP="005E1692">
      <w:pPr>
        <w:spacing w:after="0" w:line="240" w:lineRule="auto"/>
        <w:jc w:val="center"/>
      </w:pPr>
      <w:r>
        <w:rPr>
          <w:noProof/>
        </w:rPr>
        <w:drawing>
          <wp:inline distT="0" distB="0" distL="0" distR="0" wp14:anchorId="1913FFA2" wp14:editId="74D0EB37">
            <wp:extent cx="2571750" cy="3967810"/>
            <wp:effectExtent l="19050" t="19050" r="19050" b="1397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4918" cy="3972697"/>
                    </a:xfrm>
                    <a:prstGeom prst="rect">
                      <a:avLst/>
                    </a:prstGeom>
                    <a:noFill/>
                    <a:ln w="3175">
                      <a:solidFill>
                        <a:schemeClr val="tx1"/>
                      </a:solidFill>
                    </a:ln>
                  </pic:spPr>
                </pic:pic>
              </a:graphicData>
            </a:graphic>
          </wp:inline>
        </w:drawing>
      </w:r>
    </w:p>
    <w:p w14:paraId="4BBECA99" w14:textId="20740C83" w:rsidR="005E1692" w:rsidRPr="005E1692" w:rsidRDefault="005E1692" w:rsidP="005E1692">
      <w:pPr>
        <w:jc w:val="center"/>
      </w:pPr>
      <w:r w:rsidRPr="002E0FDD">
        <w:rPr>
          <w:b/>
          <w:bCs/>
        </w:rPr>
        <w:t>Figure 1:</w:t>
      </w:r>
      <w:r>
        <w:t xml:space="preserve"> River Ogun and Tributaries in the Context of Ogun State</w:t>
      </w:r>
    </w:p>
    <w:p w14:paraId="296712B8" w14:textId="77777777" w:rsidR="002E0FDD" w:rsidRDefault="002E0FDD" w:rsidP="001E28C1">
      <w:pPr>
        <w:spacing w:line="240" w:lineRule="auto"/>
        <w:jc w:val="both"/>
        <w:rPr>
          <w:b/>
          <w:bCs/>
        </w:rPr>
      </w:pPr>
    </w:p>
    <w:p w14:paraId="007A303C" w14:textId="77777777" w:rsidR="002E0FDD" w:rsidRDefault="002E0FDD" w:rsidP="001E28C1">
      <w:pPr>
        <w:spacing w:line="240" w:lineRule="auto"/>
        <w:jc w:val="both"/>
        <w:rPr>
          <w:b/>
          <w:bCs/>
        </w:rPr>
      </w:pPr>
    </w:p>
    <w:p w14:paraId="5BB7C8F6" w14:textId="7245F2A2" w:rsidR="00CA3984" w:rsidRDefault="001E28C1" w:rsidP="001E28C1">
      <w:pPr>
        <w:spacing w:line="240" w:lineRule="auto"/>
        <w:jc w:val="both"/>
        <w:rPr>
          <w:b/>
          <w:bCs/>
        </w:rPr>
      </w:pPr>
      <w:r>
        <w:rPr>
          <w:b/>
          <w:bCs/>
        </w:rPr>
        <w:lastRenderedPageBreak/>
        <w:t>3</w:t>
      </w:r>
      <w:r w:rsidRPr="007F3B6A">
        <w:rPr>
          <w:b/>
          <w:bCs/>
        </w:rPr>
        <w:t>.</w:t>
      </w:r>
      <w:r w:rsidR="002E0FDD">
        <w:rPr>
          <w:b/>
          <w:bCs/>
        </w:rPr>
        <w:t>0</w:t>
      </w:r>
      <w:r w:rsidRPr="007F3B6A">
        <w:rPr>
          <w:b/>
          <w:bCs/>
        </w:rPr>
        <w:tab/>
      </w:r>
      <w:r w:rsidR="00CA3984">
        <w:rPr>
          <w:b/>
          <w:bCs/>
        </w:rPr>
        <w:t>Methodology</w:t>
      </w:r>
    </w:p>
    <w:p w14:paraId="45E947FE" w14:textId="6F2BB6B0" w:rsidR="00C7137D" w:rsidRDefault="00CA3984" w:rsidP="001E28C1">
      <w:pPr>
        <w:spacing w:line="240" w:lineRule="auto"/>
        <w:jc w:val="both"/>
        <w:rPr>
          <w:b/>
          <w:bCs/>
        </w:rPr>
      </w:pPr>
      <w:r>
        <w:rPr>
          <w:b/>
          <w:bCs/>
        </w:rPr>
        <w:t>3.1</w:t>
      </w:r>
      <w:r>
        <w:rPr>
          <w:b/>
          <w:bCs/>
        </w:rPr>
        <w:tab/>
      </w:r>
      <w:r w:rsidR="00C7137D">
        <w:rPr>
          <w:b/>
          <w:bCs/>
        </w:rPr>
        <w:t xml:space="preserve">Data </w:t>
      </w:r>
      <w:r w:rsidR="0030261B">
        <w:rPr>
          <w:b/>
          <w:bCs/>
        </w:rPr>
        <w:t>T</w:t>
      </w:r>
      <w:r w:rsidR="00C7137D">
        <w:rPr>
          <w:b/>
          <w:bCs/>
        </w:rPr>
        <w:t>ypes and Sources</w:t>
      </w:r>
    </w:p>
    <w:p w14:paraId="1FA3E4F2" w14:textId="1C19A3DD" w:rsidR="00C7137D" w:rsidRDefault="00E2793E" w:rsidP="005E1692">
      <w:pPr>
        <w:spacing w:line="240" w:lineRule="auto"/>
        <w:ind w:left="720" w:hanging="720"/>
        <w:jc w:val="both"/>
      </w:pPr>
      <w:r>
        <w:t>1.</w:t>
      </w:r>
      <w:r>
        <w:tab/>
      </w:r>
      <w:r w:rsidR="00C7137D" w:rsidRPr="00E2793E">
        <w:t xml:space="preserve">Shuttle Radar Topographical Mission </w:t>
      </w:r>
      <w:r w:rsidRPr="00E2793E">
        <w:t>of 0.00083 by 0.00083 degrees resolution was downloaded form United States Geological Survey (</w:t>
      </w:r>
      <w:hyperlink r:id="rId9" w:history="1">
        <w:r w:rsidRPr="00E2793E">
          <w:rPr>
            <w:rStyle w:val="Hyperlink"/>
          </w:rPr>
          <w:t>www.usgs.com</w:t>
        </w:r>
      </w:hyperlink>
      <w:r w:rsidRPr="00E2793E">
        <w:t>)</w:t>
      </w:r>
      <w:r w:rsidR="0030261B">
        <w:t xml:space="preserve"> (DEM)</w:t>
      </w:r>
    </w:p>
    <w:p w14:paraId="7128A30D" w14:textId="0526E6FA" w:rsidR="00E2793E" w:rsidRDefault="00E2793E" w:rsidP="005E1692">
      <w:pPr>
        <w:spacing w:line="240" w:lineRule="auto"/>
        <w:ind w:left="720" w:hanging="720"/>
        <w:jc w:val="both"/>
      </w:pPr>
      <w:r>
        <w:t xml:space="preserve">2. </w:t>
      </w:r>
      <w:r>
        <w:tab/>
        <w:t>Shapefiles of communities within 2km radius of River Ogun was downloaded from OpenStreetMap</w:t>
      </w:r>
      <w:r w:rsidR="00F670CF">
        <w:t xml:space="preserve"> (</w:t>
      </w:r>
      <w:hyperlink r:id="rId10" w:history="1">
        <w:r w:rsidR="00F670CF" w:rsidRPr="003F64F5">
          <w:rPr>
            <w:rStyle w:val="Hyperlink"/>
          </w:rPr>
          <w:t>www.openstreetmap.com</w:t>
        </w:r>
      </w:hyperlink>
      <w:r w:rsidR="00F670CF">
        <w:t xml:space="preserve">) </w:t>
      </w:r>
    </w:p>
    <w:p w14:paraId="08861861" w14:textId="62BA5D69" w:rsidR="00E2793E" w:rsidRDefault="00E2793E" w:rsidP="001E28C1">
      <w:pPr>
        <w:spacing w:line="240" w:lineRule="auto"/>
        <w:jc w:val="both"/>
      </w:pPr>
      <w:r>
        <w:t>3.</w:t>
      </w:r>
      <w:r>
        <w:tab/>
        <w:t>The energy access level of the communities was determined through survey</w:t>
      </w:r>
    </w:p>
    <w:p w14:paraId="229E77A3" w14:textId="34110B7D" w:rsidR="00E2793E" w:rsidRDefault="00E2793E" w:rsidP="005E1692">
      <w:pPr>
        <w:spacing w:line="240" w:lineRule="auto"/>
        <w:ind w:left="720" w:hanging="720"/>
        <w:jc w:val="both"/>
      </w:pPr>
      <w:r>
        <w:t>4.</w:t>
      </w:r>
      <w:r>
        <w:tab/>
        <w:t xml:space="preserve">Per capita annual consumption in Ogun State in </w:t>
      </w:r>
      <w:r w:rsidR="0030261B">
        <w:t xml:space="preserve">2016 and </w:t>
      </w:r>
      <w:r>
        <w:t>2017 was sourced from Ibadan electricity Distribution company (IBEDC)</w:t>
      </w:r>
    </w:p>
    <w:p w14:paraId="4AEC3C33" w14:textId="1F10C0F4" w:rsidR="00A95E69" w:rsidRDefault="00A95E69" w:rsidP="005E1692">
      <w:pPr>
        <w:spacing w:line="240" w:lineRule="auto"/>
        <w:ind w:left="720" w:hanging="720"/>
        <w:jc w:val="both"/>
      </w:pPr>
      <w:r>
        <w:t xml:space="preserve">5. </w:t>
      </w:r>
      <w:r>
        <w:tab/>
      </w:r>
      <w:r w:rsidR="00F670CF">
        <w:t xml:space="preserve">Monthly precipitation and evaporation dataset was downloaded from </w:t>
      </w:r>
      <w:r w:rsidR="00F670CF" w:rsidRPr="00F670CF">
        <w:t xml:space="preserve">Dieulin </w:t>
      </w:r>
      <w:r w:rsidR="00F670CF" w:rsidRPr="005E1692">
        <w:rPr>
          <w:i/>
          <w:iCs/>
        </w:rPr>
        <w:t>et al</w:t>
      </w:r>
      <w:r w:rsidR="005E1692">
        <w:t>.</w:t>
      </w:r>
      <w:r w:rsidR="00F670CF" w:rsidRPr="00F670CF">
        <w:t xml:space="preserve"> (2017) </w:t>
      </w:r>
    </w:p>
    <w:p w14:paraId="15B4A271" w14:textId="0E67DA13" w:rsidR="001E28C1" w:rsidRDefault="00432F44" w:rsidP="001E28C1">
      <w:pPr>
        <w:spacing w:line="240" w:lineRule="auto"/>
        <w:jc w:val="both"/>
        <w:rPr>
          <w:b/>
          <w:bCs/>
        </w:rPr>
      </w:pPr>
      <w:r>
        <w:rPr>
          <w:b/>
          <w:bCs/>
        </w:rPr>
        <w:t>3.</w:t>
      </w:r>
      <w:r w:rsidR="00CA3984">
        <w:rPr>
          <w:b/>
          <w:bCs/>
        </w:rPr>
        <w:t>2</w:t>
      </w:r>
      <w:r>
        <w:rPr>
          <w:b/>
          <w:bCs/>
        </w:rPr>
        <w:tab/>
      </w:r>
      <w:r w:rsidR="00B86ADA">
        <w:rPr>
          <w:b/>
          <w:bCs/>
        </w:rPr>
        <w:t xml:space="preserve">Procedure for </w:t>
      </w:r>
      <w:r>
        <w:rPr>
          <w:b/>
          <w:bCs/>
        </w:rPr>
        <w:t>Spatial A</w:t>
      </w:r>
      <w:r w:rsidR="00B86ADA">
        <w:rPr>
          <w:b/>
          <w:bCs/>
        </w:rPr>
        <w:t xml:space="preserve">nalysis of </w:t>
      </w:r>
      <w:r>
        <w:rPr>
          <w:b/>
          <w:bCs/>
        </w:rPr>
        <w:t>SHP P</w:t>
      </w:r>
      <w:r w:rsidR="00B86ADA">
        <w:rPr>
          <w:b/>
          <w:bCs/>
        </w:rPr>
        <w:t xml:space="preserve">otential </w:t>
      </w:r>
      <w:r>
        <w:rPr>
          <w:b/>
          <w:bCs/>
        </w:rPr>
        <w:t>S</w:t>
      </w:r>
      <w:r w:rsidR="00B86ADA">
        <w:rPr>
          <w:b/>
          <w:bCs/>
        </w:rPr>
        <w:t>ites</w:t>
      </w:r>
    </w:p>
    <w:p w14:paraId="43A84C19" w14:textId="089B6C25" w:rsidR="00B86ADA" w:rsidRDefault="00B86ADA" w:rsidP="001E28C1">
      <w:pPr>
        <w:spacing w:line="240" w:lineRule="auto"/>
        <w:jc w:val="both"/>
      </w:pPr>
      <w:r w:rsidRPr="00B86ADA">
        <w:t xml:space="preserve">The procedure </w:t>
      </w:r>
      <w:r>
        <w:t>for small hydropower potential sites identified in this study is depicted in Figure 2. The steps involved in the procedure is presented in the following order</w:t>
      </w:r>
    </w:p>
    <w:p w14:paraId="4D907299" w14:textId="0CF4584E" w:rsidR="00B86ADA" w:rsidRDefault="00B86ADA" w:rsidP="00B86ADA">
      <w:pPr>
        <w:pStyle w:val="ListParagraph"/>
        <w:numPr>
          <w:ilvl w:val="0"/>
          <w:numId w:val="1"/>
        </w:numPr>
        <w:spacing w:line="240" w:lineRule="auto"/>
        <w:jc w:val="both"/>
      </w:pPr>
      <w:r>
        <w:t>A DEM of 0.00083 by 0.00083 degrees resolution was loaded into ARCGIS 10.8 environment</w:t>
      </w:r>
    </w:p>
    <w:p w14:paraId="14EC5B11" w14:textId="23E9C453" w:rsidR="00B86ADA" w:rsidRDefault="00B86ADA" w:rsidP="00B86ADA">
      <w:pPr>
        <w:pStyle w:val="ListParagraph"/>
        <w:numPr>
          <w:ilvl w:val="0"/>
          <w:numId w:val="1"/>
        </w:numPr>
        <w:spacing w:line="240" w:lineRule="auto"/>
        <w:jc w:val="both"/>
      </w:pPr>
      <w:r>
        <w:t xml:space="preserve">The DEM was masked with a </w:t>
      </w:r>
      <w:r w:rsidR="00527B56">
        <w:t>2km buffer vector shapefile of River Ogun</w:t>
      </w:r>
    </w:p>
    <w:p w14:paraId="5A1D78E5" w14:textId="4BAB1D02" w:rsidR="00527B56" w:rsidRDefault="00527B56" w:rsidP="00B86ADA">
      <w:pPr>
        <w:pStyle w:val="ListParagraph"/>
        <w:numPr>
          <w:ilvl w:val="0"/>
          <w:numId w:val="1"/>
        </w:numPr>
        <w:spacing w:line="240" w:lineRule="auto"/>
        <w:jc w:val="both"/>
      </w:pPr>
      <w:r>
        <w:t>The resulting DEM of the area was filled for void to derive a resulting DEM without sink</w:t>
      </w:r>
    </w:p>
    <w:p w14:paraId="7E84B196" w14:textId="0CF28172" w:rsidR="00527B56" w:rsidRDefault="00527B56" w:rsidP="00B86ADA">
      <w:pPr>
        <w:pStyle w:val="ListParagraph"/>
        <w:numPr>
          <w:ilvl w:val="0"/>
          <w:numId w:val="1"/>
        </w:numPr>
        <w:spacing w:line="240" w:lineRule="auto"/>
        <w:jc w:val="both"/>
      </w:pPr>
      <w:r>
        <w:t>The result of step three (DEM without sink) was used to estimate the flow direction of the area which is called FD</w:t>
      </w:r>
    </w:p>
    <w:p w14:paraId="4E5CAD62" w14:textId="3C6D0E32" w:rsidR="0030261B" w:rsidRDefault="0030261B" w:rsidP="00B86ADA">
      <w:pPr>
        <w:pStyle w:val="ListParagraph"/>
        <w:numPr>
          <w:ilvl w:val="0"/>
          <w:numId w:val="1"/>
        </w:numPr>
        <w:spacing w:line="240" w:lineRule="auto"/>
        <w:jc w:val="both"/>
      </w:pPr>
      <w:r>
        <w:t>The direct runoff data set was resampled according to the masked DEM using the resample function in ARCGIS</w:t>
      </w:r>
    </w:p>
    <w:p w14:paraId="65C3CA62" w14:textId="44E7DDCD" w:rsidR="0030261B" w:rsidRDefault="00031A99" w:rsidP="00B86ADA">
      <w:pPr>
        <w:pStyle w:val="ListParagraph"/>
        <w:numPr>
          <w:ilvl w:val="0"/>
          <w:numId w:val="1"/>
        </w:numPr>
        <w:spacing w:line="240" w:lineRule="auto"/>
        <w:jc w:val="both"/>
      </w:pPr>
      <w:r>
        <w:t xml:space="preserve">The resampled data was converted to integer to aid processing </w:t>
      </w:r>
    </w:p>
    <w:p w14:paraId="0E34D9F7" w14:textId="56634FA7" w:rsidR="00031A99" w:rsidRDefault="00031A99" w:rsidP="00B86ADA">
      <w:pPr>
        <w:pStyle w:val="ListParagraph"/>
        <w:numPr>
          <w:ilvl w:val="0"/>
          <w:numId w:val="1"/>
        </w:numPr>
        <w:spacing w:line="240" w:lineRule="auto"/>
        <w:jc w:val="both"/>
      </w:pPr>
      <w:r>
        <w:t>The output of the flow direction (FD) and the direct runoff dataset (integer) were loaded as input data for the calculation of flow accumulation and the resulting raster was labelled “m”</w:t>
      </w:r>
    </w:p>
    <w:p w14:paraId="24DDA051" w14:textId="45405033" w:rsidR="00054AA2" w:rsidRDefault="00054AA2" w:rsidP="00B86ADA">
      <w:pPr>
        <w:pStyle w:val="ListParagraph"/>
        <w:numPr>
          <w:ilvl w:val="0"/>
          <w:numId w:val="1"/>
        </w:numPr>
        <w:spacing w:line="240" w:lineRule="auto"/>
        <w:jc w:val="both"/>
      </w:pPr>
      <w:r>
        <w:t>Focal statistics analysis function was carried out on the masked DEM of the study area to derive a DEM labelled Minimum neighbours (MN)</w:t>
      </w:r>
    </w:p>
    <w:p w14:paraId="4F51A166" w14:textId="04E2DB3C" w:rsidR="00054AA2" w:rsidRDefault="00054AA2" w:rsidP="00B86ADA">
      <w:pPr>
        <w:pStyle w:val="ListParagraph"/>
        <w:numPr>
          <w:ilvl w:val="0"/>
          <w:numId w:val="1"/>
        </w:numPr>
        <w:spacing w:line="240" w:lineRule="auto"/>
        <w:jc w:val="both"/>
      </w:pPr>
      <w:r>
        <w:t xml:space="preserve">The minimum neighbours (MN) </w:t>
      </w:r>
      <w:r w:rsidR="00C7137D">
        <w:t>were</w:t>
      </w:r>
      <w:r>
        <w:t xml:space="preserve"> deducted from the initial Masked DEM of the area to derive the head “h” which is the difference in height of neighbouring cell</w:t>
      </w:r>
    </w:p>
    <w:p w14:paraId="2806D287" w14:textId="159A0924" w:rsidR="00054AA2" w:rsidRDefault="00054AA2" w:rsidP="00B86ADA">
      <w:pPr>
        <w:pStyle w:val="ListParagraph"/>
        <w:numPr>
          <w:ilvl w:val="0"/>
          <w:numId w:val="1"/>
        </w:numPr>
        <w:spacing w:line="240" w:lineRule="auto"/>
        <w:jc w:val="both"/>
      </w:pPr>
      <w:r>
        <w:t>The amount of runoff per raster (flow rate) labelled “m” was multiplied by the head</w:t>
      </w:r>
      <w:r w:rsidR="00C7137D">
        <w:t xml:space="preserve"> (difference in height) to arrive at a raster called “mh”</w:t>
      </w:r>
    </w:p>
    <w:p w14:paraId="61F64DF6" w14:textId="54189613" w:rsidR="00C7137D" w:rsidRPr="00C7137D" w:rsidRDefault="00C7137D" w:rsidP="00C7137D">
      <w:pPr>
        <w:pStyle w:val="ListParagraph"/>
        <w:numPr>
          <w:ilvl w:val="0"/>
          <w:numId w:val="1"/>
        </w:numPr>
        <w:spacing w:line="240" w:lineRule="auto"/>
        <w:jc w:val="both"/>
        <w:rPr>
          <w:sz w:val="20"/>
          <w:szCs w:val="20"/>
        </w:rPr>
      </w:pPr>
      <w:r>
        <w:t xml:space="preserve">The result of step </w:t>
      </w:r>
      <w:r w:rsidR="00031A99">
        <w:t>10</w:t>
      </w:r>
      <w:r>
        <w:t xml:space="preserve"> labelled “mh” was multiplied by the value of gravity labelled “g” to derive to energy potential of the cells in kilojoules.</w:t>
      </w:r>
    </w:p>
    <w:p w14:paraId="32FAB812" w14:textId="1AFC5B28" w:rsidR="00C7137D" w:rsidRDefault="00C7137D" w:rsidP="00CA3984">
      <w:pPr>
        <w:pStyle w:val="ListParagraph"/>
        <w:numPr>
          <w:ilvl w:val="0"/>
          <w:numId w:val="1"/>
        </w:numPr>
        <w:spacing w:line="240" w:lineRule="auto"/>
        <w:jc w:val="both"/>
        <w:rPr>
          <w:sz w:val="20"/>
          <w:szCs w:val="20"/>
        </w:rPr>
      </w:pPr>
      <w:r>
        <w:t xml:space="preserve">The output in </w:t>
      </w:r>
      <w:r w:rsidRPr="00CA3984">
        <w:rPr>
          <w:szCs w:val="24"/>
        </w:rPr>
        <w:t>kilojoules was transformed to kWh and MW h by using the calculation factor (1/3.6 * 10</w:t>
      </w:r>
      <w:r w:rsidRPr="00CA3984">
        <w:rPr>
          <w:szCs w:val="24"/>
          <w:vertAlign w:val="superscript"/>
        </w:rPr>
        <w:t>12</w:t>
      </w:r>
      <w:r w:rsidRPr="00CA3984">
        <w:rPr>
          <w:szCs w:val="24"/>
        </w:rPr>
        <w:t>)</w:t>
      </w:r>
    </w:p>
    <w:p w14:paraId="585B7E78" w14:textId="5F618848" w:rsidR="00CA3984" w:rsidRPr="00C04F3D" w:rsidRDefault="00CA3984" w:rsidP="00CA3984">
      <w:pPr>
        <w:spacing w:line="240" w:lineRule="auto"/>
        <w:jc w:val="both"/>
        <w:rPr>
          <w:b/>
          <w:bCs/>
        </w:rPr>
      </w:pPr>
      <w:r>
        <w:rPr>
          <w:b/>
          <w:bCs/>
        </w:rPr>
        <w:t>3.</w:t>
      </w:r>
      <w:r w:rsidR="002E0FDD">
        <w:rPr>
          <w:b/>
          <w:bCs/>
        </w:rPr>
        <w:t>3</w:t>
      </w:r>
      <w:r>
        <w:rPr>
          <w:b/>
          <w:bCs/>
        </w:rPr>
        <w:tab/>
      </w:r>
      <w:r w:rsidRPr="00C04F3D">
        <w:rPr>
          <w:b/>
          <w:bCs/>
        </w:rPr>
        <w:t>Method of Data Analysis</w:t>
      </w:r>
    </w:p>
    <w:p w14:paraId="490FB1E9" w14:textId="7AEEE362" w:rsidR="00CA3984" w:rsidRPr="0091318C" w:rsidRDefault="00CA3984" w:rsidP="00CA3984">
      <w:pPr>
        <w:spacing w:line="240" w:lineRule="auto"/>
        <w:jc w:val="both"/>
      </w:pPr>
      <w:r>
        <w:t xml:space="preserve">Spatial analysis and descriptive analysis were the analytical tools used for data analysis. The spatial analysis tools used include fill, flow direction, flow accumulation, resample, </w:t>
      </w:r>
      <w:r w:rsidR="00712A23">
        <w:t xml:space="preserve">buffer analysis, </w:t>
      </w:r>
      <w:r>
        <w:t xml:space="preserve">focal statistics, and map algebra function in ARCGIS 10.8 environment. The spatial analytical techniques were used to identify small hydropower potential sites at various stages of the analysis. In addition, simple descriptive analytical tools such as </w:t>
      </w:r>
      <w:r>
        <w:lastRenderedPageBreak/>
        <w:t xml:space="preserve">frequency, minimum, maximum, and mean were also computed for easy understanding of the data. To estimate the energy potential of the potential sites in joules, the advanced energy equation advanced by Carroll </w:t>
      </w:r>
      <w:r w:rsidRPr="00432F44">
        <w:rPr>
          <w:i/>
          <w:iCs/>
        </w:rPr>
        <w:t>et al.</w:t>
      </w:r>
      <w:r>
        <w:t xml:space="preserve"> (2004) which is mathematically expressed in equation (1) was adopted.</w:t>
      </w:r>
    </w:p>
    <w:p w14:paraId="22E578E4" w14:textId="6306AD9C" w:rsidR="00CA3984" w:rsidRDefault="00CA3984" w:rsidP="00CA3984">
      <w:pPr>
        <w:spacing w:line="240" w:lineRule="auto"/>
        <w:jc w:val="both"/>
      </w:pPr>
      <w:r w:rsidRPr="0091318C">
        <w:rPr>
          <w:i/>
          <w:iCs/>
        </w:rPr>
        <w:t>E</w:t>
      </w:r>
      <w:r>
        <w:rPr>
          <w:i/>
          <w:iCs/>
        </w:rPr>
        <w:t xml:space="preserve">= </w:t>
      </w:r>
      <w:r w:rsidRPr="0091318C">
        <w:rPr>
          <w:i/>
          <w:iCs/>
        </w:rPr>
        <w:t>m</w:t>
      </w:r>
      <w:r>
        <w:rPr>
          <w:i/>
          <w:iCs/>
        </w:rPr>
        <w:t xml:space="preserve"> * </w:t>
      </w:r>
      <w:r w:rsidRPr="0091318C">
        <w:t>g</w:t>
      </w:r>
      <w:r>
        <w:t xml:space="preserve"> * </w:t>
      </w:r>
      <w:r w:rsidRPr="0091318C">
        <w:t>h</w:t>
      </w:r>
      <w:r>
        <w:tab/>
      </w:r>
      <w:r>
        <w:tab/>
      </w:r>
      <w:r>
        <w:tab/>
      </w:r>
      <w:r>
        <w:tab/>
      </w:r>
      <w:r>
        <w:tab/>
      </w:r>
      <w:r>
        <w:tab/>
      </w:r>
      <w:r>
        <w:tab/>
      </w:r>
      <w:r>
        <w:tab/>
      </w:r>
      <w:r>
        <w:tab/>
        <w:t>equation (1)</w:t>
      </w:r>
    </w:p>
    <w:p w14:paraId="1AE1C2FC" w14:textId="77777777" w:rsidR="00CA3984" w:rsidRPr="00983877" w:rsidRDefault="00CA3984" w:rsidP="00CA3984">
      <w:pPr>
        <w:spacing w:line="240" w:lineRule="auto"/>
        <w:jc w:val="both"/>
        <w:rPr>
          <w:sz w:val="20"/>
          <w:szCs w:val="20"/>
        </w:rPr>
      </w:pPr>
      <w:r w:rsidRPr="00983877">
        <w:rPr>
          <w:sz w:val="20"/>
          <w:szCs w:val="20"/>
        </w:rPr>
        <w:t xml:space="preserve">Note: </w:t>
      </w:r>
      <w:r w:rsidRPr="0091318C">
        <w:rPr>
          <w:sz w:val="20"/>
          <w:szCs w:val="20"/>
        </w:rPr>
        <w:t>The output dimension is in Joules which then has to be transformed</w:t>
      </w:r>
      <w:r w:rsidRPr="00983877">
        <w:rPr>
          <w:sz w:val="20"/>
          <w:szCs w:val="20"/>
        </w:rPr>
        <w:t xml:space="preserve"> </w:t>
      </w:r>
      <w:r w:rsidRPr="0091318C">
        <w:rPr>
          <w:sz w:val="20"/>
          <w:szCs w:val="20"/>
        </w:rPr>
        <w:t xml:space="preserve">to </w:t>
      </w:r>
      <w:r>
        <w:rPr>
          <w:sz w:val="20"/>
          <w:szCs w:val="20"/>
        </w:rPr>
        <w:t>kWh</w:t>
      </w:r>
      <w:r w:rsidRPr="0091318C">
        <w:rPr>
          <w:sz w:val="20"/>
          <w:szCs w:val="20"/>
        </w:rPr>
        <w:t xml:space="preserve"> and MW h by using the calculation factor</w:t>
      </w:r>
      <w:r w:rsidRPr="00983877">
        <w:rPr>
          <w:sz w:val="20"/>
          <w:szCs w:val="20"/>
        </w:rPr>
        <w:t xml:space="preserve"> </w:t>
      </w:r>
      <w:r w:rsidRPr="0091318C">
        <w:rPr>
          <w:sz w:val="20"/>
          <w:szCs w:val="20"/>
        </w:rPr>
        <w:t>(1/3</w:t>
      </w:r>
      <w:r w:rsidRPr="00983877">
        <w:rPr>
          <w:sz w:val="20"/>
          <w:szCs w:val="20"/>
        </w:rPr>
        <w:t>.</w:t>
      </w:r>
      <w:r w:rsidRPr="0091318C">
        <w:rPr>
          <w:sz w:val="20"/>
          <w:szCs w:val="20"/>
        </w:rPr>
        <w:t>6</w:t>
      </w:r>
      <w:r w:rsidRPr="00983877">
        <w:rPr>
          <w:sz w:val="20"/>
          <w:szCs w:val="20"/>
        </w:rPr>
        <w:t xml:space="preserve"> </w:t>
      </w:r>
      <w:r w:rsidRPr="0091318C">
        <w:rPr>
          <w:sz w:val="20"/>
          <w:szCs w:val="20"/>
        </w:rPr>
        <w:t>*</w:t>
      </w:r>
      <w:r w:rsidRPr="00983877">
        <w:rPr>
          <w:sz w:val="20"/>
          <w:szCs w:val="20"/>
        </w:rPr>
        <w:t xml:space="preserve"> </w:t>
      </w:r>
      <w:r w:rsidRPr="0091318C">
        <w:rPr>
          <w:sz w:val="20"/>
          <w:szCs w:val="20"/>
        </w:rPr>
        <w:t>10</w:t>
      </w:r>
      <w:r w:rsidRPr="0091318C">
        <w:rPr>
          <w:sz w:val="20"/>
          <w:szCs w:val="20"/>
          <w:vertAlign w:val="superscript"/>
        </w:rPr>
        <w:t>12</w:t>
      </w:r>
      <w:r w:rsidRPr="00983877">
        <w:rPr>
          <w:sz w:val="20"/>
          <w:szCs w:val="20"/>
        </w:rPr>
        <w:t>)</w:t>
      </w:r>
    </w:p>
    <w:p w14:paraId="4EA001AA" w14:textId="77777777" w:rsidR="00C7137D" w:rsidRDefault="00C7137D" w:rsidP="00C7137D">
      <w:pPr>
        <w:spacing w:after="0"/>
        <w:jc w:val="center"/>
      </w:pPr>
      <w:r>
        <w:rPr>
          <w:noProof/>
        </w:rPr>
        <w:drawing>
          <wp:inline distT="0" distB="0" distL="0" distR="0" wp14:anchorId="44130B81" wp14:editId="29AD28E9">
            <wp:extent cx="3689985" cy="5977713"/>
            <wp:effectExtent l="19050" t="19050" r="24765" b="23495"/>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05854" cy="6003421"/>
                    </a:xfrm>
                    <a:prstGeom prst="rect">
                      <a:avLst/>
                    </a:prstGeom>
                    <a:noFill/>
                    <a:ln w="3175">
                      <a:solidFill>
                        <a:schemeClr val="tx1"/>
                      </a:solidFill>
                    </a:ln>
                  </pic:spPr>
                </pic:pic>
              </a:graphicData>
            </a:graphic>
          </wp:inline>
        </w:drawing>
      </w:r>
    </w:p>
    <w:p w14:paraId="6B6CB2C4" w14:textId="5A0795C3" w:rsidR="00C7137D" w:rsidRDefault="00C7137D" w:rsidP="00C7137D">
      <w:pPr>
        <w:spacing w:after="0"/>
        <w:jc w:val="center"/>
      </w:pPr>
      <w:r w:rsidRPr="00E54714">
        <w:rPr>
          <w:b/>
          <w:bCs/>
        </w:rPr>
        <w:t>Figure 2:</w:t>
      </w:r>
      <w:r>
        <w:t xml:space="preserve"> Flow Chart of the Research Methodology</w:t>
      </w:r>
    </w:p>
    <w:p w14:paraId="70093493" w14:textId="43E1E8EB" w:rsidR="0094328C" w:rsidRDefault="0094328C" w:rsidP="00C7137D">
      <w:pPr>
        <w:spacing w:after="0"/>
        <w:jc w:val="center"/>
      </w:pPr>
      <w:r>
        <w:t>Source: Adapted by the Author (2022)</w:t>
      </w:r>
    </w:p>
    <w:p w14:paraId="37B86F8E" w14:textId="2A4165AB" w:rsidR="00B86ADA" w:rsidRDefault="00B86ADA" w:rsidP="001E28C1">
      <w:pPr>
        <w:spacing w:line="240" w:lineRule="auto"/>
        <w:jc w:val="both"/>
      </w:pPr>
    </w:p>
    <w:p w14:paraId="209261DB" w14:textId="3DF094AF" w:rsidR="001E28C1" w:rsidRPr="0091318C" w:rsidRDefault="001E28C1" w:rsidP="001E28C1">
      <w:pPr>
        <w:spacing w:line="240" w:lineRule="auto"/>
        <w:jc w:val="both"/>
      </w:pPr>
      <w:r>
        <w:tab/>
      </w:r>
      <w:r>
        <w:tab/>
      </w:r>
      <w:r>
        <w:tab/>
      </w:r>
      <w:r>
        <w:tab/>
      </w:r>
      <w:r>
        <w:tab/>
      </w:r>
      <w:r>
        <w:tab/>
      </w:r>
      <w:r>
        <w:tab/>
      </w:r>
      <w:r>
        <w:tab/>
      </w:r>
    </w:p>
    <w:p w14:paraId="70E9C7EF" w14:textId="77777777" w:rsidR="00CA3984" w:rsidRDefault="00CA3984" w:rsidP="001E28C1">
      <w:pPr>
        <w:jc w:val="both"/>
        <w:rPr>
          <w:b/>
          <w:bCs/>
        </w:rPr>
      </w:pPr>
    </w:p>
    <w:p w14:paraId="48BF9063" w14:textId="529ADFF0" w:rsidR="001E28C1" w:rsidRPr="00377EDC" w:rsidRDefault="00EE2DB1" w:rsidP="001E28C1">
      <w:pPr>
        <w:jc w:val="both"/>
        <w:rPr>
          <w:b/>
          <w:bCs/>
        </w:rPr>
      </w:pPr>
      <w:r>
        <w:rPr>
          <w:b/>
          <w:bCs/>
        </w:rPr>
        <w:lastRenderedPageBreak/>
        <w:t>3.</w:t>
      </w:r>
      <w:r w:rsidR="002E0FDD">
        <w:rPr>
          <w:b/>
          <w:bCs/>
        </w:rPr>
        <w:t>4</w:t>
      </w:r>
      <w:r>
        <w:rPr>
          <w:b/>
          <w:bCs/>
        </w:rPr>
        <w:t xml:space="preserve"> Minimum</w:t>
      </w:r>
      <w:r w:rsidR="001E28C1" w:rsidRPr="00377EDC">
        <w:rPr>
          <w:b/>
          <w:bCs/>
        </w:rPr>
        <w:t xml:space="preserve"> Electricity Threshold Required to Meet SDG 7 </w:t>
      </w:r>
    </w:p>
    <w:p w14:paraId="78131036" w14:textId="7385833A" w:rsidR="001E28C1" w:rsidRDefault="001E28C1" w:rsidP="001E28C1">
      <w:pPr>
        <w:jc w:val="both"/>
      </w:pPr>
      <w:r>
        <w:t xml:space="preserve">Energy reliability, affordability, and sustainability are the key goals of Sustainable Development Goal 7. However, it does not set the minimum per capita energy threshold to be achieved to ensure energy access for both residential and non-residential sector. Hence, there is no universally acceptable electricity consumption threshold; electricity access threshold varies across countries and continents of the world. For example, Moss </w:t>
      </w:r>
      <w:r w:rsidRPr="00F854F3">
        <w:rPr>
          <w:i/>
          <w:iCs/>
        </w:rPr>
        <w:t>et al. (</w:t>
      </w:r>
      <w:r>
        <w:t xml:space="preserve">2020) proposed a minimum energy benchmark of 1000kwh per capita per annum inclusive of residential (300 kWh) and non-residential (700 kwh) electricity consumption for the achievement of SDG 7. </w:t>
      </w:r>
      <w:r w:rsidRPr="00A45064">
        <w:t xml:space="preserve">IEA </w:t>
      </w:r>
      <w:r>
        <w:t>(2015)</w:t>
      </w:r>
      <w:r w:rsidRPr="00A45064">
        <w:t xml:space="preserve"> </w:t>
      </w:r>
      <w:r>
        <w:t>also proposed a minimum</w:t>
      </w:r>
      <w:r w:rsidRPr="00A45064">
        <w:t xml:space="preserve"> threshold of 250 and 500 kWh/year for rural and urban households</w:t>
      </w:r>
      <w:r>
        <w:t xml:space="preserve"> (assumed to be five persons)</w:t>
      </w:r>
      <w:r w:rsidRPr="00A45064">
        <w:t xml:space="preserve"> respectively. </w:t>
      </w:r>
      <w:r>
        <w:t xml:space="preserve">Similarly, Brecha (2019) also argued that a minimum electricity threshold of at least 400kwh is closely to meeting the outcomes of SDG 7. Based on the economic dynamics and rural nature of most communities within </w:t>
      </w:r>
      <w:r w:rsidR="00447F78">
        <w:t>two</w:t>
      </w:r>
      <w:r>
        <w:t xml:space="preserve">-kilometre radius of the identified SHP potential sites in Ogun State, IEA </w:t>
      </w:r>
      <w:r w:rsidR="00447F78">
        <w:t xml:space="preserve">(2015) </w:t>
      </w:r>
      <w:r>
        <w:t xml:space="preserve">minimum threshold value of 250kWh per household (5 persons) will be adopted as the minimum energy threshold for energy analysis in </w:t>
      </w:r>
      <w:r w:rsidR="00447F78">
        <w:t>this study</w:t>
      </w:r>
      <w:r>
        <w:t>.</w:t>
      </w:r>
    </w:p>
    <w:p w14:paraId="0F77E2B8" w14:textId="77777777" w:rsidR="008E6164" w:rsidRDefault="008E6164" w:rsidP="005E1692">
      <w:pPr>
        <w:spacing w:after="0" w:line="240" w:lineRule="auto"/>
        <w:jc w:val="both"/>
      </w:pPr>
    </w:p>
    <w:p w14:paraId="06BF15DB" w14:textId="3D1A4F7A" w:rsidR="001C04F2" w:rsidRPr="00CB35C5" w:rsidRDefault="00CB35C5" w:rsidP="00CB35C5">
      <w:pPr>
        <w:spacing w:after="0"/>
        <w:jc w:val="both"/>
        <w:rPr>
          <w:b/>
          <w:bCs/>
        </w:rPr>
      </w:pPr>
      <w:r w:rsidRPr="00CB35C5">
        <w:rPr>
          <w:b/>
          <w:bCs/>
        </w:rPr>
        <w:t>4.0</w:t>
      </w:r>
      <w:r w:rsidRPr="00CB35C5">
        <w:rPr>
          <w:b/>
          <w:bCs/>
        </w:rPr>
        <w:tab/>
      </w:r>
      <w:r w:rsidR="008E6164" w:rsidRPr="00CB35C5">
        <w:rPr>
          <w:b/>
          <w:bCs/>
        </w:rPr>
        <w:t>RESULTS</w:t>
      </w:r>
      <w:r w:rsidRPr="00CB35C5">
        <w:rPr>
          <w:b/>
          <w:bCs/>
        </w:rPr>
        <w:t xml:space="preserve"> AND DISCUSSION</w:t>
      </w:r>
    </w:p>
    <w:p w14:paraId="7DBDC824" w14:textId="01AD2CDB" w:rsidR="008E6164" w:rsidRPr="00CB35C5" w:rsidRDefault="00CB35C5" w:rsidP="00CB35C5">
      <w:pPr>
        <w:spacing w:after="0"/>
        <w:jc w:val="both"/>
        <w:rPr>
          <w:b/>
          <w:bCs/>
        </w:rPr>
      </w:pPr>
      <w:r w:rsidRPr="00CB35C5">
        <w:rPr>
          <w:b/>
          <w:bCs/>
        </w:rPr>
        <w:t>4.1</w:t>
      </w:r>
      <w:r w:rsidRPr="00CB35C5">
        <w:rPr>
          <w:b/>
          <w:bCs/>
        </w:rPr>
        <w:tab/>
      </w:r>
      <w:r w:rsidR="008E6164" w:rsidRPr="00CB35C5">
        <w:rPr>
          <w:b/>
          <w:bCs/>
        </w:rPr>
        <w:t>Characteristics of River Ogun</w:t>
      </w:r>
    </w:p>
    <w:p w14:paraId="31117916" w14:textId="6541FFA9" w:rsidR="003B3332" w:rsidRPr="0094328C" w:rsidRDefault="004B3277" w:rsidP="009B05F9">
      <w:pPr>
        <w:spacing w:after="0" w:line="240" w:lineRule="auto"/>
        <w:jc w:val="both"/>
        <w:rPr>
          <w:rFonts w:cs="Times New Roman"/>
          <w:szCs w:val="24"/>
        </w:rPr>
      </w:pPr>
      <w:r w:rsidRPr="0094328C">
        <w:rPr>
          <w:rFonts w:cs="Times New Roman"/>
          <w:szCs w:val="24"/>
        </w:rPr>
        <w:t xml:space="preserve">River Ogun stretches for 118.1km from north to south within Ogun State boundary and it is the longest and biggest river in the State (Table </w:t>
      </w:r>
      <w:r w:rsidR="00EB7CA9" w:rsidRPr="0094328C">
        <w:rPr>
          <w:rFonts w:cs="Times New Roman"/>
          <w:szCs w:val="24"/>
        </w:rPr>
        <w:t>2</w:t>
      </w:r>
      <w:r w:rsidRPr="0094328C">
        <w:rPr>
          <w:rFonts w:cs="Times New Roman"/>
          <w:szCs w:val="24"/>
        </w:rPr>
        <w:t>). The minimum elevation along the river path is 1.003m and a maximum 103.9m above sea level. The vertical difference betwe</w:t>
      </w:r>
      <w:r w:rsidR="0034626A" w:rsidRPr="0094328C">
        <w:rPr>
          <w:rFonts w:cs="Times New Roman"/>
          <w:szCs w:val="24"/>
        </w:rPr>
        <w:t>en the start point of the river in the north and the finish point is about 102.9m. This significant difference in vertical height along the river channel will provide good head</w:t>
      </w:r>
      <w:r w:rsidR="003B3332" w:rsidRPr="0094328C">
        <w:rPr>
          <w:rFonts w:cs="Times New Roman"/>
          <w:szCs w:val="24"/>
        </w:rPr>
        <w:t xml:space="preserve"> (gradient)</w:t>
      </w:r>
      <w:r w:rsidR="0034626A" w:rsidRPr="0094328C">
        <w:rPr>
          <w:rFonts w:cs="Times New Roman"/>
          <w:szCs w:val="24"/>
        </w:rPr>
        <w:t xml:space="preserve"> required for the development of hydropower plant.</w:t>
      </w:r>
      <w:r w:rsidR="003B3332" w:rsidRPr="0094328C">
        <w:rPr>
          <w:rFonts w:cs="Times New Roman"/>
          <w:szCs w:val="24"/>
        </w:rPr>
        <w:t xml:space="preserve"> The maximum slope along the river channel is 7.02</w:t>
      </w:r>
      <w:r w:rsidR="003B3332" w:rsidRPr="0094328C">
        <w:rPr>
          <w:rFonts w:cs="Times New Roman"/>
          <w:szCs w:val="24"/>
          <w:vertAlign w:val="superscript"/>
        </w:rPr>
        <w:t>O</w:t>
      </w:r>
      <w:r w:rsidR="003B3332" w:rsidRPr="0094328C">
        <w:rPr>
          <w:rFonts w:cs="Times New Roman"/>
          <w:szCs w:val="24"/>
        </w:rPr>
        <w:t xml:space="preserve"> which is also good for small hydropower development. The North-South profile of River Ogun is depicted in Figure 3. </w:t>
      </w:r>
      <w:r w:rsidR="00C91B99" w:rsidRPr="0094328C">
        <w:rPr>
          <w:rFonts w:cs="Times New Roman"/>
          <w:szCs w:val="24"/>
        </w:rPr>
        <w:t>The Figure</w:t>
      </w:r>
      <w:r w:rsidR="003B3332" w:rsidRPr="0094328C">
        <w:rPr>
          <w:rFonts w:cs="Times New Roman"/>
          <w:szCs w:val="24"/>
        </w:rPr>
        <w:t xml:space="preserve"> shows the undulating nature of the river channel and </w:t>
      </w:r>
      <w:r w:rsidR="009B05F9" w:rsidRPr="0094328C">
        <w:rPr>
          <w:rFonts w:cs="Times New Roman"/>
          <w:szCs w:val="24"/>
        </w:rPr>
        <w:t>the flow direction of water from the north at (</w:t>
      </w:r>
      <w:r w:rsidR="009B05F9" w:rsidRPr="0094328C">
        <w:rPr>
          <w:rFonts w:eastAsia="Times New Roman" w:cs="Times New Roman"/>
          <w:color w:val="000000"/>
          <w:szCs w:val="24"/>
          <w:lang w:eastAsia="en-GB"/>
        </w:rPr>
        <w:t xml:space="preserve">7° 24’ 12.9605” N, 3° 30’ 29.6205” E) </w:t>
      </w:r>
      <w:r w:rsidR="009B05F9" w:rsidRPr="0094328C">
        <w:rPr>
          <w:rFonts w:cs="Times New Roman"/>
          <w:szCs w:val="24"/>
        </w:rPr>
        <w:t>to south (</w:t>
      </w:r>
      <w:r w:rsidR="009B05F9" w:rsidRPr="0094328C">
        <w:rPr>
          <w:rFonts w:eastAsia="Times New Roman" w:cs="Times New Roman"/>
          <w:color w:val="000000"/>
          <w:szCs w:val="24"/>
          <w:lang w:eastAsia="en-GB"/>
        </w:rPr>
        <w:t>6° 38’ 39.0696” N, 3° 22’ 51.5256” E).</w:t>
      </w:r>
    </w:p>
    <w:p w14:paraId="42435A89" w14:textId="77777777" w:rsidR="00CB35C5" w:rsidRDefault="00CB35C5" w:rsidP="009B05F9">
      <w:pPr>
        <w:spacing w:after="0" w:line="240" w:lineRule="auto"/>
        <w:jc w:val="both"/>
      </w:pPr>
    </w:p>
    <w:p w14:paraId="03D90921" w14:textId="262A5D20" w:rsidR="009B05F9" w:rsidRPr="00CB35C5" w:rsidRDefault="009B05F9" w:rsidP="009B05F9">
      <w:pPr>
        <w:spacing w:after="0" w:line="240" w:lineRule="auto"/>
        <w:jc w:val="both"/>
        <w:rPr>
          <w:rFonts w:cs="Times New Roman"/>
          <w:szCs w:val="24"/>
        </w:rPr>
      </w:pPr>
      <w:r w:rsidRPr="007D4A67">
        <w:rPr>
          <w:rFonts w:cs="Times New Roman"/>
          <w:b/>
          <w:bCs/>
          <w:szCs w:val="24"/>
        </w:rPr>
        <w:t xml:space="preserve">Table </w:t>
      </w:r>
      <w:r w:rsidR="00EB7CA9" w:rsidRPr="007D4A67">
        <w:rPr>
          <w:rFonts w:cs="Times New Roman"/>
          <w:b/>
          <w:bCs/>
          <w:szCs w:val="24"/>
        </w:rPr>
        <w:t>2</w:t>
      </w:r>
      <w:r w:rsidRPr="007D4A67">
        <w:rPr>
          <w:rFonts w:cs="Times New Roman"/>
          <w:b/>
          <w:bCs/>
          <w:szCs w:val="24"/>
        </w:rPr>
        <w:t>:</w:t>
      </w:r>
      <w:r w:rsidRPr="00CB35C5">
        <w:rPr>
          <w:rFonts w:cs="Times New Roman"/>
          <w:szCs w:val="24"/>
        </w:rPr>
        <w:t xml:space="preserve"> Physical Characteristics of River Ogun</w:t>
      </w:r>
    </w:p>
    <w:tbl>
      <w:tblPr>
        <w:tblW w:w="7910" w:type="dxa"/>
        <w:tblLook w:val="04A0" w:firstRow="1" w:lastRow="0" w:firstColumn="1" w:lastColumn="0" w:noHBand="0" w:noVBand="1"/>
      </w:tblPr>
      <w:tblGrid>
        <w:gridCol w:w="3960"/>
        <w:gridCol w:w="3950"/>
      </w:tblGrid>
      <w:tr w:rsidR="001C08B3" w:rsidRPr="00CB35C5" w14:paraId="709437DB" w14:textId="77777777" w:rsidTr="007D4A67">
        <w:trPr>
          <w:trHeight w:val="274"/>
        </w:trPr>
        <w:tc>
          <w:tcPr>
            <w:tcW w:w="3960" w:type="dxa"/>
            <w:tcBorders>
              <w:top w:val="single" w:sz="4" w:space="0" w:color="auto"/>
              <w:left w:val="nil"/>
              <w:bottom w:val="single" w:sz="4" w:space="0" w:color="auto"/>
              <w:right w:val="nil"/>
            </w:tcBorders>
            <w:shd w:val="clear" w:color="auto" w:fill="auto"/>
            <w:noWrap/>
            <w:vAlign w:val="bottom"/>
            <w:hideMark/>
          </w:tcPr>
          <w:p w14:paraId="1E5E2DE6" w14:textId="77777777" w:rsidR="001C08B3" w:rsidRPr="00CB35C5" w:rsidRDefault="001C08B3" w:rsidP="001C08B3">
            <w:pPr>
              <w:spacing w:after="0" w:line="240" w:lineRule="auto"/>
              <w:rPr>
                <w:rFonts w:eastAsia="Times New Roman" w:cs="Times New Roman"/>
                <w:color w:val="000000"/>
                <w:szCs w:val="24"/>
                <w:lang w:eastAsia="en-GB"/>
              </w:rPr>
            </w:pPr>
            <w:r w:rsidRPr="00CB35C5">
              <w:rPr>
                <w:rFonts w:eastAsia="Times New Roman" w:cs="Times New Roman"/>
                <w:color w:val="000000"/>
                <w:szCs w:val="24"/>
                <w:lang w:eastAsia="en-GB"/>
              </w:rPr>
              <w:t>Characteristics</w:t>
            </w:r>
          </w:p>
        </w:tc>
        <w:tc>
          <w:tcPr>
            <w:tcW w:w="3950" w:type="dxa"/>
            <w:tcBorders>
              <w:top w:val="single" w:sz="4" w:space="0" w:color="auto"/>
              <w:left w:val="nil"/>
              <w:bottom w:val="single" w:sz="4" w:space="0" w:color="auto"/>
              <w:right w:val="nil"/>
            </w:tcBorders>
            <w:shd w:val="clear" w:color="auto" w:fill="auto"/>
            <w:noWrap/>
            <w:vAlign w:val="bottom"/>
            <w:hideMark/>
          </w:tcPr>
          <w:p w14:paraId="1E1396FD" w14:textId="77777777" w:rsidR="001C08B3" w:rsidRPr="00CB35C5" w:rsidRDefault="001C08B3" w:rsidP="001C08B3">
            <w:pPr>
              <w:spacing w:after="0" w:line="240" w:lineRule="auto"/>
              <w:rPr>
                <w:rFonts w:eastAsia="Times New Roman" w:cs="Times New Roman"/>
                <w:color w:val="000000"/>
                <w:szCs w:val="24"/>
                <w:lang w:eastAsia="en-GB"/>
              </w:rPr>
            </w:pPr>
            <w:r w:rsidRPr="00CB35C5">
              <w:rPr>
                <w:rFonts w:eastAsia="Times New Roman" w:cs="Times New Roman"/>
                <w:color w:val="000000"/>
                <w:szCs w:val="24"/>
                <w:lang w:eastAsia="en-GB"/>
              </w:rPr>
              <w:t>Value</w:t>
            </w:r>
          </w:p>
        </w:tc>
      </w:tr>
      <w:tr w:rsidR="001C08B3" w:rsidRPr="00CB35C5" w14:paraId="5A5CE954" w14:textId="77777777" w:rsidTr="007D4A67">
        <w:trPr>
          <w:trHeight w:val="274"/>
        </w:trPr>
        <w:tc>
          <w:tcPr>
            <w:tcW w:w="3960" w:type="dxa"/>
            <w:tcBorders>
              <w:top w:val="nil"/>
              <w:left w:val="nil"/>
              <w:bottom w:val="nil"/>
              <w:right w:val="nil"/>
            </w:tcBorders>
            <w:shd w:val="clear" w:color="auto" w:fill="auto"/>
            <w:noWrap/>
            <w:vAlign w:val="bottom"/>
            <w:hideMark/>
          </w:tcPr>
          <w:p w14:paraId="012FC57F" w14:textId="77777777" w:rsidR="001C08B3" w:rsidRPr="00CB35C5" w:rsidRDefault="001C08B3" w:rsidP="001C08B3">
            <w:pPr>
              <w:spacing w:after="0" w:line="240" w:lineRule="auto"/>
              <w:rPr>
                <w:rFonts w:eastAsia="Times New Roman" w:cs="Times New Roman"/>
                <w:color w:val="000000"/>
                <w:szCs w:val="24"/>
                <w:lang w:eastAsia="en-GB"/>
              </w:rPr>
            </w:pPr>
            <w:r w:rsidRPr="00CB35C5">
              <w:rPr>
                <w:rFonts w:eastAsia="Times New Roman" w:cs="Times New Roman"/>
                <w:color w:val="000000"/>
                <w:szCs w:val="24"/>
                <w:lang w:eastAsia="en-GB"/>
              </w:rPr>
              <w:t>Start Position:</w:t>
            </w:r>
          </w:p>
        </w:tc>
        <w:tc>
          <w:tcPr>
            <w:tcW w:w="3950" w:type="dxa"/>
            <w:tcBorders>
              <w:top w:val="nil"/>
              <w:left w:val="nil"/>
              <w:bottom w:val="nil"/>
              <w:right w:val="nil"/>
            </w:tcBorders>
            <w:shd w:val="clear" w:color="auto" w:fill="auto"/>
            <w:noWrap/>
            <w:vAlign w:val="bottom"/>
            <w:hideMark/>
          </w:tcPr>
          <w:p w14:paraId="20B85335" w14:textId="46BD5E97" w:rsidR="001C08B3" w:rsidRPr="00CB35C5" w:rsidRDefault="001C08B3" w:rsidP="001C08B3">
            <w:pPr>
              <w:spacing w:after="0" w:line="240" w:lineRule="auto"/>
              <w:rPr>
                <w:rFonts w:eastAsia="Times New Roman" w:cs="Times New Roman"/>
                <w:color w:val="000000"/>
                <w:szCs w:val="24"/>
                <w:lang w:eastAsia="en-GB"/>
              </w:rPr>
            </w:pPr>
            <w:r w:rsidRPr="00CB35C5">
              <w:rPr>
                <w:rFonts w:eastAsia="Times New Roman" w:cs="Times New Roman"/>
                <w:color w:val="000000"/>
                <w:szCs w:val="24"/>
                <w:lang w:eastAsia="en-GB"/>
              </w:rPr>
              <w:t>7° 24</w:t>
            </w:r>
            <w:r w:rsidR="004B3277" w:rsidRPr="00CB35C5">
              <w:rPr>
                <w:rFonts w:eastAsia="Times New Roman" w:cs="Times New Roman"/>
                <w:color w:val="000000"/>
                <w:szCs w:val="24"/>
                <w:lang w:eastAsia="en-GB"/>
              </w:rPr>
              <w:t>’</w:t>
            </w:r>
            <w:r w:rsidRPr="00CB35C5">
              <w:rPr>
                <w:rFonts w:eastAsia="Times New Roman" w:cs="Times New Roman"/>
                <w:color w:val="000000"/>
                <w:szCs w:val="24"/>
                <w:lang w:eastAsia="en-GB"/>
              </w:rPr>
              <w:t xml:space="preserve"> 12.9605</w:t>
            </w:r>
            <w:r w:rsidR="004B3277" w:rsidRPr="00CB35C5">
              <w:rPr>
                <w:rFonts w:eastAsia="Times New Roman" w:cs="Times New Roman"/>
                <w:color w:val="000000"/>
                <w:szCs w:val="24"/>
                <w:lang w:eastAsia="en-GB"/>
              </w:rPr>
              <w:t>”</w:t>
            </w:r>
            <w:r w:rsidRPr="00CB35C5">
              <w:rPr>
                <w:rFonts w:eastAsia="Times New Roman" w:cs="Times New Roman"/>
                <w:color w:val="000000"/>
                <w:szCs w:val="24"/>
                <w:lang w:eastAsia="en-GB"/>
              </w:rPr>
              <w:t xml:space="preserve"> N, 3° 30</w:t>
            </w:r>
            <w:r w:rsidR="004B3277" w:rsidRPr="00CB35C5">
              <w:rPr>
                <w:rFonts w:eastAsia="Times New Roman" w:cs="Times New Roman"/>
                <w:color w:val="000000"/>
                <w:szCs w:val="24"/>
                <w:lang w:eastAsia="en-GB"/>
              </w:rPr>
              <w:t>’</w:t>
            </w:r>
            <w:r w:rsidRPr="00CB35C5">
              <w:rPr>
                <w:rFonts w:eastAsia="Times New Roman" w:cs="Times New Roman"/>
                <w:color w:val="000000"/>
                <w:szCs w:val="24"/>
                <w:lang w:eastAsia="en-GB"/>
              </w:rPr>
              <w:t xml:space="preserve"> 29.6205</w:t>
            </w:r>
            <w:r w:rsidR="004B3277" w:rsidRPr="00CB35C5">
              <w:rPr>
                <w:rFonts w:eastAsia="Times New Roman" w:cs="Times New Roman"/>
                <w:color w:val="000000"/>
                <w:szCs w:val="24"/>
                <w:lang w:eastAsia="en-GB"/>
              </w:rPr>
              <w:t>”</w:t>
            </w:r>
            <w:r w:rsidRPr="00CB35C5">
              <w:rPr>
                <w:rFonts w:eastAsia="Times New Roman" w:cs="Times New Roman"/>
                <w:color w:val="000000"/>
                <w:szCs w:val="24"/>
                <w:lang w:eastAsia="en-GB"/>
              </w:rPr>
              <w:t xml:space="preserve"> E</w:t>
            </w:r>
          </w:p>
        </w:tc>
      </w:tr>
      <w:tr w:rsidR="001C08B3" w:rsidRPr="00CB35C5" w14:paraId="7E41FC7E" w14:textId="77777777" w:rsidTr="007D4A67">
        <w:trPr>
          <w:trHeight w:val="274"/>
        </w:trPr>
        <w:tc>
          <w:tcPr>
            <w:tcW w:w="3960" w:type="dxa"/>
            <w:tcBorders>
              <w:top w:val="nil"/>
              <w:left w:val="nil"/>
              <w:bottom w:val="nil"/>
              <w:right w:val="nil"/>
            </w:tcBorders>
            <w:shd w:val="clear" w:color="auto" w:fill="auto"/>
            <w:noWrap/>
            <w:vAlign w:val="bottom"/>
            <w:hideMark/>
          </w:tcPr>
          <w:p w14:paraId="39700F06" w14:textId="77777777" w:rsidR="001C08B3" w:rsidRPr="00CB35C5" w:rsidRDefault="001C08B3" w:rsidP="001C08B3">
            <w:pPr>
              <w:spacing w:after="0" w:line="240" w:lineRule="auto"/>
              <w:rPr>
                <w:rFonts w:eastAsia="Times New Roman" w:cs="Times New Roman"/>
                <w:color w:val="000000"/>
                <w:szCs w:val="24"/>
                <w:lang w:eastAsia="en-GB"/>
              </w:rPr>
            </w:pPr>
            <w:r w:rsidRPr="00CB35C5">
              <w:rPr>
                <w:rFonts w:eastAsia="Times New Roman" w:cs="Times New Roman"/>
                <w:color w:val="000000"/>
                <w:szCs w:val="24"/>
                <w:lang w:eastAsia="en-GB"/>
              </w:rPr>
              <w:t xml:space="preserve">End Position: </w:t>
            </w:r>
          </w:p>
        </w:tc>
        <w:tc>
          <w:tcPr>
            <w:tcW w:w="3950" w:type="dxa"/>
            <w:tcBorders>
              <w:top w:val="nil"/>
              <w:left w:val="nil"/>
              <w:bottom w:val="nil"/>
              <w:right w:val="nil"/>
            </w:tcBorders>
            <w:shd w:val="clear" w:color="auto" w:fill="auto"/>
            <w:noWrap/>
            <w:vAlign w:val="bottom"/>
            <w:hideMark/>
          </w:tcPr>
          <w:p w14:paraId="1AFD30B3" w14:textId="3B84E6CF" w:rsidR="001C08B3" w:rsidRPr="00CB35C5" w:rsidRDefault="001C08B3" w:rsidP="001C08B3">
            <w:pPr>
              <w:spacing w:after="0" w:line="240" w:lineRule="auto"/>
              <w:rPr>
                <w:rFonts w:eastAsia="Times New Roman" w:cs="Times New Roman"/>
                <w:color w:val="000000"/>
                <w:szCs w:val="24"/>
                <w:lang w:eastAsia="en-GB"/>
              </w:rPr>
            </w:pPr>
            <w:r w:rsidRPr="00CB35C5">
              <w:rPr>
                <w:rFonts w:eastAsia="Times New Roman" w:cs="Times New Roman"/>
                <w:color w:val="000000"/>
                <w:szCs w:val="24"/>
                <w:lang w:eastAsia="en-GB"/>
              </w:rPr>
              <w:t>6° 38</w:t>
            </w:r>
            <w:r w:rsidR="004B3277" w:rsidRPr="00CB35C5">
              <w:rPr>
                <w:rFonts w:eastAsia="Times New Roman" w:cs="Times New Roman"/>
                <w:color w:val="000000"/>
                <w:szCs w:val="24"/>
                <w:lang w:eastAsia="en-GB"/>
              </w:rPr>
              <w:t>’</w:t>
            </w:r>
            <w:r w:rsidRPr="00CB35C5">
              <w:rPr>
                <w:rFonts w:eastAsia="Times New Roman" w:cs="Times New Roman"/>
                <w:color w:val="000000"/>
                <w:szCs w:val="24"/>
                <w:lang w:eastAsia="en-GB"/>
              </w:rPr>
              <w:t xml:space="preserve"> 39.0696</w:t>
            </w:r>
            <w:r w:rsidR="004B3277" w:rsidRPr="00CB35C5">
              <w:rPr>
                <w:rFonts w:eastAsia="Times New Roman" w:cs="Times New Roman"/>
                <w:color w:val="000000"/>
                <w:szCs w:val="24"/>
                <w:lang w:eastAsia="en-GB"/>
              </w:rPr>
              <w:t>”</w:t>
            </w:r>
            <w:r w:rsidRPr="00CB35C5">
              <w:rPr>
                <w:rFonts w:eastAsia="Times New Roman" w:cs="Times New Roman"/>
                <w:color w:val="000000"/>
                <w:szCs w:val="24"/>
                <w:lang w:eastAsia="en-GB"/>
              </w:rPr>
              <w:t xml:space="preserve"> N, 3° 22</w:t>
            </w:r>
            <w:r w:rsidR="004B3277" w:rsidRPr="00CB35C5">
              <w:rPr>
                <w:rFonts w:eastAsia="Times New Roman" w:cs="Times New Roman"/>
                <w:color w:val="000000"/>
                <w:szCs w:val="24"/>
                <w:lang w:eastAsia="en-GB"/>
              </w:rPr>
              <w:t>’</w:t>
            </w:r>
            <w:r w:rsidRPr="00CB35C5">
              <w:rPr>
                <w:rFonts w:eastAsia="Times New Roman" w:cs="Times New Roman"/>
                <w:color w:val="000000"/>
                <w:szCs w:val="24"/>
                <w:lang w:eastAsia="en-GB"/>
              </w:rPr>
              <w:t xml:space="preserve"> 51.5256</w:t>
            </w:r>
            <w:r w:rsidR="004B3277" w:rsidRPr="00CB35C5">
              <w:rPr>
                <w:rFonts w:eastAsia="Times New Roman" w:cs="Times New Roman"/>
                <w:color w:val="000000"/>
                <w:szCs w:val="24"/>
                <w:lang w:eastAsia="en-GB"/>
              </w:rPr>
              <w:t>”</w:t>
            </w:r>
            <w:r w:rsidRPr="00CB35C5">
              <w:rPr>
                <w:rFonts w:eastAsia="Times New Roman" w:cs="Times New Roman"/>
                <w:color w:val="000000"/>
                <w:szCs w:val="24"/>
                <w:lang w:eastAsia="en-GB"/>
              </w:rPr>
              <w:t xml:space="preserve"> E</w:t>
            </w:r>
          </w:p>
        </w:tc>
      </w:tr>
      <w:tr w:rsidR="001C08B3" w:rsidRPr="00CB35C5" w14:paraId="163DA416" w14:textId="77777777" w:rsidTr="007D4A67">
        <w:trPr>
          <w:trHeight w:val="274"/>
        </w:trPr>
        <w:tc>
          <w:tcPr>
            <w:tcW w:w="3960" w:type="dxa"/>
            <w:tcBorders>
              <w:top w:val="nil"/>
              <w:left w:val="nil"/>
              <w:bottom w:val="nil"/>
              <w:right w:val="nil"/>
            </w:tcBorders>
            <w:shd w:val="clear" w:color="auto" w:fill="auto"/>
            <w:noWrap/>
            <w:vAlign w:val="bottom"/>
            <w:hideMark/>
          </w:tcPr>
          <w:p w14:paraId="44807A30" w14:textId="77777777" w:rsidR="001C08B3" w:rsidRPr="00CB35C5" w:rsidRDefault="001C08B3" w:rsidP="001C08B3">
            <w:pPr>
              <w:spacing w:after="0" w:line="240" w:lineRule="auto"/>
              <w:rPr>
                <w:rFonts w:eastAsia="Times New Roman" w:cs="Times New Roman"/>
                <w:color w:val="000000"/>
                <w:szCs w:val="24"/>
                <w:lang w:eastAsia="en-GB"/>
              </w:rPr>
            </w:pPr>
            <w:r w:rsidRPr="00CB35C5">
              <w:rPr>
                <w:rFonts w:eastAsia="Times New Roman" w:cs="Times New Roman"/>
                <w:color w:val="000000"/>
                <w:szCs w:val="24"/>
                <w:lang w:eastAsia="en-GB"/>
              </w:rPr>
              <w:t xml:space="preserve">Minimum Elevation on Path: </w:t>
            </w:r>
          </w:p>
        </w:tc>
        <w:tc>
          <w:tcPr>
            <w:tcW w:w="3950" w:type="dxa"/>
            <w:tcBorders>
              <w:top w:val="nil"/>
              <w:left w:val="nil"/>
              <w:bottom w:val="nil"/>
              <w:right w:val="nil"/>
            </w:tcBorders>
            <w:shd w:val="clear" w:color="auto" w:fill="auto"/>
            <w:noWrap/>
            <w:vAlign w:val="bottom"/>
            <w:hideMark/>
          </w:tcPr>
          <w:p w14:paraId="0FDC6C91" w14:textId="77777777" w:rsidR="001C08B3" w:rsidRPr="00CB35C5" w:rsidRDefault="001C08B3" w:rsidP="001C08B3">
            <w:pPr>
              <w:spacing w:after="0" w:line="240" w:lineRule="auto"/>
              <w:rPr>
                <w:rFonts w:eastAsia="Times New Roman" w:cs="Times New Roman"/>
                <w:color w:val="000000"/>
                <w:szCs w:val="24"/>
                <w:lang w:eastAsia="en-GB"/>
              </w:rPr>
            </w:pPr>
            <w:r w:rsidRPr="00CB35C5">
              <w:rPr>
                <w:rFonts w:eastAsia="Times New Roman" w:cs="Times New Roman"/>
                <w:color w:val="000000"/>
                <w:szCs w:val="24"/>
                <w:lang w:eastAsia="en-GB"/>
              </w:rPr>
              <w:t>1.003 m</w:t>
            </w:r>
          </w:p>
        </w:tc>
      </w:tr>
      <w:tr w:rsidR="001C08B3" w:rsidRPr="00CB35C5" w14:paraId="794FA5EF" w14:textId="77777777" w:rsidTr="007D4A67">
        <w:trPr>
          <w:trHeight w:val="274"/>
        </w:trPr>
        <w:tc>
          <w:tcPr>
            <w:tcW w:w="3960" w:type="dxa"/>
            <w:tcBorders>
              <w:top w:val="nil"/>
              <w:left w:val="nil"/>
              <w:bottom w:val="nil"/>
              <w:right w:val="nil"/>
            </w:tcBorders>
            <w:shd w:val="clear" w:color="auto" w:fill="auto"/>
            <w:noWrap/>
            <w:vAlign w:val="bottom"/>
            <w:hideMark/>
          </w:tcPr>
          <w:p w14:paraId="55CC9650" w14:textId="77777777" w:rsidR="001C08B3" w:rsidRPr="00CB35C5" w:rsidRDefault="001C08B3" w:rsidP="001C08B3">
            <w:pPr>
              <w:spacing w:after="0" w:line="240" w:lineRule="auto"/>
              <w:rPr>
                <w:rFonts w:eastAsia="Times New Roman" w:cs="Times New Roman"/>
                <w:color w:val="000000"/>
                <w:szCs w:val="24"/>
                <w:lang w:eastAsia="en-GB"/>
              </w:rPr>
            </w:pPr>
            <w:r w:rsidRPr="00CB35C5">
              <w:rPr>
                <w:rFonts w:eastAsia="Times New Roman" w:cs="Times New Roman"/>
                <w:color w:val="000000"/>
                <w:szCs w:val="24"/>
                <w:lang w:eastAsia="en-GB"/>
              </w:rPr>
              <w:t xml:space="preserve">Maximum Elevation on Path: </w:t>
            </w:r>
          </w:p>
        </w:tc>
        <w:tc>
          <w:tcPr>
            <w:tcW w:w="3950" w:type="dxa"/>
            <w:tcBorders>
              <w:top w:val="nil"/>
              <w:left w:val="nil"/>
              <w:bottom w:val="nil"/>
              <w:right w:val="nil"/>
            </w:tcBorders>
            <w:shd w:val="clear" w:color="auto" w:fill="auto"/>
            <w:noWrap/>
            <w:vAlign w:val="bottom"/>
            <w:hideMark/>
          </w:tcPr>
          <w:p w14:paraId="24AF6F5A" w14:textId="77777777" w:rsidR="001C08B3" w:rsidRPr="00CB35C5" w:rsidRDefault="001C08B3" w:rsidP="001C08B3">
            <w:pPr>
              <w:spacing w:after="0" w:line="240" w:lineRule="auto"/>
              <w:rPr>
                <w:rFonts w:eastAsia="Times New Roman" w:cs="Times New Roman"/>
                <w:color w:val="000000"/>
                <w:szCs w:val="24"/>
                <w:lang w:eastAsia="en-GB"/>
              </w:rPr>
            </w:pPr>
            <w:r w:rsidRPr="00CB35C5">
              <w:rPr>
                <w:rFonts w:eastAsia="Times New Roman" w:cs="Times New Roman"/>
                <w:color w:val="000000"/>
                <w:szCs w:val="24"/>
                <w:lang w:eastAsia="en-GB"/>
              </w:rPr>
              <w:t>103.897 m</w:t>
            </w:r>
          </w:p>
        </w:tc>
      </w:tr>
      <w:tr w:rsidR="001C08B3" w:rsidRPr="00CB35C5" w14:paraId="7AD0495B" w14:textId="77777777" w:rsidTr="007D4A67">
        <w:trPr>
          <w:trHeight w:val="274"/>
        </w:trPr>
        <w:tc>
          <w:tcPr>
            <w:tcW w:w="3960" w:type="dxa"/>
            <w:tcBorders>
              <w:top w:val="nil"/>
              <w:left w:val="nil"/>
              <w:bottom w:val="nil"/>
              <w:right w:val="nil"/>
            </w:tcBorders>
            <w:shd w:val="clear" w:color="auto" w:fill="auto"/>
            <w:noWrap/>
            <w:vAlign w:val="bottom"/>
            <w:hideMark/>
          </w:tcPr>
          <w:p w14:paraId="7F9DC4A5" w14:textId="77777777" w:rsidR="001C08B3" w:rsidRPr="00CB35C5" w:rsidRDefault="001C08B3" w:rsidP="001C08B3">
            <w:pPr>
              <w:spacing w:after="0" w:line="240" w:lineRule="auto"/>
              <w:rPr>
                <w:rFonts w:eastAsia="Times New Roman" w:cs="Times New Roman"/>
                <w:color w:val="000000"/>
                <w:szCs w:val="24"/>
                <w:lang w:eastAsia="en-GB"/>
              </w:rPr>
            </w:pPr>
            <w:r w:rsidRPr="00CB35C5">
              <w:rPr>
                <w:rFonts w:eastAsia="Times New Roman" w:cs="Times New Roman"/>
                <w:color w:val="000000"/>
                <w:szCs w:val="24"/>
                <w:lang w:eastAsia="en-GB"/>
              </w:rPr>
              <w:t xml:space="preserve">Vertical Difference (Start to Finish): </w:t>
            </w:r>
          </w:p>
        </w:tc>
        <w:tc>
          <w:tcPr>
            <w:tcW w:w="3950" w:type="dxa"/>
            <w:tcBorders>
              <w:top w:val="nil"/>
              <w:left w:val="nil"/>
              <w:bottom w:val="nil"/>
              <w:right w:val="nil"/>
            </w:tcBorders>
            <w:shd w:val="clear" w:color="auto" w:fill="auto"/>
            <w:noWrap/>
            <w:vAlign w:val="bottom"/>
            <w:hideMark/>
          </w:tcPr>
          <w:p w14:paraId="628DF3D6" w14:textId="02A95868" w:rsidR="001C08B3" w:rsidRPr="00CB35C5" w:rsidRDefault="001C08B3" w:rsidP="001C08B3">
            <w:pPr>
              <w:spacing w:after="0" w:line="240" w:lineRule="auto"/>
              <w:rPr>
                <w:rFonts w:eastAsia="Times New Roman" w:cs="Times New Roman"/>
                <w:color w:val="000000"/>
                <w:szCs w:val="24"/>
                <w:lang w:eastAsia="en-GB"/>
              </w:rPr>
            </w:pPr>
            <w:r w:rsidRPr="00CB35C5">
              <w:rPr>
                <w:rFonts w:eastAsia="Times New Roman" w:cs="Times New Roman"/>
                <w:color w:val="000000"/>
                <w:szCs w:val="24"/>
                <w:lang w:eastAsia="en-GB"/>
              </w:rPr>
              <w:t>102.9 m</w:t>
            </w:r>
          </w:p>
        </w:tc>
      </w:tr>
      <w:tr w:rsidR="001C08B3" w:rsidRPr="00CB35C5" w14:paraId="7B369DE4" w14:textId="77777777" w:rsidTr="007D4A67">
        <w:trPr>
          <w:trHeight w:val="274"/>
        </w:trPr>
        <w:tc>
          <w:tcPr>
            <w:tcW w:w="3960" w:type="dxa"/>
            <w:tcBorders>
              <w:top w:val="nil"/>
              <w:left w:val="nil"/>
              <w:bottom w:val="nil"/>
              <w:right w:val="nil"/>
            </w:tcBorders>
            <w:shd w:val="clear" w:color="auto" w:fill="auto"/>
            <w:noWrap/>
            <w:vAlign w:val="bottom"/>
            <w:hideMark/>
          </w:tcPr>
          <w:p w14:paraId="239B287D" w14:textId="77777777" w:rsidR="001C08B3" w:rsidRPr="00CB35C5" w:rsidRDefault="001C08B3" w:rsidP="001C08B3">
            <w:pPr>
              <w:spacing w:after="0" w:line="240" w:lineRule="auto"/>
              <w:rPr>
                <w:rFonts w:eastAsia="Times New Roman" w:cs="Times New Roman"/>
                <w:color w:val="000000"/>
                <w:szCs w:val="24"/>
                <w:lang w:eastAsia="en-GB"/>
              </w:rPr>
            </w:pPr>
            <w:r w:rsidRPr="00CB35C5">
              <w:rPr>
                <w:rFonts w:eastAsia="Times New Roman" w:cs="Times New Roman"/>
                <w:color w:val="000000"/>
                <w:szCs w:val="24"/>
                <w:lang w:eastAsia="en-GB"/>
              </w:rPr>
              <w:t xml:space="preserve">Path Length: </w:t>
            </w:r>
          </w:p>
        </w:tc>
        <w:tc>
          <w:tcPr>
            <w:tcW w:w="3950" w:type="dxa"/>
            <w:tcBorders>
              <w:top w:val="nil"/>
              <w:left w:val="nil"/>
              <w:bottom w:val="nil"/>
              <w:right w:val="nil"/>
            </w:tcBorders>
            <w:shd w:val="clear" w:color="auto" w:fill="auto"/>
            <w:noWrap/>
            <w:vAlign w:val="bottom"/>
            <w:hideMark/>
          </w:tcPr>
          <w:p w14:paraId="126D03C7" w14:textId="77777777" w:rsidR="001C08B3" w:rsidRPr="00CB35C5" w:rsidRDefault="001C08B3" w:rsidP="001C08B3">
            <w:pPr>
              <w:spacing w:after="0" w:line="240" w:lineRule="auto"/>
              <w:rPr>
                <w:rFonts w:eastAsia="Times New Roman" w:cs="Times New Roman"/>
                <w:color w:val="000000"/>
                <w:szCs w:val="24"/>
                <w:lang w:eastAsia="en-GB"/>
              </w:rPr>
            </w:pPr>
            <w:r w:rsidRPr="00CB35C5">
              <w:rPr>
                <w:rFonts w:eastAsia="Times New Roman" w:cs="Times New Roman"/>
                <w:color w:val="000000"/>
                <w:szCs w:val="24"/>
                <w:lang w:eastAsia="en-GB"/>
              </w:rPr>
              <w:t>118.1 km</w:t>
            </w:r>
          </w:p>
        </w:tc>
      </w:tr>
      <w:tr w:rsidR="001C08B3" w:rsidRPr="00CB35C5" w14:paraId="0C92C670" w14:textId="77777777" w:rsidTr="007D4A67">
        <w:trPr>
          <w:trHeight w:val="274"/>
        </w:trPr>
        <w:tc>
          <w:tcPr>
            <w:tcW w:w="3960" w:type="dxa"/>
            <w:tcBorders>
              <w:top w:val="nil"/>
              <w:left w:val="nil"/>
              <w:bottom w:val="nil"/>
              <w:right w:val="nil"/>
            </w:tcBorders>
            <w:shd w:val="clear" w:color="auto" w:fill="auto"/>
            <w:noWrap/>
            <w:vAlign w:val="bottom"/>
            <w:hideMark/>
          </w:tcPr>
          <w:p w14:paraId="7954214C" w14:textId="77777777" w:rsidR="001C08B3" w:rsidRPr="00CB35C5" w:rsidRDefault="001C08B3" w:rsidP="001C08B3">
            <w:pPr>
              <w:spacing w:after="0" w:line="240" w:lineRule="auto"/>
              <w:rPr>
                <w:rFonts w:eastAsia="Times New Roman" w:cs="Times New Roman"/>
                <w:color w:val="000000"/>
                <w:szCs w:val="24"/>
                <w:lang w:eastAsia="en-GB"/>
              </w:rPr>
            </w:pPr>
            <w:r w:rsidRPr="00CB35C5">
              <w:rPr>
                <w:rFonts w:eastAsia="Times New Roman" w:cs="Times New Roman"/>
                <w:color w:val="000000"/>
                <w:szCs w:val="24"/>
                <w:lang w:eastAsia="en-GB"/>
              </w:rPr>
              <w:t xml:space="preserve">Straight-Line Distance: </w:t>
            </w:r>
          </w:p>
        </w:tc>
        <w:tc>
          <w:tcPr>
            <w:tcW w:w="3950" w:type="dxa"/>
            <w:tcBorders>
              <w:top w:val="nil"/>
              <w:left w:val="nil"/>
              <w:bottom w:val="nil"/>
              <w:right w:val="nil"/>
            </w:tcBorders>
            <w:shd w:val="clear" w:color="auto" w:fill="auto"/>
            <w:noWrap/>
            <w:vAlign w:val="bottom"/>
            <w:hideMark/>
          </w:tcPr>
          <w:p w14:paraId="2B8E48FC" w14:textId="77777777" w:rsidR="001C08B3" w:rsidRPr="00CB35C5" w:rsidRDefault="001C08B3" w:rsidP="001C08B3">
            <w:pPr>
              <w:spacing w:after="0" w:line="240" w:lineRule="auto"/>
              <w:rPr>
                <w:rFonts w:eastAsia="Times New Roman" w:cs="Times New Roman"/>
                <w:color w:val="000000"/>
                <w:szCs w:val="24"/>
                <w:lang w:eastAsia="en-GB"/>
              </w:rPr>
            </w:pPr>
            <w:r w:rsidRPr="00CB35C5">
              <w:rPr>
                <w:rFonts w:eastAsia="Times New Roman" w:cs="Times New Roman"/>
                <w:color w:val="000000"/>
                <w:szCs w:val="24"/>
                <w:lang w:eastAsia="en-GB"/>
              </w:rPr>
              <w:t>85.153 km</w:t>
            </w:r>
          </w:p>
        </w:tc>
      </w:tr>
      <w:tr w:rsidR="001C08B3" w:rsidRPr="00CB35C5" w14:paraId="4205D173" w14:textId="77777777" w:rsidTr="007D4A67">
        <w:trPr>
          <w:trHeight w:val="274"/>
        </w:trPr>
        <w:tc>
          <w:tcPr>
            <w:tcW w:w="3960" w:type="dxa"/>
            <w:tcBorders>
              <w:top w:val="nil"/>
              <w:left w:val="nil"/>
              <w:bottom w:val="nil"/>
              <w:right w:val="nil"/>
            </w:tcBorders>
            <w:shd w:val="clear" w:color="auto" w:fill="auto"/>
            <w:noWrap/>
            <w:vAlign w:val="bottom"/>
            <w:hideMark/>
          </w:tcPr>
          <w:p w14:paraId="75D376D3" w14:textId="238D19D8" w:rsidR="001C08B3" w:rsidRPr="00CB35C5" w:rsidRDefault="003B3332" w:rsidP="001C08B3">
            <w:pPr>
              <w:spacing w:after="0" w:line="240" w:lineRule="auto"/>
              <w:rPr>
                <w:rFonts w:eastAsia="Times New Roman" w:cs="Times New Roman"/>
                <w:color w:val="000000"/>
                <w:szCs w:val="24"/>
                <w:lang w:eastAsia="en-GB"/>
              </w:rPr>
            </w:pPr>
            <w:r w:rsidRPr="00CB35C5">
              <w:rPr>
                <w:rFonts w:eastAsia="Times New Roman" w:cs="Times New Roman"/>
                <w:color w:val="000000"/>
                <w:szCs w:val="24"/>
                <w:lang w:eastAsia="en-GB"/>
              </w:rPr>
              <w:t xml:space="preserve">Minimum </w:t>
            </w:r>
            <w:r w:rsidR="001C08B3" w:rsidRPr="00CB35C5">
              <w:rPr>
                <w:rFonts w:eastAsia="Times New Roman" w:cs="Times New Roman"/>
                <w:color w:val="000000"/>
                <w:szCs w:val="24"/>
                <w:lang w:eastAsia="en-GB"/>
              </w:rPr>
              <w:t xml:space="preserve">Slope/Tilt: </w:t>
            </w:r>
          </w:p>
        </w:tc>
        <w:tc>
          <w:tcPr>
            <w:tcW w:w="3950" w:type="dxa"/>
            <w:tcBorders>
              <w:top w:val="nil"/>
              <w:left w:val="nil"/>
              <w:bottom w:val="nil"/>
              <w:right w:val="nil"/>
            </w:tcBorders>
            <w:shd w:val="clear" w:color="auto" w:fill="auto"/>
            <w:noWrap/>
            <w:vAlign w:val="bottom"/>
            <w:hideMark/>
          </w:tcPr>
          <w:p w14:paraId="4C826913" w14:textId="77777777" w:rsidR="001C08B3" w:rsidRPr="00CB35C5" w:rsidRDefault="001C08B3" w:rsidP="001C08B3">
            <w:pPr>
              <w:spacing w:after="0" w:line="240" w:lineRule="auto"/>
              <w:rPr>
                <w:rFonts w:eastAsia="Times New Roman" w:cs="Times New Roman"/>
                <w:color w:val="000000"/>
                <w:szCs w:val="24"/>
                <w:lang w:eastAsia="en-GB"/>
              </w:rPr>
            </w:pPr>
            <w:r w:rsidRPr="00CB35C5">
              <w:rPr>
                <w:rFonts w:eastAsia="Times New Roman" w:cs="Times New Roman"/>
                <w:color w:val="000000"/>
                <w:szCs w:val="24"/>
                <w:lang w:eastAsia="en-GB"/>
              </w:rPr>
              <w:t>-0.05°</w:t>
            </w:r>
          </w:p>
        </w:tc>
      </w:tr>
      <w:tr w:rsidR="001C08B3" w:rsidRPr="00CB35C5" w14:paraId="5566915A" w14:textId="77777777" w:rsidTr="007D4A67">
        <w:trPr>
          <w:trHeight w:val="274"/>
        </w:trPr>
        <w:tc>
          <w:tcPr>
            <w:tcW w:w="3960" w:type="dxa"/>
            <w:tcBorders>
              <w:top w:val="nil"/>
              <w:left w:val="nil"/>
              <w:bottom w:val="nil"/>
              <w:right w:val="nil"/>
            </w:tcBorders>
            <w:shd w:val="clear" w:color="auto" w:fill="auto"/>
            <w:noWrap/>
            <w:vAlign w:val="bottom"/>
            <w:hideMark/>
          </w:tcPr>
          <w:p w14:paraId="7440F08E" w14:textId="77777777" w:rsidR="001C08B3" w:rsidRPr="00CB35C5" w:rsidRDefault="001C08B3" w:rsidP="001C08B3">
            <w:pPr>
              <w:spacing w:after="0" w:line="240" w:lineRule="auto"/>
              <w:rPr>
                <w:rFonts w:eastAsia="Times New Roman" w:cs="Times New Roman"/>
                <w:color w:val="000000"/>
                <w:szCs w:val="24"/>
                <w:lang w:eastAsia="en-GB"/>
              </w:rPr>
            </w:pPr>
            <w:r w:rsidRPr="00CB35C5">
              <w:rPr>
                <w:rFonts w:eastAsia="Times New Roman" w:cs="Times New Roman"/>
                <w:color w:val="000000"/>
                <w:szCs w:val="24"/>
                <w:lang w:eastAsia="en-GB"/>
              </w:rPr>
              <w:t xml:space="preserve">Max Path Slope: </w:t>
            </w:r>
          </w:p>
        </w:tc>
        <w:tc>
          <w:tcPr>
            <w:tcW w:w="3950" w:type="dxa"/>
            <w:tcBorders>
              <w:top w:val="nil"/>
              <w:left w:val="nil"/>
              <w:bottom w:val="nil"/>
              <w:right w:val="nil"/>
            </w:tcBorders>
            <w:shd w:val="clear" w:color="auto" w:fill="auto"/>
            <w:noWrap/>
            <w:vAlign w:val="bottom"/>
            <w:hideMark/>
          </w:tcPr>
          <w:p w14:paraId="7A59783C" w14:textId="77777777" w:rsidR="001C08B3" w:rsidRPr="00CB35C5" w:rsidRDefault="001C08B3" w:rsidP="001C08B3">
            <w:pPr>
              <w:spacing w:after="0" w:line="240" w:lineRule="auto"/>
              <w:rPr>
                <w:rFonts w:eastAsia="Times New Roman" w:cs="Times New Roman"/>
                <w:color w:val="000000"/>
                <w:szCs w:val="24"/>
                <w:lang w:eastAsia="en-GB"/>
              </w:rPr>
            </w:pPr>
            <w:r w:rsidRPr="00CB35C5">
              <w:rPr>
                <w:rFonts w:eastAsia="Times New Roman" w:cs="Times New Roman"/>
                <w:color w:val="000000"/>
                <w:szCs w:val="24"/>
                <w:lang w:eastAsia="en-GB"/>
              </w:rPr>
              <w:t>7.02° [104.13 km along path]</w:t>
            </w:r>
          </w:p>
        </w:tc>
      </w:tr>
      <w:tr w:rsidR="004B3277" w:rsidRPr="00CB35C5" w14:paraId="5C222F2E" w14:textId="77777777" w:rsidTr="007D4A67">
        <w:trPr>
          <w:trHeight w:val="274"/>
        </w:trPr>
        <w:tc>
          <w:tcPr>
            <w:tcW w:w="3960" w:type="dxa"/>
            <w:tcBorders>
              <w:top w:val="nil"/>
              <w:left w:val="nil"/>
              <w:bottom w:val="single" w:sz="4" w:space="0" w:color="auto"/>
              <w:right w:val="nil"/>
            </w:tcBorders>
            <w:shd w:val="clear" w:color="auto" w:fill="auto"/>
            <w:noWrap/>
            <w:vAlign w:val="bottom"/>
          </w:tcPr>
          <w:p w14:paraId="3AADCE6D" w14:textId="1C66B681" w:rsidR="004B3277" w:rsidRPr="00CB35C5" w:rsidRDefault="004B3277" w:rsidP="001C08B3">
            <w:pPr>
              <w:spacing w:after="0" w:line="240" w:lineRule="auto"/>
              <w:rPr>
                <w:rFonts w:eastAsia="Times New Roman" w:cs="Times New Roman"/>
                <w:color w:val="000000"/>
                <w:szCs w:val="24"/>
                <w:lang w:eastAsia="en-GB"/>
              </w:rPr>
            </w:pPr>
            <w:r w:rsidRPr="00CB35C5">
              <w:rPr>
                <w:rFonts w:eastAsia="Times New Roman" w:cs="Times New Roman"/>
                <w:color w:val="000000"/>
                <w:szCs w:val="24"/>
                <w:lang w:eastAsia="en-GB"/>
              </w:rPr>
              <w:t>Flow direction</w:t>
            </w:r>
          </w:p>
        </w:tc>
        <w:tc>
          <w:tcPr>
            <w:tcW w:w="3950" w:type="dxa"/>
            <w:tcBorders>
              <w:top w:val="nil"/>
              <w:left w:val="nil"/>
              <w:bottom w:val="single" w:sz="4" w:space="0" w:color="auto"/>
              <w:right w:val="nil"/>
            </w:tcBorders>
            <w:shd w:val="clear" w:color="auto" w:fill="auto"/>
            <w:noWrap/>
            <w:vAlign w:val="bottom"/>
          </w:tcPr>
          <w:p w14:paraId="38D4F0AF" w14:textId="00EE3848" w:rsidR="004B3277" w:rsidRPr="00CB35C5" w:rsidRDefault="004B3277" w:rsidP="001C08B3">
            <w:pPr>
              <w:spacing w:after="0" w:line="240" w:lineRule="auto"/>
              <w:rPr>
                <w:rFonts w:eastAsia="Times New Roman" w:cs="Times New Roman"/>
                <w:color w:val="000000"/>
                <w:szCs w:val="24"/>
                <w:lang w:eastAsia="en-GB"/>
              </w:rPr>
            </w:pPr>
            <w:r w:rsidRPr="00CB35C5">
              <w:rPr>
                <w:rFonts w:eastAsia="Times New Roman" w:cs="Times New Roman"/>
                <w:color w:val="000000"/>
                <w:szCs w:val="24"/>
                <w:lang w:eastAsia="en-GB"/>
              </w:rPr>
              <w:t>North to South</w:t>
            </w:r>
          </w:p>
        </w:tc>
      </w:tr>
    </w:tbl>
    <w:p w14:paraId="1E8BA8F8" w14:textId="77E2C9F5" w:rsidR="001C08B3" w:rsidRDefault="001C08B3" w:rsidP="00C91B99">
      <w:pPr>
        <w:spacing w:after="0" w:line="240" w:lineRule="auto"/>
      </w:pPr>
      <w:r>
        <w:rPr>
          <w:noProof/>
        </w:rPr>
        <w:lastRenderedPageBreak/>
        <w:drawing>
          <wp:inline distT="0" distB="0" distL="0" distR="0" wp14:anchorId="0F15C9CB" wp14:editId="29A4206E">
            <wp:extent cx="5305425" cy="1277255"/>
            <wp:effectExtent l="19050" t="19050" r="9525" b="18415"/>
            <wp:docPr id="4" name="Picture 4" descr="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histogram&#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5355331" cy="1289270"/>
                    </a:xfrm>
                    <a:prstGeom prst="rect">
                      <a:avLst/>
                    </a:prstGeom>
                    <a:ln w="3175">
                      <a:solidFill>
                        <a:schemeClr val="tx1"/>
                      </a:solidFill>
                    </a:ln>
                  </pic:spPr>
                </pic:pic>
              </a:graphicData>
            </a:graphic>
          </wp:inline>
        </w:drawing>
      </w:r>
    </w:p>
    <w:p w14:paraId="526AC473" w14:textId="1F9E564C" w:rsidR="00C91B99" w:rsidRDefault="00C91B99" w:rsidP="00C91B99">
      <w:pPr>
        <w:spacing w:after="0" w:line="240" w:lineRule="auto"/>
      </w:pPr>
      <w:r w:rsidRPr="002E0FDD">
        <w:rPr>
          <w:b/>
          <w:bCs/>
        </w:rPr>
        <w:t>Figure 3</w:t>
      </w:r>
      <w:r>
        <w:t>: Profile A-A Showing the Section of River Ogun from the North to South</w:t>
      </w:r>
    </w:p>
    <w:p w14:paraId="3629AD1C" w14:textId="77777777" w:rsidR="00C91B99" w:rsidRPr="005F01BE" w:rsidRDefault="00C91B99" w:rsidP="00C91B99">
      <w:pPr>
        <w:spacing w:line="240" w:lineRule="auto"/>
      </w:pPr>
    </w:p>
    <w:p w14:paraId="099F23AA" w14:textId="21ABD515" w:rsidR="0022793A" w:rsidRPr="007D4A67" w:rsidRDefault="007D4A67" w:rsidP="005F01BE">
      <w:pPr>
        <w:rPr>
          <w:b/>
          <w:bCs/>
        </w:rPr>
      </w:pPr>
      <w:r w:rsidRPr="007D4A67">
        <w:rPr>
          <w:b/>
          <w:bCs/>
        </w:rPr>
        <w:t>4.2</w:t>
      </w:r>
      <w:r w:rsidRPr="007D4A67">
        <w:rPr>
          <w:b/>
          <w:bCs/>
        </w:rPr>
        <w:tab/>
      </w:r>
      <w:r w:rsidR="004D0D35" w:rsidRPr="007D4A67">
        <w:rPr>
          <w:b/>
          <w:bCs/>
        </w:rPr>
        <w:t xml:space="preserve">Quantity of Discharge and </w:t>
      </w:r>
      <w:r>
        <w:rPr>
          <w:b/>
          <w:bCs/>
        </w:rPr>
        <w:t>Slope</w:t>
      </w:r>
      <w:r w:rsidR="004D0D35" w:rsidRPr="007D4A67">
        <w:rPr>
          <w:b/>
          <w:bCs/>
        </w:rPr>
        <w:t xml:space="preserve"> along River Ogun</w:t>
      </w:r>
    </w:p>
    <w:p w14:paraId="3F420E27" w14:textId="06F13B92" w:rsidR="00634EAF" w:rsidRDefault="00CA3984" w:rsidP="004D0D35">
      <w:pPr>
        <w:jc w:val="both"/>
      </w:pPr>
      <w:r>
        <w:t>The q</w:t>
      </w:r>
      <w:r w:rsidR="004D0D35">
        <w:t>uantity of discharge</w:t>
      </w:r>
      <w:r>
        <w:t xml:space="preserve"> (flow rate)</w:t>
      </w:r>
      <w:r w:rsidR="004D0D35">
        <w:t xml:space="preserve"> and the difference in vertical difference in elevation called </w:t>
      </w:r>
      <w:r>
        <w:t>“</w:t>
      </w:r>
      <w:r w:rsidR="004D0D35">
        <w:t>head</w:t>
      </w:r>
      <w:r>
        <w:t>” or “gradient”</w:t>
      </w:r>
      <w:r w:rsidR="004D0D35">
        <w:t xml:space="preserve"> are the primary factors for energy potential estimation</w:t>
      </w:r>
      <w:r>
        <w:t xml:space="preserve"> in run off river</w:t>
      </w:r>
      <w:r w:rsidR="004D0D35">
        <w:t xml:space="preserve">. </w:t>
      </w:r>
      <w:r w:rsidR="00CC0B1B">
        <w:t xml:space="preserve">The higher the vertical difference in elevation and quantity of discharge, the higher the potential energy generated. </w:t>
      </w:r>
      <w:r w:rsidR="004D0D35">
        <w:t xml:space="preserve">Table 3 shows the characteristics of discharge and head along River Ogun. The result shows that a minimum </w:t>
      </w:r>
      <w:r w:rsidR="007126CF">
        <w:t>slope of</w:t>
      </w:r>
      <w:r w:rsidR="00CC0B1B">
        <w:t xml:space="preserve"> 0.3 </w:t>
      </w:r>
      <w:r w:rsidR="00940DF2">
        <w:t xml:space="preserve">metre </w:t>
      </w:r>
      <w:r w:rsidR="007126CF">
        <w:t>at</w:t>
      </w:r>
      <w:r w:rsidR="00634EAF">
        <w:t xml:space="preserve"> Ifo LGA </w:t>
      </w:r>
      <w:r w:rsidR="00CC0B1B">
        <w:t>an</w:t>
      </w:r>
      <w:r w:rsidR="00634EAF">
        <w:t xml:space="preserve">d a maximum </w:t>
      </w:r>
      <w:r w:rsidR="007126CF">
        <w:t>slope</w:t>
      </w:r>
      <w:r w:rsidR="00634EAF">
        <w:t xml:space="preserve"> </w:t>
      </w:r>
      <w:r w:rsidR="007126CF">
        <w:t>of 24.3 metre</w:t>
      </w:r>
      <w:r w:rsidR="00634EAF">
        <w:t xml:space="preserve"> was identified along the river at Abeokuta South LGA. The average annual discharge ranges from 82.8m</w:t>
      </w:r>
      <w:r w:rsidR="00634EAF" w:rsidRPr="00634EAF">
        <w:rPr>
          <w:vertAlign w:val="superscript"/>
        </w:rPr>
        <w:t>3</w:t>
      </w:r>
      <w:r w:rsidR="00634EAF">
        <w:t xml:space="preserve"> in Odeda to 183.4m</w:t>
      </w:r>
      <w:r w:rsidR="00634EAF" w:rsidRPr="00634EAF">
        <w:rPr>
          <w:vertAlign w:val="superscript"/>
        </w:rPr>
        <w:t>3</w:t>
      </w:r>
      <w:r w:rsidR="00634EAF">
        <w:t xml:space="preserve"> in Ifo</w:t>
      </w:r>
      <w:r w:rsidR="00940DF2">
        <w:t>. The quantity of discharge increases as the river flows towards the south in Ifo</w:t>
      </w:r>
      <w:r w:rsidR="007126CF">
        <w:t xml:space="preserve"> LGA</w:t>
      </w:r>
      <w:r w:rsidR="00940DF2">
        <w:t xml:space="preserve">. </w:t>
      </w:r>
      <w:r>
        <w:t xml:space="preserve">The analysis revealed that there is a wide variability in head and discharge distribution along the river course. Hence, the river </w:t>
      </w:r>
      <w:r w:rsidR="004A7390">
        <w:t xml:space="preserve">can support the generation of varying level of electricity. </w:t>
      </w:r>
    </w:p>
    <w:p w14:paraId="3AD80962" w14:textId="31C8CA0F" w:rsidR="00940DF2" w:rsidRPr="00634EAF" w:rsidRDefault="00940DF2" w:rsidP="00940DF2">
      <w:pPr>
        <w:spacing w:after="0" w:line="240" w:lineRule="auto"/>
        <w:jc w:val="both"/>
      </w:pPr>
      <w:r w:rsidRPr="004A7390">
        <w:rPr>
          <w:b/>
          <w:bCs/>
        </w:rPr>
        <w:t xml:space="preserve">Table </w:t>
      </w:r>
      <w:r w:rsidR="00714F18" w:rsidRPr="004A7390">
        <w:rPr>
          <w:b/>
          <w:bCs/>
        </w:rPr>
        <w:t>3</w:t>
      </w:r>
      <w:r w:rsidRPr="004A7390">
        <w:rPr>
          <w:b/>
          <w:bCs/>
        </w:rPr>
        <w:t>:</w:t>
      </w:r>
      <w:r>
        <w:t xml:space="preserve"> </w:t>
      </w:r>
      <w:r w:rsidR="007D4A67">
        <w:t>Slope</w:t>
      </w:r>
      <w:r>
        <w:t xml:space="preserve"> and Quantity of Discharge</w:t>
      </w:r>
      <w:r w:rsidR="007D4A67">
        <w:t xml:space="preserve"> along River Ogun</w:t>
      </w:r>
    </w:p>
    <w:tbl>
      <w:tblPr>
        <w:tblW w:w="5000" w:type="pct"/>
        <w:tblLayout w:type="fixed"/>
        <w:tblLook w:val="04A0" w:firstRow="1" w:lastRow="0" w:firstColumn="1" w:lastColumn="0" w:noHBand="0" w:noVBand="1"/>
      </w:tblPr>
      <w:tblGrid>
        <w:gridCol w:w="1585"/>
        <w:gridCol w:w="996"/>
        <w:gridCol w:w="1165"/>
        <w:gridCol w:w="1579"/>
        <w:gridCol w:w="1579"/>
        <w:gridCol w:w="1578"/>
      </w:tblGrid>
      <w:tr w:rsidR="006D1514" w:rsidRPr="004826E1" w14:paraId="04F3ECC0" w14:textId="77777777" w:rsidTr="009A1995">
        <w:trPr>
          <w:trHeight w:val="310"/>
        </w:trPr>
        <w:tc>
          <w:tcPr>
            <w:tcW w:w="934" w:type="pct"/>
            <w:tcBorders>
              <w:top w:val="single" w:sz="4" w:space="0" w:color="auto"/>
              <w:left w:val="nil"/>
              <w:bottom w:val="single" w:sz="4" w:space="0" w:color="auto"/>
              <w:right w:val="nil"/>
            </w:tcBorders>
            <w:shd w:val="clear" w:color="auto" w:fill="auto"/>
            <w:noWrap/>
            <w:vAlign w:val="bottom"/>
            <w:hideMark/>
          </w:tcPr>
          <w:p w14:paraId="6348D39D" w14:textId="77777777" w:rsidR="006D1514" w:rsidRPr="00394237" w:rsidRDefault="006D1514" w:rsidP="00D35635">
            <w:pPr>
              <w:spacing w:after="0" w:line="240" w:lineRule="auto"/>
              <w:rPr>
                <w:rFonts w:eastAsia="Times New Roman" w:cs="Times New Roman"/>
                <w:b/>
                <w:bCs/>
                <w:color w:val="000000"/>
                <w:sz w:val="20"/>
                <w:szCs w:val="20"/>
                <w:lang w:eastAsia="en-GB"/>
              </w:rPr>
            </w:pPr>
            <w:r w:rsidRPr="00394237">
              <w:rPr>
                <w:rFonts w:eastAsia="Times New Roman" w:cs="Times New Roman"/>
                <w:b/>
                <w:bCs/>
                <w:color w:val="000000"/>
                <w:sz w:val="20"/>
                <w:szCs w:val="20"/>
                <w:lang w:eastAsia="en-GB"/>
              </w:rPr>
              <w:t> River</w:t>
            </w:r>
          </w:p>
        </w:tc>
        <w:tc>
          <w:tcPr>
            <w:tcW w:w="587" w:type="pct"/>
            <w:tcBorders>
              <w:top w:val="single" w:sz="4" w:space="0" w:color="auto"/>
              <w:left w:val="nil"/>
              <w:bottom w:val="single" w:sz="4" w:space="0" w:color="auto"/>
              <w:right w:val="nil"/>
            </w:tcBorders>
            <w:shd w:val="clear" w:color="auto" w:fill="auto"/>
            <w:noWrap/>
            <w:vAlign w:val="bottom"/>
            <w:hideMark/>
          </w:tcPr>
          <w:p w14:paraId="7BEB174E" w14:textId="0DC2A19A" w:rsidR="006D1514" w:rsidRPr="00394237" w:rsidRDefault="006D1514" w:rsidP="00D35635">
            <w:pPr>
              <w:spacing w:after="0" w:line="240" w:lineRule="auto"/>
              <w:jc w:val="center"/>
              <w:rPr>
                <w:rFonts w:eastAsia="Times New Roman" w:cs="Times New Roman"/>
                <w:b/>
                <w:bCs/>
                <w:color w:val="000000"/>
                <w:sz w:val="20"/>
                <w:szCs w:val="20"/>
                <w:lang w:eastAsia="en-GB"/>
              </w:rPr>
            </w:pPr>
            <w:r w:rsidRPr="00394237">
              <w:rPr>
                <w:rFonts w:eastAsia="Times New Roman" w:cs="Times New Roman"/>
                <w:b/>
                <w:bCs/>
                <w:color w:val="000000"/>
                <w:sz w:val="20"/>
                <w:szCs w:val="20"/>
                <w:lang w:eastAsia="en-GB"/>
              </w:rPr>
              <w:t>M</w:t>
            </w:r>
            <w:r>
              <w:rPr>
                <w:rFonts w:eastAsia="Times New Roman" w:cs="Times New Roman"/>
                <w:b/>
                <w:bCs/>
                <w:color w:val="000000"/>
                <w:sz w:val="20"/>
                <w:szCs w:val="20"/>
                <w:lang w:eastAsia="en-GB"/>
              </w:rPr>
              <w:t>in</w:t>
            </w:r>
            <w:r w:rsidRPr="00394237">
              <w:rPr>
                <w:rFonts w:eastAsia="Times New Roman" w:cs="Times New Roman"/>
                <w:b/>
                <w:bCs/>
                <w:color w:val="000000"/>
                <w:sz w:val="20"/>
                <w:szCs w:val="20"/>
                <w:lang w:eastAsia="en-GB"/>
              </w:rPr>
              <w:t xml:space="preserve"> </w:t>
            </w:r>
            <w:r>
              <w:rPr>
                <w:rFonts w:eastAsia="Times New Roman" w:cs="Times New Roman"/>
                <w:b/>
                <w:bCs/>
                <w:color w:val="000000"/>
                <w:sz w:val="20"/>
                <w:szCs w:val="20"/>
                <w:lang w:eastAsia="en-GB"/>
              </w:rPr>
              <w:t>head</w:t>
            </w:r>
          </w:p>
        </w:tc>
        <w:tc>
          <w:tcPr>
            <w:tcW w:w="687" w:type="pct"/>
            <w:tcBorders>
              <w:top w:val="single" w:sz="4" w:space="0" w:color="auto"/>
              <w:left w:val="nil"/>
              <w:bottom w:val="single" w:sz="4" w:space="0" w:color="auto"/>
              <w:right w:val="nil"/>
            </w:tcBorders>
            <w:shd w:val="clear" w:color="auto" w:fill="auto"/>
            <w:noWrap/>
            <w:vAlign w:val="bottom"/>
          </w:tcPr>
          <w:p w14:paraId="04EA1369" w14:textId="63C32072" w:rsidR="006D1514" w:rsidRPr="00394237" w:rsidRDefault="006D1514" w:rsidP="00D35635">
            <w:pPr>
              <w:spacing w:after="0" w:line="240" w:lineRule="auto"/>
              <w:jc w:val="center"/>
              <w:rPr>
                <w:rFonts w:eastAsia="Times New Roman" w:cs="Times New Roman"/>
                <w:b/>
                <w:bCs/>
                <w:color w:val="000000"/>
                <w:sz w:val="20"/>
                <w:szCs w:val="20"/>
                <w:lang w:eastAsia="en-GB"/>
              </w:rPr>
            </w:pPr>
            <w:r>
              <w:rPr>
                <w:rFonts w:eastAsia="Times New Roman" w:cs="Times New Roman"/>
                <w:b/>
                <w:bCs/>
                <w:color w:val="000000"/>
                <w:sz w:val="20"/>
                <w:szCs w:val="20"/>
                <w:lang w:eastAsia="en-GB"/>
              </w:rPr>
              <w:t>Max head</w:t>
            </w:r>
          </w:p>
        </w:tc>
        <w:tc>
          <w:tcPr>
            <w:tcW w:w="931" w:type="pct"/>
            <w:tcBorders>
              <w:top w:val="single" w:sz="4" w:space="0" w:color="auto"/>
              <w:left w:val="nil"/>
              <w:bottom w:val="single" w:sz="4" w:space="0" w:color="auto"/>
              <w:right w:val="nil"/>
            </w:tcBorders>
          </w:tcPr>
          <w:p w14:paraId="13C3F95B" w14:textId="176F4DDF" w:rsidR="006D1514" w:rsidRDefault="006D1514" w:rsidP="00D35635">
            <w:pPr>
              <w:spacing w:after="0" w:line="240" w:lineRule="auto"/>
              <w:jc w:val="center"/>
              <w:rPr>
                <w:rFonts w:eastAsia="Times New Roman" w:cs="Times New Roman"/>
                <w:b/>
                <w:bCs/>
                <w:color w:val="000000"/>
                <w:sz w:val="20"/>
                <w:szCs w:val="20"/>
                <w:lang w:eastAsia="en-GB"/>
              </w:rPr>
            </w:pPr>
            <w:r>
              <w:rPr>
                <w:rFonts w:eastAsia="Times New Roman" w:cs="Times New Roman"/>
                <w:b/>
                <w:bCs/>
                <w:color w:val="000000"/>
                <w:sz w:val="20"/>
                <w:szCs w:val="20"/>
                <w:lang w:eastAsia="en-GB"/>
              </w:rPr>
              <w:t xml:space="preserve">Min </w:t>
            </w:r>
            <w:r w:rsidR="00CC0B1B">
              <w:rPr>
                <w:rFonts w:eastAsia="Times New Roman" w:cs="Times New Roman"/>
                <w:b/>
                <w:bCs/>
                <w:color w:val="000000"/>
                <w:sz w:val="20"/>
                <w:szCs w:val="20"/>
                <w:lang w:eastAsia="en-GB"/>
              </w:rPr>
              <w:t>Monthly</w:t>
            </w:r>
          </w:p>
          <w:p w14:paraId="284DF645" w14:textId="45A27E08" w:rsidR="006D1514" w:rsidRPr="006D1514" w:rsidRDefault="006D1514" w:rsidP="00D35635">
            <w:pPr>
              <w:spacing w:after="0" w:line="240" w:lineRule="auto"/>
              <w:jc w:val="center"/>
              <w:rPr>
                <w:rFonts w:eastAsia="Times New Roman" w:cs="Times New Roman"/>
                <w:b/>
                <w:bCs/>
                <w:color w:val="000000"/>
                <w:sz w:val="20"/>
                <w:szCs w:val="20"/>
                <w:lang w:eastAsia="en-GB"/>
              </w:rPr>
            </w:pPr>
            <w:r>
              <w:rPr>
                <w:rFonts w:eastAsia="Times New Roman" w:cs="Times New Roman"/>
                <w:b/>
                <w:bCs/>
                <w:color w:val="000000"/>
                <w:sz w:val="20"/>
                <w:szCs w:val="20"/>
                <w:lang w:eastAsia="en-GB"/>
              </w:rPr>
              <w:t>Q/Discharge (m</w:t>
            </w:r>
            <w:r w:rsidRPr="006D1514">
              <w:rPr>
                <w:rFonts w:eastAsia="Times New Roman" w:cs="Times New Roman"/>
                <w:b/>
                <w:bCs/>
                <w:color w:val="000000"/>
                <w:sz w:val="20"/>
                <w:szCs w:val="20"/>
                <w:vertAlign w:val="superscript"/>
                <w:lang w:eastAsia="en-GB"/>
              </w:rPr>
              <w:t>3</w:t>
            </w:r>
            <w:r>
              <w:rPr>
                <w:rFonts w:eastAsia="Times New Roman" w:cs="Times New Roman"/>
                <w:b/>
                <w:bCs/>
                <w:color w:val="000000"/>
                <w:sz w:val="20"/>
                <w:szCs w:val="20"/>
                <w:lang w:eastAsia="en-GB"/>
              </w:rPr>
              <w:t>)</w:t>
            </w:r>
          </w:p>
        </w:tc>
        <w:tc>
          <w:tcPr>
            <w:tcW w:w="931" w:type="pct"/>
            <w:tcBorders>
              <w:top w:val="single" w:sz="4" w:space="0" w:color="auto"/>
              <w:left w:val="nil"/>
              <w:bottom w:val="single" w:sz="4" w:space="0" w:color="auto"/>
              <w:right w:val="nil"/>
            </w:tcBorders>
          </w:tcPr>
          <w:p w14:paraId="304D3E9E" w14:textId="3A5064A5" w:rsidR="006D1514" w:rsidRDefault="006D1514" w:rsidP="006D1514">
            <w:pPr>
              <w:spacing w:after="0" w:line="240" w:lineRule="auto"/>
              <w:jc w:val="center"/>
              <w:rPr>
                <w:rFonts w:eastAsia="Times New Roman" w:cs="Times New Roman"/>
                <w:b/>
                <w:bCs/>
                <w:color w:val="000000"/>
                <w:sz w:val="20"/>
                <w:szCs w:val="20"/>
                <w:lang w:eastAsia="en-GB"/>
              </w:rPr>
            </w:pPr>
            <w:r>
              <w:rPr>
                <w:rFonts w:eastAsia="Times New Roman" w:cs="Times New Roman"/>
                <w:b/>
                <w:bCs/>
                <w:color w:val="000000"/>
                <w:sz w:val="20"/>
                <w:szCs w:val="20"/>
                <w:lang w:eastAsia="en-GB"/>
              </w:rPr>
              <w:t xml:space="preserve">Max </w:t>
            </w:r>
            <w:r w:rsidR="00CC0B1B">
              <w:rPr>
                <w:rFonts w:eastAsia="Times New Roman" w:cs="Times New Roman"/>
                <w:b/>
                <w:bCs/>
                <w:color w:val="000000"/>
                <w:sz w:val="20"/>
                <w:szCs w:val="20"/>
                <w:lang w:eastAsia="en-GB"/>
              </w:rPr>
              <w:t>Monthly</w:t>
            </w:r>
          </w:p>
          <w:p w14:paraId="433F25A2" w14:textId="1E67FAE2" w:rsidR="006D1514" w:rsidRDefault="006D1514" w:rsidP="006D1514">
            <w:pPr>
              <w:spacing w:after="0" w:line="240" w:lineRule="auto"/>
              <w:jc w:val="center"/>
              <w:rPr>
                <w:rFonts w:eastAsia="Times New Roman" w:cs="Times New Roman"/>
                <w:b/>
                <w:bCs/>
                <w:color w:val="000000"/>
                <w:sz w:val="20"/>
                <w:szCs w:val="20"/>
                <w:lang w:eastAsia="en-GB"/>
              </w:rPr>
            </w:pPr>
            <w:r>
              <w:rPr>
                <w:rFonts w:eastAsia="Times New Roman" w:cs="Times New Roman"/>
                <w:b/>
                <w:bCs/>
                <w:color w:val="000000"/>
                <w:sz w:val="20"/>
                <w:szCs w:val="20"/>
                <w:lang w:eastAsia="en-GB"/>
              </w:rPr>
              <w:t>Q/Discharge (m</w:t>
            </w:r>
            <w:r w:rsidRPr="006D1514">
              <w:rPr>
                <w:rFonts w:eastAsia="Times New Roman" w:cs="Times New Roman"/>
                <w:b/>
                <w:bCs/>
                <w:color w:val="000000"/>
                <w:sz w:val="20"/>
                <w:szCs w:val="20"/>
                <w:vertAlign w:val="superscript"/>
                <w:lang w:eastAsia="en-GB"/>
              </w:rPr>
              <w:t>3</w:t>
            </w:r>
            <w:r>
              <w:rPr>
                <w:rFonts w:eastAsia="Times New Roman" w:cs="Times New Roman"/>
                <w:b/>
                <w:bCs/>
                <w:color w:val="000000"/>
                <w:sz w:val="20"/>
                <w:szCs w:val="20"/>
                <w:lang w:eastAsia="en-GB"/>
              </w:rPr>
              <w:t>)</w:t>
            </w:r>
          </w:p>
        </w:tc>
        <w:tc>
          <w:tcPr>
            <w:tcW w:w="930" w:type="pct"/>
            <w:tcBorders>
              <w:top w:val="single" w:sz="4" w:space="0" w:color="auto"/>
              <w:left w:val="nil"/>
              <w:bottom w:val="single" w:sz="4" w:space="0" w:color="auto"/>
              <w:right w:val="nil"/>
            </w:tcBorders>
            <w:shd w:val="clear" w:color="auto" w:fill="auto"/>
            <w:noWrap/>
            <w:vAlign w:val="bottom"/>
          </w:tcPr>
          <w:p w14:paraId="5B467579" w14:textId="77777777" w:rsidR="00CC0B1B" w:rsidRDefault="00CC0B1B" w:rsidP="00D35635">
            <w:pPr>
              <w:spacing w:after="0" w:line="240" w:lineRule="auto"/>
              <w:jc w:val="center"/>
              <w:rPr>
                <w:rFonts w:eastAsia="Times New Roman" w:cs="Times New Roman"/>
                <w:b/>
                <w:bCs/>
                <w:color w:val="000000"/>
                <w:sz w:val="20"/>
                <w:szCs w:val="20"/>
                <w:lang w:eastAsia="en-GB"/>
              </w:rPr>
            </w:pPr>
            <w:r>
              <w:rPr>
                <w:rFonts w:eastAsia="Times New Roman" w:cs="Times New Roman"/>
                <w:b/>
                <w:bCs/>
                <w:color w:val="000000"/>
                <w:sz w:val="20"/>
                <w:szCs w:val="20"/>
                <w:lang w:eastAsia="en-GB"/>
              </w:rPr>
              <w:t xml:space="preserve">Annual </w:t>
            </w:r>
          </w:p>
          <w:p w14:paraId="4106DF7D" w14:textId="46A8F832" w:rsidR="006D1514" w:rsidRDefault="006D1514" w:rsidP="00D35635">
            <w:pPr>
              <w:spacing w:after="0" w:line="240" w:lineRule="auto"/>
              <w:jc w:val="center"/>
              <w:rPr>
                <w:rFonts w:eastAsia="Times New Roman" w:cs="Times New Roman"/>
                <w:b/>
                <w:bCs/>
                <w:color w:val="000000"/>
                <w:sz w:val="20"/>
                <w:szCs w:val="20"/>
                <w:lang w:eastAsia="en-GB"/>
              </w:rPr>
            </w:pPr>
            <w:r>
              <w:rPr>
                <w:rFonts w:eastAsia="Times New Roman" w:cs="Times New Roman"/>
                <w:b/>
                <w:bCs/>
                <w:color w:val="000000"/>
                <w:sz w:val="20"/>
                <w:szCs w:val="20"/>
                <w:lang w:eastAsia="en-GB"/>
              </w:rPr>
              <w:t>Mean</w:t>
            </w:r>
          </w:p>
          <w:p w14:paraId="22F7513A" w14:textId="09B206D5" w:rsidR="006D1514" w:rsidRPr="00394237" w:rsidRDefault="006D1514" w:rsidP="00D35635">
            <w:pPr>
              <w:spacing w:after="0" w:line="240" w:lineRule="auto"/>
              <w:jc w:val="center"/>
              <w:rPr>
                <w:rFonts w:eastAsia="Times New Roman" w:cs="Times New Roman"/>
                <w:b/>
                <w:bCs/>
                <w:color w:val="000000"/>
                <w:sz w:val="20"/>
                <w:szCs w:val="20"/>
                <w:lang w:eastAsia="en-GB"/>
              </w:rPr>
            </w:pPr>
            <w:r>
              <w:rPr>
                <w:rFonts w:eastAsia="Times New Roman" w:cs="Times New Roman"/>
                <w:b/>
                <w:bCs/>
                <w:color w:val="000000"/>
                <w:sz w:val="20"/>
                <w:szCs w:val="20"/>
                <w:lang w:eastAsia="en-GB"/>
              </w:rPr>
              <w:t>Q/Discharge m</w:t>
            </w:r>
            <w:r w:rsidRPr="0022793A">
              <w:rPr>
                <w:rFonts w:eastAsia="Times New Roman" w:cs="Times New Roman"/>
                <w:b/>
                <w:bCs/>
                <w:color w:val="000000"/>
                <w:sz w:val="20"/>
                <w:szCs w:val="20"/>
                <w:vertAlign w:val="superscript"/>
                <w:lang w:eastAsia="en-GB"/>
              </w:rPr>
              <w:t>3</w:t>
            </w:r>
          </w:p>
        </w:tc>
      </w:tr>
      <w:tr w:rsidR="006D1514" w:rsidRPr="004826E1" w14:paraId="2320A2A7" w14:textId="77777777" w:rsidTr="0094328C">
        <w:trPr>
          <w:trHeight w:val="310"/>
        </w:trPr>
        <w:tc>
          <w:tcPr>
            <w:tcW w:w="934" w:type="pct"/>
            <w:tcBorders>
              <w:top w:val="nil"/>
              <w:left w:val="nil"/>
              <w:bottom w:val="nil"/>
              <w:right w:val="nil"/>
            </w:tcBorders>
            <w:shd w:val="clear" w:color="auto" w:fill="auto"/>
            <w:noWrap/>
            <w:vAlign w:val="center"/>
            <w:hideMark/>
          </w:tcPr>
          <w:p w14:paraId="1CCE2A97" w14:textId="12BBBFAD" w:rsidR="006D1514" w:rsidRPr="0094328C" w:rsidRDefault="009A1995" w:rsidP="00D35635">
            <w:pPr>
              <w:spacing w:after="0" w:line="240" w:lineRule="auto"/>
              <w:rPr>
                <w:rFonts w:eastAsia="Times New Roman" w:cs="Times New Roman"/>
                <w:color w:val="000000"/>
                <w:szCs w:val="24"/>
                <w:lang w:eastAsia="en-GB"/>
              </w:rPr>
            </w:pPr>
            <w:r w:rsidRPr="0094328C">
              <w:rPr>
                <w:rFonts w:eastAsia="Times New Roman" w:cs="Times New Roman"/>
                <w:color w:val="000000"/>
                <w:szCs w:val="24"/>
                <w:lang w:eastAsia="en-GB"/>
              </w:rPr>
              <w:t xml:space="preserve">Odeda </w:t>
            </w:r>
          </w:p>
        </w:tc>
        <w:tc>
          <w:tcPr>
            <w:tcW w:w="587" w:type="pct"/>
            <w:tcBorders>
              <w:top w:val="nil"/>
              <w:left w:val="nil"/>
              <w:bottom w:val="nil"/>
              <w:right w:val="nil"/>
            </w:tcBorders>
            <w:shd w:val="clear" w:color="auto" w:fill="auto"/>
            <w:noWrap/>
            <w:vAlign w:val="center"/>
          </w:tcPr>
          <w:p w14:paraId="2C44961C" w14:textId="19EF1605" w:rsidR="006D1514" w:rsidRPr="0094328C" w:rsidRDefault="006D1514" w:rsidP="00D35635">
            <w:pPr>
              <w:spacing w:after="0" w:line="240" w:lineRule="auto"/>
              <w:jc w:val="center"/>
              <w:rPr>
                <w:rFonts w:eastAsia="Times New Roman" w:cs="Times New Roman"/>
                <w:color w:val="000000"/>
                <w:szCs w:val="24"/>
                <w:lang w:eastAsia="en-GB"/>
              </w:rPr>
            </w:pPr>
            <w:r w:rsidRPr="0094328C">
              <w:rPr>
                <w:rFonts w:eastAsia="Times New Roman" w:cs="Times New Roman"/>
                <w:color w:val="000000"/>
                <w:szCs w:val="24"/>
                <w:lang w:eastAsia="en-GB"/>
              </w:rPr>
              <w:t>0.7</w:t>
            </w:r>
          </w:p>
        </w:tc>
        <w:tc>
          <w:tcPr>
            <w:tcW w:w="687" w:type="pct"/>
            <w:tcBorders>
              <w:top w:val="nil"/>
              <w:left w:val="nil"/>
              <w:bottom w:val="nil"/>
              <w:right w:val="nil"/>
            </w:tcBorders>
            <w:shd w:val="clear" w:color="auto" w:fill="auto"/>
            <w:noWrap/>
            <w:vAlign w:val="center"/>
          </w:tcPr>
          <w:p w14:paraId="5E3F6CF0" w14:textId="65E00E95" w:rsidR="006D1514" w:rsidRPr="0094328C" w:rsidRDefault="00634EAF" w:rsidP="00D35635">
            <w:pPr>
              <w:spacing w:after="0" w:line="240" w:lineRule="auto"/>
              <w:jc w:val="center"/>
              <w:rPr>
                <w:rFonts w:eastAsia="Times New Roman" w:cs="Times New Roman"/>
                <w:color w:val="000000"/>
                <w:szCs w:val="24"/>
                <w:lang w:eastAsia="en-GB"/>
              </w:rPr>
            </w:pPr>
            <w:r w:rsidRPr="0094328C">
              <w:rPr>
                <w:rFonts w:eastAsia="Times New Roman" w:cs="Times New Roman"/>
                <w:color w:val="000000"/>
                <w:szCs w:val="24"/>
                <w:lang w:eastAsia="en-GB"/>
              </w:rPr>
              <w:t>1</w:t>
            </w:r>
            <w:r w:rsidR="006D1514" w:rsidRPr="0094328C">
              <w:rPr>
                <w:rFonts w:eastAsia="Times New Roman" w:cs="Times New Roman"/>
                <w:color w:val="000000"/>
                <w:szCs w:val="24"/>
                <w:lang w:eastAsia="en-GB"/>
              </w:rPr>
              <w:t>8.2</w:t>
            </w:r>
          </w:p>
        </w:tc>
        <w:tc>
          <w:tcPr>
            <w:tcW w:w="931" w:type="pct"/>
            <w:tcBorders>
              <w:top w:val="nil"/>
              <w:left w:val="nil"/>
              <w:bottom w:val="nil"/>
              <w:right w:val="nil"/>
            </w:tcBorders>
            <w:vAlign w:val="center"/>
          </w:tcPr>
          <w:p w14:paraId="21AFCA88" w14:textId="297EA0C8" w:rsidR="006D1514" w:rsidRPr="0094328C" w:rsidRDefault="009A1995" w:rsidP="00D35635">
            <w:pPr>
              <w:spacing w:after="0" w:line="240" w:lineRule="auto"/>
              <w:jc w:val="center"/>
              <w:rPr>
                <w:rFonts w:eastAsia="Times New Roman" w:cs="Times New Roman"/>
                <w:color w:val="000000"/>
                <w:szCs w:val="24"/>
                <w:lang w:eastAsia="en-GB"/>
              </w:rPr>
            </w:pPr>
            <w:r w:rsidRPr="0094328C">
              <w:rPr>
                <w:rFonts w:eastAsia="Times New Roman" w:cs="Times New Roman"/>
                <w:color w:val="000000"/>
                <w:szCs w:val="24"/>
                <w:lang w:eastAsia="en-GB"/>
              </w:rPr>
              <w:t>4.1</w:t>
            </w:r>
          </w:p>
        </w:tc>
        <w:tc>
          <w:tcPr>
            <w:tcW w:w="931" w:type="pct"/>
            <w:tcBorders>
              <w:top w:val="nil"/>
              <w:left w:val="nil"/>
              <w:bottom w:val="nil"/>
              <w:right w:val="nil"/>
            </w:tcBorders>
            <w:vAlign w:val="center"/>
          </w:tcPr>
          <w:p w14:paraId="01F271D6" w14:textId="23C4EDAB" w:rsidR="006D1514" w:rsidRPr="0094328C" w:rsidRDefault="009A1995" w:rsidP="00D35635">
            <w:pPr>
              <w:spacing w:after="0" w:line="240" w:lineRule="auto"/>
              <w:jc w:val="center"/>
              <w:rPr>
                <w:rFonts w:eastAsia="Times New Roman" w:cs="Times New Roman"/>
                <w:color w:val="000000"/>
                <w:szCs w:val="24"/>
                <w:lang w:eastAsia="en-GB"/>
              </w:rPr>
            </w:pPr>
            <w:r w:rsidRPr="0094328C">
              <w:rPr>
                <w:rFonts w:eastAsia="Times New Roman" w:cs="Times New Roman"/>
                <w:color w:val="000000"/>
                <w:szCs w:val="24"/>
                <w:lang w:eastAsia="en-GB"/>
              </w:rPr>
              <w:t>368</w:t>
            </w:r>
          </w:p>
        </w:tc>
        <w:tc>
          <w:tcPr>
            <w:tcW w:w="930" w:type="pct"/>
            <w:tcBorders>
              <w:top w:val="nil"/>
              <w:left w:val="nil"/>
              <w:bottom w:val="nil"/>
              <w:right w:val="nil"/>
            </w:tcBorders>
            <w:shd w:val="clear" w:color="auto" w:fill="auto"/>
            <w:noWrap/>
            <w:vAlign w:val="center"/>
          </w:tcPr>
          <w:p w14:paraId="424318F1" w14:textId="66ACD489" w:rsidR="006D1514" w:rsidRPr="0094328C" w:rsidRDefault="004D0D35" w:rsidP="00D35635">
            <w:pPr>
              <w:spacing w:after="0" w:line="240" w:lineRule="auto"/>
              <w:jc w:val="center"/>
              <w:rPr>
                <w:rFonts w:eastAsia="Times New Roman" w:cs="Times New Roman"/>
                <w:color w:val="000000"/>
                <w:szCs w:val="24"/>
                <w:lang w:eastAsia="en-GB"/>
              </w:rPr>
            </w:pPr>
            <w:r w:rsidRPr="0094328C">
              <w:rPr>
                <w:rFonts w:eastAsia="Times New Roman" w:cs="Times New Roman"/>
                <w:color w:val="000000"/>
                <w:szCs w:val="24"/>
                <w:lang w:eastAsia="en-GB"/>
              </w:rPr>
              <w:t>82.8</w:t>
            </w:r>
          </w:p>
        </w:tc>
      </w:tr>
      <w:tr w:rsidR="006D1514" w:rsidRPr="004826E1" w14:paraId="697B567C" w14:textId="77777777" w:rsidTr="0094328C">
        <w:trPr>
          <w:trHeight w:val="310"/>
        </w:trPr>
        <w:tc>
          <w:tcPr>
            <w:tcW w:w="934" w:type="pct"/>
            <w:tcBorders>
              <w:top w:val="nil"/>
              <w:left w:val="nil"/>
              <w:bottom w:val="nil"/>
              <w:right w:val="nil"/>
            </w:tcBorders>
            <w:shd w:val="clear" w:color="auto" w:fill="auto"/>
            <w:noWrap/>
            <w:vAlign w:val="center"/>
          </w:tcPr>
          <w:p w14:paraId="360CB6FC" w14:textId="47B512C2" w:rsidR="006D1514" w:rsidRPr="0094328C" w:rsidRDefault="004D0D35" w:rsidP="00D35635">
            <w:pPr>
              <w:spacing w:after="0" w:line="240" w:lineRule="auto"/>
              <w:rPr>
                <w:rFonts w:eastAsia="Times New Roman" w:cs="Times New Roman"/>
                <w:color w:val="000000"/>
                <w:szCs w:val="24"/>
                <w:lang w:eastAsia="en-GB"/>
              </w:rPr>
            </w:pPr>
            <w:r w:rsidRPr="0094328C">
              <w:rPr>
                <w:rFonts w:eastAsia="Times New Roman" w:cs="Times New Roman"/>
                <w:color w:val="000000"/>
                <w:szCs w:val="24"/>
                <w:lang w:eastAsia="en-GB"/>
              </w:rPr>
              <w:t>Abeokuta North</w:t>
            </w:r>
          </w:p>
        </w:tc>
        <w:tc>
          <w:tcPr>
            <w:tcW w:w="587" w:type="pct"/>
            <w:tcBorders>
              <w:top w:val="nil"/>
              <w:left w:val="nil"/>
              <w:bottom w:val="nil"/>
              <w:right w:val="nil"/>
            </w:tcBorders>
            <w:shd w:val="clear" w:color="auto" w:fill="auto"/>
            <w:noWrap/>
            <w:vAlign w:val="center"/>
          </w:tcPr>
          <w:p w14:paraId="20D4C4FB" w14:textId="0D0B5D57" w:rsidR="006D1514" w:rsidRPr="0094328C" w:rsidRDefault="006D1514" w:rsidP="00D35635">
            <w:pPr>
              <w:spacing w:after="0" w:line="240" w:lineRule="auto"/>
              <w:jc w:val="center"/>
              <w:rPr>
                <w:rFonts w:eastAsia="Times New Roman" w:cs="Times New Roman"/>
                <w:color w:val="000000"/>
                <w:szCs w:val="24"/>
                <w:lang w:eastAsia="en-GB"/>
              </w:rPr>
            </w:pPr>
            <w:r w:rsidRPr="0094328C">
              <w:rPr>
                <w:rFonts w:eastAsia="Times New Roman" w:cs="Times New Roman"/>
                <w:color w:val="000000"/>
                <w:szCs w:val="24"/>
                <w:lang w:eastAsia="en-GB"/>
              </w:rPr>
              <w:t>0.9</w:t>
            </w:r>
          </w:p>
        </w:tc>
        <w:tc>
          <w:tcPr>
            <w:tcW w:w="687" w:type="pct"/>
            <w:tcBorders>
              <w:top w:val="nil"/>
              <w:left w:val="nil"/>
              <w:bottom w:val="nil"/>
              <w:right w:val="nil"/>
            </w:tcBorders>
            <w:shd w:val="clear" w:color="auto" w:fill="auto"/>
            <w:noWrap/>
            <w:vAlign w:val="center"/>
          </w:tcPr>
          <w:p w14:paraId="1D958616" w14:textId="5F9C5E1E" w:rsidR="006D1514" w:rsidRPr="0094328C" w:rsidRDefault="00634EAF" w:rsidP="00D35635">
            <w:pPr>
              <w:spacing w:after="0" w:line="240" w:lineRule="auto"/>
              <w:jc w:val="center"/>
              <w:rPr>
                <w:rFonts w:eastAsia="Times New Roman" w:cs="Times New Roman"/>
                <w:color w:val="000000"/>
                <w:szCs w:val="24"/>
                <w:lang w:eastAsia="en-GB"/>
              </w:rPr>
            </w:pPr>
            <w:r w:rsidRPr="0094328C">
              <w:rPr>
                <w:rFonts w:eastAsia="Times New Roman" w:cs="Times New Roman"/>
                <w:color w:val="000000"/>
                <w:szCs w:val="24"/>
                <w:lang w:eastAsia="en-GB"/>
              </w:rPr>
              <w:t>1</w:t>
            </w:r>
            <w:r w:rsidR="006D1514" w:rsidRPr="0094328C">
              <w:rPr>
                <w:rFonts w:eastAsia="Times New Roman" w:cs="Times New Roman"/>
                <w:color w:val="000000"/>
                <w:szCs w:val="24"/>
                <w:lang w:eastAsia="en-GB"/>
              </w:rPr>
              <w:t>4.1</w:t>
            </w:r>
          </w:p>
        </w:tc>
        <w:tc>
          <w:tcPr>
            <w:tcW w:w="931" w:type="pct"/>
            <w:tcBorders>
              <w:top w:val="nil"/>
              <w:left w:val="nil"/>
              <w:bottom w:val="nil"/>
              <w:right w:val="nil"/>
            </w:tcBorders>
            <w:vAlign w:val="center"/>
          </w:tcPr>
          <w:p w14:paraId="54F5B85C" w14:textId="525D6849" w:rsidR="006D1514" w:rsidRPr="0094328C" w:rsidRDefault="009A1995" w:rsidP="00D35635">
            <w:pPr>
              <w:spacing w:after="0" w:line="240" w:lineRule="auto"/>
              <w:jc w:val="center"/>
              <w:rPr>
                <w:rFonts w:eastAsia="Times New Roman" w:cs="Times New Roman"/>
                <w:color w:val="000000"/>
                <w:szCs w:val="24"/>
                <w:lang w:eastAsia="en-GB"/>
              </w:rPr>
            </w:pPr>
            <w:r w:rsidRPr="0094328C">
              <w:rPr>
                <w:rFonts w:eastAsia="Times New Roman" w:cs="Times New Roman"/>
                <w:color w:val="000000"/>
                <w:szCs w:val="24"/>
                <w:lang w:eastAsia="en-GB"/>
              </w:rPr>
              <w:t>4.94</w:t>
            </w:r>
          </w:p>
        </w:tc>
        <w:tc>
          <w:tcPr>
            <w:tcW w:w="931" w:type="pct"/>
            <w:tcBorders>
              <w:top w:val="nil"/>
              <w:left w:val="nil"/>
              <w:bottom w:val="nil"/>
              <w:right w:val="nil"/>
            </w:tcBorders>
            <w:vAlign w:val="center"/>
          </w:tcPr>
          <w:p w14:paraId="73E2BA11" w14:textId="76F143B6" w:rsidR="006D1514" w:rsidRPr="0094328C" w:rsidRDefault="009A1995" w:rsidP="00D35635">
            <w:pPr>
              <w:spacing w:after="0" w:line="240" w:lineRule="auto"/>
              <w:jc w:val="center"/>
              <w:rPr>
                <w:rFonts w:eastAsia="Times New Roman" w:cs="Times New Roman"/>
                <w:color w:val="000000"/>
                <w:szCs w:val="24"/>
                <w:lang w:eastAsia="en-GB"/>
              </w:rPr>
            </w:pPr>
            <w:r w:rsidRPr="0094328C">
              <w:rPr>
                <w:rFonts w:eastAsia="Times New Roman" w:cs="Times New Roman"/>
                <w:color w:val="000000"/>
                <w:szCs w:val="24"/>
                <w:lang w:eastAsia="en-GB"/>
              </w:rPr>
              <w:t>612</w:t>
            </w:r>
          </w:p>
        </w:tc>
        <w:tc>
          <w:tcPr>
            <w:tcW w:w="930" w:type="pct"/>
            <w:tcBorders>
              <w:top w:val="nil"/>
              <w:left w:val="nil"/>
              <w:bottom w:val="nil"/>
              <w:right w:val="nil"/>
            </w:tcBorders>
            <w:shd w:val="clear" w:color="auto" w:fill="auto"/>
            <w:noWrap/>
            <w:vAlign w:val="center"/>
          </w:tcPr>
          <w:p w14:paraId="0C45B69D" w14:textId="440E62AB" w:rsidR="006D1514" w:rsidRPr="0094328C" w:rsidRDefault="004D0D35" w:rsidP="00D35635">
            <w:pPr>
              <w:spacing w:after="0" w:line="240" w:lineRule="auto"/>
              <w:jc w:val="center"/>
              <w:rPr>
                <w:rFonts w:eastAsia="Times New Roman" w:cs="Times New Roman"/>
                <w:color w:val="000000"/>
                <w:szCs w:val="24"/>
                <w:lang w:eastAsia="en-GB"/>
              </w:rPr>
            </w:pPr>
            <w:r w:rsidRPr="0094328C">
              <w:rPr>
                <w:rFonts w:eastAsia="Times New Roman" w:cs="Times New Roman"/>
                <w:color w:val="000000"/>
                <w:szCs w:val="24"/>
                <w:lang w:eastAsia="en-GB"/>
              </w:rPr>
              <w:t>132.5</w:t>
            </w:r>
          </w:p>
        </w:tc>
      </w:tr>
      <w:tr w:rsidR="009A1995" w:rsidRPr="004826E1" w14:paraId="62CE0BCF" w14:textId="77777777" w:rsidTr="0094328C">
        <w:trPr>
          <w:trHeight w:val="310"/>
        </w:trPr>
        <w:tc>
          <w:tcPr>
            <w:tcW w:w="934" w:type="pct"/>
            <w:tcBorders>
              <w:top w:val="nil"/>
              <w:left w:val="nil"/>
              <w:bottom w:val="nil"/>
              <w:right w:val="nil"/>
            </w:tcBorders>
            <w:shd w:val="clear" w:color="auto" w:fill="auto"/>
            <w:noWrap/>
            <w:vAlign w:val="center"/>
          </w:tcPr>
          <w:p w14:paraId="3BB1CEC1" w14:textId="5B9C5CF2" w:rsidR="009A1995" w:rsidRPr="0094328C" w:rsidRDefault="009A1995" w:rsidP="009A1995">
            <w:pPr>
              <w:spacing w:after="0" w:line="240" w:lineRule="auto"/>
              <w:rPr>
                <w:rFonts w:eastAsia="Times New Roman" w:cs="Times New Roman"/>
                <w:color w:val="000000"/>
                <w:szCs w:val="24"/>
                <w:lang w:eastAsia="en-GB"/>
              </w:rPr>
            </w:pPr>
            <w:r w:rsidRPr="0094328C">
              <w:rPr>
                <w:rFonts w:eastAsia="Times New Roman" w:cs="Times New Roman"/>
                <w:color w:val="000000"/>
                <w:szCs w:val="24"/>
                <w:lang w:eastAsia="en-GB"/>
              </w:rPr>
              <w:t>Abeokuta South</w:t>
            </w:r>
          </w:p>
        </w:tc>
        <w:tc>
          <w:tcPr>
            <w:tcW w:w="587" w:type="pct"/>
            <w:tcBorders>
              <w:top w:val="nil"/>
              <w:left w:val="nil"/>
              <w:bottom w:val="nil"/>
              <w:right w:val="nil"/>
            </w:tcBorders>
            <w:shd w:val="clear" w:color="auto" w:fill="auto"/>
            <w:noWrap/>
            <w:vAlign w:val="center"/>
          </w:tcPr>
          <w:p w14:paraId="2F5597AF" w14:textId="24AB5324" w:rsidR="009A1995" w:rsidRPr="0094328C" w:rsidRDefault="009A1995" w:rsidP="009A1995">
            <w:pPr>
              <w:spacing w:after="0" w:line="240" w:lineRule="auto"/>
              <w:jc w:val="center"/>
              <w:rPr>
                <w:rFonts w:eastAsia="Times New Roman" w:cs="Times New Roman"/>
                <w:color w:val="000000"/>
                <w:szCs w:val="24"/>
                <w:lang w:eastAsia="en-GB"/>
              </w:rPr>
            </w:pPr>
            <w:r w:rsidRPr="0094328C">
              <w:rPr>
                <w:rFonts w:eastAsia="Times New Roman" w:cs="Times New Roman"/>
                <w:color w:val="000000"/>
                <w:szCs w:val="24"/>
                <w:lang w:eastAsia="en-GB"/>
              </w:rPr>
              <w:t>0.4</w:t>
            </w:r>
          </w:p>
        </w:tc>
        <w:tc>
          <w:tcPr>
            <w:tcW w:w="687" w:type="pct"/>
            <w:tcBorders>
              <w:top w:val="nil"/>
              <w:left w:val="nil"/>
              <w:bottom w:val="nil"/>
              <w:right w:val="nil"/>
            </w:tcBorders>
            <w:shd w:val="clear" w:color="auto" w:fill="auto"/>
            <w:noWrap/>
            <w:vAlign w:val="center"/>
          </w:tcPr>
          <w:p w14:paraId="01A8D8B0" w14:textId="5478E0BE" w:rsidR="009A1995" w:rsidRPr="0094328C" w:rsidRDefault="00634EAF" w:rsidP="009A1995">
            <w:pPr>
              <w:spacing w:after="0" w:line="240" w:lineRule="auto"/>
              <w:jc w:val="center"/>
              <w:rPr>
                <w:rFonts w:eastAsia="Times New Roman" w:cs="Times New Roman"/>
                <w:color w:val="000000"/>
                <w:szCs w:val="24"/>
                <w:lang w:eastAsia="en-GB"/>
              </w:rPr>
            </w:pPr>
            <w:r w:rsidRPr="0094328C">
              <w:rPr>
                <w:rFonts w:eastAsia="Times New Roman" w:cs="Times New Roman"/>
                <w:color w:val="000000"/>
                <w:szCs w:val="24"/>
                <w:lang w:eastAsia="en-GB"/>
              </w:rPr>
              <w:t>24.3</w:t>
            </w:r>
          </w:p>
        </w:tc>
        <w:tc>
          <w:tcPr>
            <w:tcW w:w="931" w:type="pct"/>
            <w:tcBorders>
              <w:top w:val="nil"/>
              <w:left w:val="nil"/>
              <w:bottom w:val="nil"/>
              <w:right w:val="nil"/>
            </w:tcBorders>
            <w:vAlign w:val="center"/>
          </w:tcPr>
          <w:p w14:paraId="515361A0" w14:textId="7787AE49" w:rsidR="009A1995" w:rsidRPr="0094328C" w:rsidRDefault="009A1995" w:rsidP="009A1995">
            <w:pPr>
              <w:spacing w:after="0" w:line="240" w:lineRule="auto"/>
              <w:jc w:val="center"/>
              <w:rPr>
                <w:rFonts w:eastAsia="Times New Roman" w:cs="Times New Roman"/>
                <w:color w:val="000000"/>
                <w:szCs w:val="24"/>
                <w:lang w:eastAsia="en-GB"/>
              </w:rPr>
            </w:pPr>
            <w:r w:rsidRPr="0094328C">
              <w:rPr>
                <w:rFonts w:eastAsia="Times New Roman" w:cs="Times New Roman"/>
                <w:color w:val="000000"/>
                <w:szCs w:val="24"/>
                <w:lang w:eastAsia="en-GB"/>
              </w:rPr>
              <w:t>9.77</w:t>
            </w:r>
          </w:p>
        </w:tc>
        <w:tc>
          <w:tcPr>
            <w:tcW w:w="931" w:type="pct"/>
            <w:tcBorders>
              <w:top w:val="nil"/>
              <w:left w:val="nil"/>
              <w:bottom w:val="nil"/>
              <w:right w:val="nil"/>
            </w:tcBorders>
            <w:vAlign w:val="center"/>
          </w:tcPr>
          <w:p w14:paraId="62D6F877" w14:textId="669A9489" w:rsidR="009A1995" w:rsidRPr="0094328C" w:rsidRDefault="009A1995" w:rsidP="009A1995">
            <w:pPr>
              <w:spacing w:after="0" w:line="240" w:lineRule="auto"/>
              <w:jc w:val="center"/>
              <w:rPr>
                <w:rFonts w:eastAsia="Times New Roman" w:cs="Times New Roman"/>
                <w:color w:val="000000"/>
                <w:szCs w:val="24"/>
                <w:lang w:eastAsia="en-GB"/>
              </w:rPr>
            </w:pPr>
            <w:r w:rsidRPr="0094328C">
              <w:rPr>
                <w:rFonts w:eastAsia="Times New Roman" w:cs="Times New Roman"/>
                <w:color w:val="000000"/>
                <w:szCs w:val="24"/>
                <w:lang w:eastAsia="en-GB"/>
              </w:rPr>
              <w:t>617</w:t>
            </w:r>
          </w:p>
        </w:tc>
        <w:tc>
          <w:tcPr>
            <w:tcW w:w="930" w:type="pct"/>
            <w:tcBorders>
              <w:top w:val="nil"/>
              <w:left w:val="nil"/>
              <w:bottom w:val="nil"/>
              <w:right w:val="nil"/>
            </w:tcBorders>
            <w:shd w:val="clear" w:color="auto" w:fill="auto"/>
            <w:noWrap/>
            <w:vAlign w:val="center"/>
          </w:tcPr>
          <w:p w14:paraId="458D8FAF" w14:textId="5E1EFC84" w:rsidR="009A1995" w:rsidRPr="0094328C" w:rsidRDefault="004D0D35" w:rsidP="009A1995">
            <w:pPr>
              <w:spacing w:after="0" w:line="240" w:lineRule="auto"/>
              <w:jc w:val="center"/>
              <w:rPr>
                <w:rFonts w:eastAsia="Times New Roman" w:cs="Times New Roman"/>
                <w:color w:val="000000"/>
                <w:szCs w:val="24"/>
                <w:lang w:eastAsia="en-GB"/>
              </w:rPr>
            </w:pPr>
            <w:r w:rsidRPr="0094328C">
              <w:rPr>
                <w:rFonts w:eastAsia="Times New Roman" w:cs="Times New Roman"/>
                <w:color w:val="000000"/>
                <w:szCs w:val="24"/>
                <w:lang w:eastAsia="en-GB"/>
              </w:rPr>
              <w:t>168.8</w:t>
            </w:r>
          </w:p>
        </w:tc>
      </w:tr>
      <w:tr w:rsidR="009A1995" w:rsidRPr="004826E1" w14:paraId="3BBD45DC" w14:textId="77777777" w:rsidTr="0094328C">
        <w:trPr>
          <w:trHeight w:val="310"/>
        </w:trPr>
        <w:tc>
          <w:tcPr>
            <w:tcW w:w="934" w:type="pct"/>
            <w:tcBorders>
              <w:top w:val="nil"/>
              <w:left w:val="nil"/>
              <w:right w:val="nil"/>
            </w:tcBorders>
            <w:shd w:val="clear" w:color="auto" w:fill="auto"/>
            <w:noWrap/>
            <w:vAlign w:val="center"/>
            <w:hideMark/>
          </w:tcPr>
          <w:p w14:paraId="15A7E456" w14:textId="18A69BBD" w:rsidR="009A1995" w:rsidRPr="0094328C" w:rsidRDefault="009A1995" w:rsidP="009A1995">
            <w:pPr>
              <w:spacing w:after="0" w:line="240" w:lineRule="auto"/>
              <w:rPr>
                <w:rFonts w:eastAsia="Times New Roman" w:cs="Times New Roman"/>
                <w:color w:val="000000"/>
                <w:szCs w:val="24"/>
                <w:lang w:eastAsia="en-GB"/>
              </w:rPr>
            </w:pPr>
            <w:r w:rsidRPr="0094328C">
              <w:rPr>
                <w:rFonts w:eastAsia="Times New Roman" w:cs="Times New Roman"/>
                <w:color w:val="000000"/>
                <w:szCs w:val="24"/>
                <w:lang w:eastAsia="en-GB"/>
              </w:rPr>
              <w:t>Obafemi-Owode</w:t>
            </w:r>
          </w:p>
        </w:tc>
        <w:tc>
          <w:tcPr>
            <w:tcW w:w="587" w:type="pct"/>
            <w:tcBorders>
              <w:top w:val="nil"/>
              <w:left w:val="nil"/>
              <w:right w:val="nil"/>
            </w:tcBorders>
            <w:shd w:val="clear" w:color="auto" w:fill="auto"/>
            <w:noWrap/>
            <w:vAlign w:val="center"/>
          </w:tcPr>
          <w:p w14:paraId="64EF6C70" w14:textId="72749626" w:rsidR="009A1995" w:rsidRPr="0094328C" w:rsidRDefault="009A1995" w:rsidP="009A1995">
            <w:pPr>
              <w:spacing w:after="0" w:line="240" w:lineRule="auto"/>
              <w:jc w:val="center"/>
              <w:rPr>
                <w:rFonts w:eastAsia="Times New Roman" w:cs="Times New Roman"/>
                <w:color w:val="000000"/>
                <w:szCs w:val="24"/>
                <w:lang w:eastAsia="en-GB"/>
              </w:rPr>
            </w:pPr>
            <w:r w:rsidRPr="0094328C">
              <w:rPr>
                <w:rFonts w:eastAsia="Times New Roman" w:cs="Times New Roman"/>
                <w:color w:val="000000"/>
                <w:szCs w:val="24"/>
                <w:lang w:eastAsia="en-GB"/>
              </w:rPr>
              <w:t>0.4</w:t>
            </w:r>
          </w:p>
        </w:tc>
        <w:tc>
          <w:tcPr>
            <w:tcW w:w="687" w:type="pct"/>
            <w:tcBorders>
              <w:top w:val="nil"/>
              <w:left w:val="nil"/>
              <w:right w:val="nil"/>
            </w:tcBorders>
            <w:shd w:val="clear" w:color="auto" w:fill="auto"/>
            <w:noWrap/>
            <w:vAlign w:val="center"/>
          </w:tcPr>
          <w:p w14:paraId="5020038A" w14:textId="52706E13" w:rsidR="009A1995" w:rsidRPr="0094328C" w:rsidRDefault="00634EAF" w:rsidP="009A1995">
            <w:pPr>
              <w:spacing w:after="0" w:line="240" w:lineRule="auto"/>
              <w:jc w:val="center"/>
              <w:rPr>
                <w:rFonts w:eastAsia="Times New Roman" w:cs="Times New Roman"/>
                <w:color w:val="000000"/>
                <w:szCs w:val="24"/>
                <w:lang w:eastAsia="en-GB"/>
              </w:rPr>
            </w:pPr>
            <w:r w:rsidRPr="0094328C">
              <w:rPr>
                <w:rFonts w:eastAsia="Times New Roman" w:cs="Times New Roman"/>
                <w:color w:val="000000"/>
                <w:szCs w:val="24"/>
                <w:lang w:eastAsia="en-GB"/>
              </w:rPr>
              <w:t>13.1</w:t>
            </w:r>
          </w:p>
        </w:tc>
        <w:tc>
          <w:tcPr>
            <w:tcW w:w="931" w:type="pct"/>
            <w:tcBorders>
              <w:top w:val="nil"/>
              <w:left w:val="nil"/>
              <w:right w:val="nil"/>
            </w:tcBorders>
            <w:vAlign w:val="center"/>
          </w:tcPr>
          <w:p w14:paraId="3A84FC89" w14:textId="655AD2D1" w:rsidR="009A1995" w:rsidRPr="0094328C" w:rsidRDefault="009A1995" w:rsidP="009A1995">
            <w:pPr>
              <w:spacing w:after="0" w:line="240" w:lineRule="auto"/>
              <w:jc w:val="center"/>
              <w:rPr>
                <w:rFonts w:eastAsia="Times New Roman" w:cs="Times New Roman"/>
                <w:color w:val="000000"/>
                <w:szCs w:val="24"/>
                <w:lang w:eastAsia="en-GB"/>
              </w:rPr>
            </w:pPr>
            <w:r w:rsidRPr="0094328C">
              <w:rPr>
                <w:rFonts w:eastAsia="Times New Roman" w:cs="Times New Roman"/>
                <w:color w:val="000000"/>
                <w:szCs w:val="24"/>
                <w:lang w:eastAsia="en-GB"/>
              </w:rPr>
              <w:t>10.5</w:t>
            </w:r>
          </w:p>
        </w:tc>
        <w:tc>
          <w:tcPr>
            <w:tcW w:w="931" w:type="pct"/>
            <w:tcBorders>
              <w:top w:val="nil"/>
              <w:left w:val="nil"/>
              <w:right w:val="nil"/>
            </w:tcBorders>
            <w:vAlign w:val="center"/>
          </w:tcPr>
          <w:p w14:paraId="5FA1BA93" w14:textId="02A7092E" w:rsidR="009A1995" w:rsidRPr="0094328C" w:rsidRDefault="009A1995" w:rsidP="009A1995">
            <w:pPr>
              <w:spacing w:after="0" w:line="240" w:lineRule="auto"/>
              <w:jc w:val="center"/>
              <w:rPr>
                <w:rFonts w:eastAsia="Times New Roman" w:cs="Times New Roman"/>
                <w:color w:val="000000"/>
                <w:szCs w:val="24"/>
                <w:lang w:eastAsia="en-GB"/>
              </w:rPr>
            </w:pPr>
            <w:r w:rsidRPr="0094328C">
              <w:rPr>
                <w:rFonts w:eastAsia="Times New Roman" w:cs="Times New Roman"/>
                <w:color w:val="000000"/>
                <w:szCs w:val="24"/>
                <w:lang w:eastAsia="en-GB"/>
              </w:rPr>
              <w:t>635</w:t>
            </w:r>
          </w:p>
        </w:tc>
        <w:tc>
          <w:tcPr>
            <w:tcW w:w="930" w:type="pct"/>
            <w:tcBorders>
              <w:top w:val="nil"/>
              <w:left w:val="nil"/>
              <w:right w:val="nil"/>
            </w:tcBorders>
            <w:shd w:val="clear" w:color="auto" w:fill="auto"/>
            <w:noWrap/>
            <w:vAlign w:val="center"/>
          </w:tcPr>
          <w:p w14:paraId="7734B2D3" w14:textId="65ADADC8" w:rsidR="009A1995" w:rsidRPr="0094328C" w:rsidRDefault="004D0D35" w:rsidP="009A1995">
            <w:pPr>
              <w:spacing w:after="0" w:line="240" w:lineRule="auto"/>
              <w:jc w:val="center"/>
              <w:rPr>
                <w:rFonts w:eastAsia="Times New Roman" w:cs="Times New Roman"/>
                <w:color w:val="000000"/>
                <w:szCs w:val="24"/>
                <w:lang w:eastAsia="en-GB"/>
              </w:rPr>
            </w:pPr>
            <w:r w:rsidRPr="0094328C">
              <w:rPr>
                <w:rFonts w:eastAsia="Times New Roman" w:cs="Times New Roman"/>
                <w:color w:val="000000"/>
                <w:szCs w:val="24"/>
                <w:lang w:eastAsia="en-GB"/>
              </w:rPr>
              <w:t>172.5</w:t>
            </w:r>
          </w:p>
        </w:tc>
      </w:tr>
      <w:tr w:rsidR="009A1995" w:rsidRPr="004826E1" w14:paraId="03999EDE" w14:textId="77777777" w:rsidTr="0094328C">
        <w:trPr>
          <w:trHeight w:val="310"/>
        </w:trPr>
        <w:tc>
          <w:tcPr>
            <w:tcW w:w="934" w:type="pct"/>
            <w:tcBorders>
              <w:top w:val="nil"/>
              <w:left w:val="nil"/>
              <w:bottom w:val="single" w:sz="4" w:space="0" w:color="auto"/>
              <w:right w:val="nil"/>
            </w:tcBorders>
            <w:shd w:val="clear" w:color="auto" w:fill="auto"/>
            <w:noWrap/>
            <w:vAlign w:val="center"/>
            <w:hideMark/>
          </w:tcPr>
          <w:p w14:paraId="672DD07A" w14:textId="77777777" w:rsidR="009A1995" w:rsidRPr="0094328C" w:rsidRDefault="009A1995" w:rsidP="009A1995">
            <w:pPr>
              <w:spacing w:after="0" w:line="240" w:lineRule="auto"/>
              <w:rPr>
                <w:rFonts w:eastAsia="Times New Roman" w:cs="Times New Roman"/>
                <w:color w:val="000000"/>
                <w:szCs w:val="24"/>
                <w:lang w:eastAsia="en-GB"/>
              </w:rPr>
            </w:pPr>
            <w:r w:rsidRPr="0094328C">
              <w:rPr>
                <w:rFonts w:eastAsia="Times New Roman" w:cs="Times New Roman"/>
                <w:color w:val="000000"/>
                <w:szCs w:val="24"/>
                <w:lang w:eastAsia="en-GB"/>
              </w:rPr>
              <w:t>Ifo</w:t>
            </w:r>
          </w:p>
        </w:tc>
        <w:tc>
          <w:tcPr>
            <w:tcW w:w="587" w:type="pct"/>
            <w:tcBorders>
              <w:top w:val="nil"/>
              <w:left w:val="nil"/>
              <w:bottom w:val="single" w:sz="4" w:space="0" w:color="auto"/>
              <w:right w:val="nil"/>
            </w:tcBorders>
            <w:shd w:val="clear" w:color="auto" w:fill="auto"/>
            <w:noWrap/>
            <w:vAlign w:val="center"/>
          </w:tcPr>
          <w:p w14:paraId="63A3C411" w14:textId="0737131C" w:rsidR="009A1995" w:rsidRPr="0094328C" w:rsidRDefault="009A1995" w:rsidP="009A1995">
            <w:pPr>
              <w:spacing w:after="0" w:line="240" w:lineRule="auto"/>
              <w:jc w:val="center"/>
              <w:rPr>
                <w:rFonts w:eastAsia="Times New Roman" w:cs="Times New Roman"/>
                <w:color w:val="000000"/>
                <w:szCs w:val="24"/>
                <w:lang w:eastAsia="en-GB"/>
              </w:rPr>
            </w:pPr>
            <w:r w:rsidRPr="0094328C">
              <w:rPr>
                <w:rFonts w:eastAsia="Times New Roman" w:cs="Times New Roman"/>
                <w:color w:val="000000"/>
                <w:szCs w:val="24"/>
                <w:lang w:eastAsia="en-GB"/>
              </w:rPr>
              <w:t>0.3</w:t>
            </w:r>
          </w:p>
        </w:tc>
        <w:tc>
          <w:tcPr>
            <w:tcW w:w="687" w:type="pct"/>
            <w:tcBorders>
              <w:top w:val="nil"/>
              <w:left w:val="nil"/>
              <w:bottom w:val="single" w:sz="4" w:space="0" w:color="auto"/>
              <w:right w:val="nil"/>
            </w:tcBorders>
            <w:shd w:val="clear" w:color="auto" w:fill="auto"/>
            <w:noWrap/>
            <w:vAlign w:val="center"/>
          </w:tcPr>
          <w:p w14:paraId="1CA5A1A9" w14:textId="63DE5363" w:rsidR="009A1995" w:rsidRPr="0094328C" w:rsidRDefault="00634EAF" w:rsidP="009A1995">
            <w:pPr>
              <w:spacing w:after="0" w:line="240" w:lineRule="auto"/>
              <w:jc w:val="center"/>
              <w:rPr>
                <w:rFonts w:eastAsia="Times New Roman" w:cs="Times New Roman"/>
                <w:color w:val="000000"/>
                <w:szCs w:val="24"/>
                <w:lang w:eastAsia="en-GB"/>
              </w:rPr>
            </w:pPr>
            <w:r w:rsidRPr="0094328C">
              <w:rPr>
                <w:rFonts w:eastAsia="Times New Roman" w:cs="Times New Roman"/>
                <w:color w:val="000000"/>
                <w:szCs w:val="24"/>
                <w:lang w:eastAsia="en-GB"/>
              </w:rPr>
              <w:t>16.2</w:t>
            </w:r>
          </w:p>
        </w:tc>
        <w:tc>
          <w:tcPr>
            <w:tcW w:w="931" w:type="pct"/>
            <w:tcBorders>
              <w:top w:val="nil"/>
              <w:left w:val="nil"/>
              <w:bottom w:val="single" w:sz="4" w:space="0" w:color="auto"/>
              <w:right w:val="nil"/>
            </w:tcBorders>
            <w:vAlign w:val="center"/>
          </w:tcPr>
          <w:p w14:paraId="0F5F8880" w14:textId="3A01DB04" w:rsidR="009A1995" w:rsidRPr="0094328C" w:rsidRDefault="009A1995" w:rsidP="009A1995">
            <w:pPr>
              <w:spacing w:after="0" w:line="240" w:lineRule="auto"/>
              <w:jc w:val="center"/>
              <w:rPr>
                <w:rFonts w:eastAsia="Times New Roman" w:cs="Times New Roman"/>
                <w:color w:val="000000"/>
                <w:szCs w:val="24"/>
                <w:lang w:eastAsia="en-GB"/>
              </w:rPr>
            </w:pPr>
            <w:r w:rsidRPr="0094328C">
              <w:rPr>
                <w:rFonts w:eastAsia="Times New Roman" w:cs="Times New Roman"/>
                <w:color w:val="000000"/>
                <w:szCs w:val="24"/>
                <w:lang w:eastAsia="en-GB"/>
              </w:rPr>
              <w:t>11.7</w:t>
            </w:r>
          </w:p>
        </w:tc>
        <w:tc>
          <w:tcPr>
            <w:tcW w:w="931" w:type="pct"/>
            <w:tcBorders>
              <w:top w:val="nil"/>
              <w:left w:val="nil"/>
              <w:bottom w:val="single" w:sz="4" w:space="0" w:color="auto"/>
              <w:right w:val="nil"/>
            </w:tcBorders>
            <w:vAlign w:val="center"/>
          </w:tcPr>
          <w:p w14:paraId="68019159" w14:textId="0D54C0D5" w:rsidR="009A1995" w:rsidRPr="0094328C" w:rsidRDefault="009A1995" w:rsidP="009A1995">
            <w:pPr>
              <w:spacing w:after="0" w:line="240" w:lineRule="auto"/>
              <w:jc w:val="center"/>
              <w:rPr>
                <w:rFonts w:eastAsia="Times New Roman" w:cs="Times New Roman"/>
                <w:color w:val="000000"/>
                <w:szCs w:val="24"/>
                <w:lang w:eastAsia="en-GB"/>
              </w:rPr>
            </w:pPr>
            <w:r w:rsidRPr="0094328C">
              <w:rPr>
                <w:rFonts w:eastAsia="Times New Roman" w:cs="Times New Roman"/>
                <w:color w:val="000000"/>
                <w:szCs w:val="24"/>
                <w:lang w:eastAsia="en-GB"/>
              </w:rPr>
              <w:t>658</w:t>
            </w:r>
          </w:p>
        </w:tc>
        <w:tc>
          <w:tcPr>
            <w:tcW w:w="930" w:type="pct"/>
            <w:tcBorders>
              <w:top w:val="nil"/>
              <w:left w:val="nil"/>
              <w:bottom w:val="single" w:sz="4" w:space="0" w:color="auto"/>
              <w:right w:val="nil"/>
            </w:tcBorders>
            <w:shd w:val="clear" w:color="auto" w:fill="auto"/>
            <w:noWrap/>
            <w:vAlign w:val="center"/>
          </w:tcPr>
          <w:p w14:paraId="19378FF0" w14:textId="33131B52" w:rsidR="009A1995" w:rsidRPr="0094328C" w:rsidRDefault="004D0D35" w:rsidP="009A1995">
            <w:pPr>
              <w:spacing w:after="0" w:line="240" w:lineRule="auto"/>
              <w:jc w:val="center"/>
              <w:rPr>
                <w:rFonts w:eastAsia="Times New Roman" w:cs="Times New Roman"/>
                <w:color w:val="000000"/>
                <w:szCs w:val="24"/>
                <w:lang w:eastAsia="en-GB"/>
              </w:rPr>
            </w:pPr>
            <w:r w:rsidRPr="0094328C">
              <w:rPr>
                <w:rFonts w:eastAsia="Times New Roman" w:cs="Times New Roman"/>
                <w:color w:val="000000"/>
                <w:szCs w:val="24"/>
                <w:lang w:eastAsia="en-GB"/>
              </w:rPr>
              <w:t>183.4</w:t>
            </w:r>
          </w:p>
        </w:tc>
      </w:tr>
    </w:tbl>
    <w:p w14:paraId="6670A53C" w14:textId="77777777" w:rsidR="0022793A" w:rsidRDefault="0022793A" w:rsidP="005F01BE"/>
    <w:p w14:paraId="75F82D3B" w14:textId="1AEA3197" w:rsidR="003D6F91" w:rsidRPr="007E41D6" w:rsidRDefault="004A7390" w:rsidP="005F01BE">
      <w:pPr>
        <w:rPr>
          <w:b/>
          <w:bCs/>
        </w:rPr>
      </w:pPr>
      <w:r>
        <w:rPr>
          <w:b/>
          <w:bCs/>
        </w:rPr>
        <w:t>4.3</w:t>
      </w:r>
      <w:r>
        <w:rPr>
          <w:b/>
          <w:bCs/>
        </w:rPr>
        <w:tab/>
      </w:r>
      <w:r w:rsidR="007E41D6">
        <w:rPr>
          <w:b/>
          <w:bCs/>
        </w:rPr>
        <w:t xml:space="preserve">Distribution of </w:t>
      </w:r>
      <w:r w:rsidR="007E41D6" w:rsidRPr="007E41D6">
        <w:rPr>
          <w:b/>
          <w:bCs/>
        </w:rPr>
        <w:t xml:space="preserve">Small </w:t>
      </w:r>
      <w:r w:rsidR="003D6F91" w:rsidRPr="007E41D6">
        <w:rPr>
          <w:b/>
          <w:bCs/>
        </w:rPr>
        <w:t xml:space="preserve">Hydropower Potential </w:t>
      </w:r>
      <w:r w:rsidR="007E41D6">
        <w:rPr>
          <w:b/>
          <w:bCs/>
        </w:rPr>
        <w:t xml:space="preserve">Sites </w:t>
      </w:r>
      <w:r w:rsidR="007E41D6" w:rsidRPr="007E41D6">
        <w:rPr>
          <w:b/>
          <w:bCs/>
        </w:rPr>
        <w:t>Along River Ogun</w:t>
      </w:r>
    </w:p>
    <w:p w14:paraId="104555B5" w14:textId="77777777" w:rsidR="007D724D" w:rsidRDefault="00EB7CA9" w:rsidP="00EB7CA9">
      <w:pPr>
        <w:jc w:val="both"/>
      </w:pPr>
      <w:r>
        <w:t>The study identified a total of 57 small potential hydropower</w:t>
      </w:r>
      <w:r w:rsidR="004A7390">
        <w:t xml:space="preserve"> (SHP)</w:t>
      </w:r>
      <w:r>
        <w:t xml:space="preserve"> sites along River Ogun (Table </w:t>
      </w:r>
      <w:r w:rsidR="00714F18">
        <w:t>4</w:t>
      </w:r>
      <w:r>
        <w:t xml:space="preserve">). The small hydropower potential sites were distributed across five local government areas of Ogun State. </w:t>
      </w:r>
      <w:r w:rsidR="00F73CE3">
        <w:t xml:space="preserve">Majority of the potential sites (21) were identified along the </w:t>
      </w:r>
      <w:r w:rsidR="00AC2738">
        <w:t>river</w:t>
      </w:r>
      <w:r w:rsidR="00F73CE3">
        <w:t xml:space="preserve"> channel in Odeda local government area (LGA) which is one of the adjoining LGA to the State Capital Abeokuta. Obafemi Owode LGA had 11 SHP sites and Ifo had 10 SHP sites along River Ogun</w:t>
      </w:r>
      <w:r w:rsidR="00AC2738">
        <w:t xml:space="preserve">. Abeokuta North and Abeokuta South </w:t>
      </w:r>
      <w:r w:rsidR="004A7390">
        <w:t xml:space="preserve">had </w:t>
      </w:r>
      <w:r w:rsidR="00AC2738">
        <w:t>6 and 9 SHP site</w:t>
      </w:r>
      <w:r w:rsidR="004A7390">
        <w:t>s</w:t>
      </w:r>
      <w:r w:rsidR="00AC2738">
        <w:t xml:space="preserve"> respectively; these two LGAs are the home to the State capital Abeokuta. </w:t>
      </w:r>
    </w:p>
    <w:p w14:paraId="6B8CE9FA" w14:textId="51A7E14E" w:rsidR="003D6F91" w:rsidRDefault="00D05EC1" w:rsidP="00EB7CA9">
      <w:pPr>
        <w:jc w:val="both"/>
      </w:pPr>
      <w:r>
        <w:t>The energy potential available in the 57 potentials were also classified into three; namely 0.500-1.000mw, 1.001-3.000mw, and above 3.000mw. Table 4 shows that at least 15 potential sites can support 0.5000-1.001mw of electricity, 34 sites can support 1.001-</w:t>
      </w:r>
      <w:r>
        <w:lastRenderedPageBreak/>
        <w:t xml:space="preserve">3.000mw, while only 8 sites can support above 3.000mw of electricity. </w:t>
      </w:r>
      <w:r w:rsidR="00AC2738">
        <w:t>The distribution of the potential sites across five LGAs</w:t>
      </w:r>
      <w:r w:rsidR="004A7390">
        <w:t xml:space="preserve"> in Ogun state</w:t>
      </w:r>
      <w:r w:rsidR="00AC2738">
        <w:t xml:space="preserve"> shows that communities </w:t>
      </w:r>
      <w:r w:rsidR="004A7390">
        <w:t>from different</w:t>
      </w:r>
      <w:r w:rsidR="00AC2738">
        <w:t xml:space="preserve"> LGAs are likely to benefit from the SHP sites when developed.</w:t>
      </w:r>
      <w:r w:rsidR="00940DF2">
        <w:t xml:space="preserve"> </w:t>
      </w:r>
      <w:r>
        <w:t xml:space="preserve">It can also serve as a tool to stimulate development across different LGAs of the </w:t>
      </w:r>
      <w:r w:rsidR="0094328C">
        <w:t>state. The</w:t>
      </w:r>
      <w:r w:rsidR="00940DF2">
        <w:t xml:space="preserve"> distribution</w:t>
      </w:r>
      <w:r w:rsidR="004A7390">
        <w:t xml:space="preserve"> pattern</w:t>
      </w:r>
      <w:r w:rsidR="00940DF2">
        <w:t xml:space="preserve"> of the SHP potential sites i</w:t>
      </w:r>
      <w:r w:rsidR="004A7390">
        <w:t>s</w:t>
      </w:r>
      <w:r w:rsidR="00940DF2">
        <w:t xml:space="preserve"> presented in Figure</w:t>
      </w:r>
      <w:r w:rsidR="004A7390">
        <w:t xml:space="preserve"> </w:t>
      </w:r>
      <w:r>
        <w:t xml:space="preserve">4. </w:t>
      </w:r>
    </w:p>
    <w:p w14:paraId="07455AFA" w14:textId="344C9780" w:rsidR="003D6F91" w:rsidRDefault="003D6F91" w:rsidP="003D6F91">
      <w:pPr>
        <w:spacing w:after="0" w:line="240" w:lineRule="auto"/>
        <w:jc w:val="both"/>
      </w:pPr>
      <w:r w:rsidRPr="005313F5">
        <w:rPr>
          <w:b/>
          <w:bCs/>
        </w:rPr>
        <w:t xml:space="preserve">Table </w:t>
      </w:r>
      <w:r w:rsidR="00714F18">
        <w:rPr>
          <w:b/>
          <w:bCs/>
        </w:rPr>
        <w:t>4</w:t>
      </w:r>
      <w:r w:rsidRPr="005313F5">
        <w:rPr>
          <w:b/>
          <w:bCs/>
        </w:rPr>
        <w:t>:</w:t>
      </w:r>
      <w:r>
        <w:t xml:space="preserve"> Characteristics of Stream Network in Ogun Watershed</w:t>
      </w:r>
    </w:p>
    <w:tbl>
      <w:tblPr>
        <w:tblStyle w:val="TableGrid"/>
        <w:tblW w:w="5000" w:type="pct"/>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35"/>
        <w:gridCol w:w="1696"/>
        <w:gridCol w:w="1440"/>
        <w:gridCol w:w="1623"/>
        <w:gridCol w:w="2088"/>
      </w:tblGrid>
      <w:tr w:rsidR="004B7C2A" w:rsidRPr="004826E1" w14:paraId="168D4C08" w14:textId="77777777" w:rsidTr="004B7C2A">
        <w:trPr>
          <w:trHeight w:val="325"/>
        </w:trPr>
        <w:tc>
          <w:tcPr>
            <w:tcW w:w="963" w:type="pct"/>
            <w:tcBorders>
              <w:top w:val="single" w:sz="4" w:space="0" w:color="auto"/>
              <w:bottom w:val="single" w:sz="4" w:space="0" w:color="auto"/>
            </w:tcBorders>
            <w:noWrap/>
            <w:hideMark/>
          </w:tcPr>
          <w:p w14:paraId="2840BD10" w14:textId="7F65A085" w:rsidR="006C1AA5" w:rsidRPr="002C75D8" w:rsidRDefault="006C1AA5" w:rsidP="00D35635">
            <w:pPr>
              <w:rPr>
                <w:rFonts w:eastAsia="Times New Roman" w:cs="Times New Roman"/>
                <w:b/>
                <w:bCs/>
                <w:color w:val="000000"/>
                <w:sz w:val="20"/>
                <w:szCs w:val="20"/>
                <w:lang w:eastAsia="en-GB"/>
              </w:rPr>
            </w:pPr>
            <w:r w:rsidRPr="002C75D8">
              <w:rPr>
                <w:rFonts w:eastAsia="Times New Roman" w:cs="Times New Roman"/>
                <w:b/>
                <w:bCs/>
                <w:color w:val="000000"/>
                <w:sz w:val="20"/>
                <w:szCs w:val="20"/>
                <w:lang w:eastAsia="en-GB"/>
              </w:rPr>
              <w:t>LGAs</w:t>
            </w:r>
          </w:p>
        </w:tc>
        <w:tc>
          <w:tcPr>
            <w:tcW w:w="1000" w:type="pct"/>
            <w:tcBorders>
              <w:top w:val="single" w:sz="4" w:space="0" w:color="auto"/>
              <w:bottom w:val="single" w:sz="4" w:space="0" w:color="auto"/>
            </w:tcBorders>
            <w:noWrap/>
            <w:hideMark/>
          </w:tcPr>
          <w:p w14:paraId="56A1CD9A" w14:textId="77777777" w:rsidR="006C1AA5" w:rsidRPr="002C75D8" w:rsidRDefault="006C1AA5" w:rsidP="00D35635">
            <w:pPr>
              <w:jc w:val="center"/>
              <w:rPr>
                <w:rFonts w:eastAsia="Times New Roman" w:cs="Times New Roman"/>
                <w:b/>
                <w:bCs/>
                <w:color w:val="000000"/>
                <w:sz w:val="20"/>
                <w:szCs w:val="20"/>
                <w:lang w:eastAsia="en-GB"/>
              </w:rPr>
            </w:pPr>
            <w:r w:rsidRPr="002C75D8">
              <w:rPr>
                <w:rFonts w:eastAsia="Times New Roman" w:cs="Times New Roman"/>
                <w:b/>
                <w:bCs/>
                <w:color w:val="000000"/>
                <w:sz w:val="20"/>
                <w:szCs w:val="20"/>
                <w:lang w:eastAsia="en-GB"/>
              </w:rPr>
              <w:t>0.500-1.000</w:t>
            </w:r>
          </w:p>
          <w:p w14:paraId="18597A88" w14:textId="77777777" w:rsidR="006C1AA5" w:rsidRPr="002C75D8" w:rsidRDefault="006C1AA5" w:rsidP="00D35635">
            <w:pPr>
              <w:jc w:val="center"/>
              <w:rPr>
                <w:rFonts w:eastAsia="Times New Roman" w:cs="Times New Roman"/>
                <w:b/>
                <w:bCs/>
                <w:color w:val="000000"/>
                <w:sz w:val="20"/>
                <w:szCs w:val="20"/>
                <w:lang w:eastAsia="en-GB"/>
              </w:rPr>
            </w:pPr>
            <w:r w:rsidRPr="002C75D8">
              <w:rPr>
                <w:rFonts w:eastAsia="Times New Roman" w:cs="Times New Roman"/>
                <w:b/>
                <w:bCs/>
                <w:color w:val="000000"/>
                <w:sz w:val="20"/>
                <w:szCs w:val="20"/>
                <w:lang w:eastAsia="en-GB"/>
              </w:rPr>
              <w:t>MW</w:t>
            </w:r>
          </w:p>
        </w:tc>
        <w:tc>
          <w:tcPr>
            <w:tcW w:w="849" w:type="pct"/>
            <w:tcBorders>
              <w:top w:val="single" w:sz="4" w:space="0" w:color="auto"/>
              <w:bottom w:val="single" w:sz="4" w:space="0" w:color="auto"/>
            </w:tcBorders>
            <w:noWrap/>
          </w:tcPr>
          <w:p w14:paraId="3BBE6CA7" w14:textId="77777777" w:rsidR="006C1AA5" w:rsidRPr="002C75D8" w:rsidRDefault="006C1AA5" w:rsidP="00D35635">
            <w:pPr>
              <w:jc w:val="center"/>
              <w:rPr>
                <w:rFonts w:eastAsia="Times New Roman" w:cs="Times New Roman"/>
                <w:b/>
                <w:bCs/>
                <w:color w:val="000000"/>
                <w:sz w:val="20"/>
                <w:szCs w:val="20"/>
                <w:lang w:eastAsia="en-GB"/>
              </w:rPr>
            </w:pPr>
            <w:r w:rsidRPr="002C75D8">
              <w:rPr>
                <w:rFonts w:eastAsia="Times New Roman" w:cs="Times New Roman"/>
                <w:b/>
                <w:bCs/>
                <w:color w:val="000000"/>
                <w:sz w:val="20"/>
                <w:szCs w:val="20"/>
                <w:lang w:eastAsia="en-GB"/>
              </w:rPr>
              <w:t>1.001-3.000</w:t>
            </w:r>
          </w:p>
          <w:p w14:paraId="135B13D2" w14:textId="77777777" w:rsidR="006C1AA5" w:rsidRPr="002C75D8" w:rsidRDefault="006C1AA5" w:rsidP="00D35635">
            <w:pPr>
              <w:jc w:val="center"/>
              <w:rPr>
                <w:rFonts w:eastAsia="Times New Roman" w:cs="Times New Roman"/>
                <w:b/>
                <w:bCs/>
                <w:color w:val="000000"/>
                <w:sz w:val="20"/>
                <w:szCs w:val="20"/>
                <w:lang w:eastAsia="en-GB"/>
              </w:rPr>
            </w:pPr>
            <w:r w:rsidRPr="002C75D8">
              <w:rPr>
                <w:rFonts w:eastAsia="Times New Roman" w:cs="Times New Roman"/>
                <w:b/>
                <w:bCs/>
                <w:color w:val="000000"/>
                <w:sz w:val="20"/>
                <w:szCs w:val="20"/>
                <w:lang w:eastAsia="en-GB"/>
              </w:rPr>
              <w:t>MW</w:t>
            </w:r>
          </w:p>
        </w:tc>
        <w:tc>
          <w:tcPr>
            <w:tcW w:w="957" w:type="pct"/>
            <w:tcBorders>
              <w:top w:val="single" w:sz="4" w:space="0" w:color="auto"/>
              <w:bottom w:val="single" w:sz="4" w:space="0" w:color="auto"/>
            </w:tcBorders>
          </w:tcPr>
          <w:p w14:paraId="281407E7" w14:textId="77777777" w:rsidR="006C1AA5" w:rsidRPr="002C75D8" w:rsidRDefault="006C1AA5" w:rsidP="00D35635">
            <w:pPr>
              <w:jc w:val="center"/>
              <w:rPr>
                <w:rFonts w:eastAsia="Times New Roman" w:cs="Times New Roman"/>
                <w:b/>
                <w:bCs/>
                <w:color w:val="000000"/>
                <w:sz w:val="20"/>
                <w:szCs w:val="20"/>
                <w:lang w:eastAsia="en-GB"/>
              </w:rPr>
            </w:pPr>
            <w:r w:rsidRPr="002C75D8">
              <w:rPr>
                <w:rFonts w:eastAsia="Times New Roman" w:cs="Times New Roman"/>
                <w:b/>
                <w:bCs/>
                <w:color w:val="000000"/>
                <w:sz w:val="20"/>
                <w:szCs w:val="20"/>
                <w:lang w:eastAsia="en-GB"/>
              </w:rPr>
              <w:t>3.001-5.798</w:t>
            </w:r>
          </w:p>
          <w:p w14:paraId="237FEDA1" w14:textId="77777777" w:rsidR="006C1AA5" w:rsidRPr="002C75D8" w:rsidRDefault="006C1AA5" w:rsidP="00D35635">
            <w:pPr>
              <w:jc w:val="center"/>
              <w:rPr>
                <w:rFonts w:eastAsia="Times New Roman" w:cs="Times New Roman"/>
                <w:b/>
                <w:bCs/>
                <w:color w:val="000000"/>
                <w:sz w:val="20"/>
                <w:szCs w:val="20"/>
                <w:lang w:eastAsia="en-GB"/>
              </w:rPr>
            </w:pPr>
            <w:r w:rsidRPr="002C75D8">
              <w:rPr>
                <w:rFonts w:eastAsia="Times New Roman" w:cs="Times New Roman"/>
                <w:b/>
                <w:bCs/>
                <w:color w:val="000000"/>
                <w:sz w:val="20"/>
                <w:szCs w:val="20"/>
                <w:lang w:eastAsia="en-GB"/>
              </w:rPr>
              <w:t>MW</w:t>
            </w:r>
          </w:p>
        </w:tc>
        <w:tc>
          <w:tcPr>
            <w:tcW w:w="1232" w:type="pct"/>
            <w:tcBorders>
              <w:top w:val="single" w:sz="4" w:space="0" w:color="auto"/>
              <w:bottom w:val="single" w:sz="4" w:space="0" w:color="auto"/>
            </w:tcBorders>
            <w:noWrap/>
          </w:tcPr>
          <w:p w14:paraId="7DCC029D" w14:textId="77777777" w:rsidR="006C1AA5" w:rsidRPr="002C75D8" w:rsidRDefault="006C1AA5" w:rsidP="00D35635">
            <w:pPr>
              <w:jc w:val="center"/>
              <w:rPr>
                <w:rFonts w:eastAsia="Times New Roman" w:cs="Times New Roman"/>
                <w:b/>
                <w:bCs/>
                <w:color w:val="000000"/>
                <w:sz w:val="20"/>
                <w:szCs w:val="20"/>
                <w:lang w:eastAsia="en-GB"/>
              </w:rPr>
            </w:pPr>
            <w:r w:rsidRPr="002C75D8">
              <w:rPr>
                <w:rFonts w:eastAsia="Times New Roman" w:cs="Times New Roman"/>
                <w:b/>
                <w:bCs/>
                <w:color w:val="000000"/>
                <w:sz w:val="20"/>
                <w:szCs w:val="20"/>
                <w:lang w:eastAsia="en-GB"/>
              </w:rPr>
              <w:t>No Hydropower Site</w:t>
            </w:r>
          </w:p>
        </w:tc>
      </w:tr>
      <w:tr w:rsidR="006C1AA5" w:rsidRPr="004826E1" w14:paraId="2963505A" w14:textId="77777777" w:rsidTr="004B7C2A">
        <w:trPr>
          <w:trHeight w:val="325"/>
        </w:trPr>
        <w:tc>
          <w:tcPr>
            <w:tcW w:w="963" w:type="pct"/>
            <w:tcBorders>
              <w:top w:val="single" w:sz="4" w:space="0" w:color="auto"/>
            </w:tcBorders>
            <w:noWrap/>
            <w:hideMark/>
          </w:tcPr>
          <w:p w14:paraId="45AA8049" w14:textId="77777777" w:rsidR="006C1AA5" w:rsidRPr="004B7C2A" w:rsidRDefault="006C1AA5" w:rsidP="00D35635">
            <w:pPr>
              <w:rPr>
                <w:rFonts w:eastAsia="Times New Roman" w:cs="Times New Roman"/>
                <w:color w:val="000000"/>
                <w:szCs w:val="24"/>
                <w:lang w:eastAsia="en-GB"/>
              </w:rPr>
            </w:pPr>
            <w:r w:rsidRPr="004B7C2A">
              <w:rPr>
                <w:rFonts w:eastAsia="Times New Roman" w:cs="Times New Roman"/>
                <w:color w:val="000000"/>
                <w:szCs w:val="24"/>
                <w:lang w:eastAsia="en-GB"/>
              </w:rPr>
              <w:t>Abeokuta North</w:t>
            </w:r>
          </w:p>
        </w:tc>
        <w:tc>
          <w:tcPr>
            <w:tcW w:w="1000" w:type="pct"/>
            <w:tcBorders>
              <w:top w:val="single" w:sz="4" w:space="0" w:color="auto"/>
            </w:tcBorders>
            <w:noWrap/>
            <w:hideMark/>
          </w:tcPr>
          <w:p w14:paraId="39083EE5" w14:textId="77777777" w:rsidR="006C1AA5" w:rsidRPr="004B7C2A" w:rsidRDefault="006C1AA5" w:rsidP="00D35635">
            <w:pPr>
              <w:jc w:val="center"/>
              <w:rPr>
                <w:rFonts w:eastAsia="Times New Roman" w:cs="Times New Roman"/>
                <w:color w:val="000000"/>
                <w:szCs w:val="24"/>
                <w:lang w:eastAsia="en-GB"/>
              </w:rPr>
            </w:pPr>
            <w:r w:rsidRPr="004B7C2A">
              <w:rPr>
                <w:rFonts w:eastAsia="Times New Roman" w:cs="Times New Roman"/>
                <w:color w:val="000000"/>
                <w:szCs w:val="24"/>
                <w:lang w:eastAsia="en-GB"/>
              </w:rPr>
              <w:t>0</w:t>
            </w:r>
          </w:p>
        </w:tc>
        <w:tc>
          <w:tcPr>
            <w:tcW w:w="849" w:type="pct"/>
            <w:tcBorders>
              <w:top w:val="single" w:sz="4" w:space="0" w:color="auto"/>
            </w:tcBorders>
            <w:noWrap/>
          </w:tcPr>
          <w:p w14:paraId="0C61B0E2" w14:textId="77777777" w:rsidR="006C1AA5" w:rsidRPr="004B7C2A" w:rsidRDefault="006C1AA5" w:rsidP="00D35635">
            <w:pPr>
              <w:jc w:val="center"/>
              <w:rPr>
                <w:rFonts w:eastAsia="Times New Roman" w:cs="Times New Roman"/>
                <w:color w:val="000000"/>
                <w:szCs w:val="24"/>
                <w:lang w:eastAsia="en-GB"/>
              </w:rPr>
            </w:pPr>
            <w:r w:rsidRPr="004B7C2A">
              <w:rPr>
                <w:rFonts w:eastAsia="Times New Roman" w:cs="Times New Roman"/>
                <w:color w:val="000000"/>
                <w:szCs w:val="24"/>
                <w:lang w:eastAsia="en-GB"/>
              </w:rPr>
              <w:t>5</w:t>
            </w:r>
          </w:p>
        </w:tc>
        <w:tc>
          <w:tcPr>
            <w:tcW w:w="957" w:type="pct"/>
            <w:tcBorders>
              <w:top w:val="single" w:sz="4" w:space="0" w:color="auto"/>
            </w:tcBorders>
          </w:tcPr>
          <w:p w14:paraId="1ACB91D7" w14:textId="77777777" w:rsidR="006C1AA5" w:rsidRPr="004B7C2A" w:rsidRDefault="006C1AA5" w:rsidP="00D35635">
            <w:pPr>
              <w:jc w:val="center"/>
              <w:rPr>
                <w:rFonts w:eastAsia="Times New Roman" w:cs="Times New Roman"/>
                <w:color w:val="000000"/>
                <w:szCs w:val="24"/>
                <w:lang w:eastAsia="en-GB"/>
              </w:rPr>
            </w:pPr>
            <w:r w:rsidRPr="004B7C2A">
              <w:rPr>
                <w:rFonts w:eastAsia="Times New Roman" w:cs="Times New Roman"/>
                <w:color w:val="000000"/>
                <w:szCs w:val="24"/>
                <w:lang w:eastAsia="en-GB"/>
              </w:rPr>
              <w:t>1</w:t>
            </w:r>
          </w:p>
        </w:tc>
        <w:tc>
          <w:tcPr>
            <w:tcW w:w="1232" w:type="pct"/>
            <w:tcBorders>
              <w:top w:val="single" w:sz="4" w:space="0" w:color="auto"/>
            </w:tcBorders>
            <w:noWrap/>
          </w:tcPr>
          <w:p w14:paraId="0EA6A061" w14:textId="77777777" w:rsidR="006C1AA5" w:rsidRPr="004B7C2A" w:rsidRDefault="006C1AA5" w:rsidP="00D35635">
            <w:pPr>
              <w:jc w:val="center"/>
              <w:rPr>
                <w:rFonts w:eastAsia="Times New Roman" w:cs="Times New Roman"/>
                <w:color w:val="000000"/>
                <w:szCs w:val="24"/>
                <w:lang w:eastAsia="en-GB"/>
              </w:rPr>
            </w:pPr>
            <w:r w:rsidRPr="004B7C2A">
              <w:rPr>
                <w:rFonts w:eastAsia="Times New Roman" w:cs="Times New Roman"/>
                <w:color w:val="000000"/>
                <w:szCs w:val="24"/>
                <w:lang w:eastAsia="en-GB"/>
              </w:rPr>
              <w:t>6 (10.5%)</w:t>
            </w:r>
          </w:p>
        </w:tc>
      </w:tr>
      <w:tr w:rsidR="006C1AA5" w:rsidRPr="004826E1" w14:paraId="1C8EECA2" w14:textId="77777777" w:rsidTr="004B7C2A">
        <w:trPr>
          <w:trHeight w:val="325"/>
        </w:trPr>
        <w:tc>
          <w:tcPr>
            <w:tcW w:w="963" w:type="pct"/>
            <w:noWrap/>
            <w:hideMark/>
          </w:tcPr>
          <w:p w14:paraId="620E5F7D" w14:textId="77777777" w:rsidR="006C1AA5" w:rsidRPr="004B7C2A" w:rsidRDefault="006C1AA5" w:rsidP="00D35635">
            <w:pPr>
              <w:rPr>
                <w:rFonts w:eastAsia="Times New Roman" w:cs="Times New Roman"/>
                <w:color w:val="000000"/>
                <w:szCs w:val="24"/>
                <w:lang w:eastAsia="en-GB"/>
              </w:rPr>
            </w:pPr>
            <w:r w:rsidRPr="004B7C2A">
              <w:rPr>
                <w:rFonts w:eastAsia="Times New Roman" w:cs="Times New Roman"/>
                <w:color w:val="000000"/>
                <w:szCs w:val="24"/>
                <w:lang w:eastAsia="en-GB"/>
              </w:rPr>
              <w:t>Abeokuta South</w:t>
            </w:r>
          </w:p>
        </w:tc>
        <w:tc>
          <w:tcPr>
            <w:tcW w:w="1000" w:type="pct"/>
            <w:noWrap/>
          </w:tcPr>
          <w:p w14:paraId="5C723399" w14:textId="77777777" w:rsidR="006C1AA5" w:rsidRPr="004B7C2A" w:rsidRDefault="006C1AA5" w:rsidP="00D35635">
            <w:pPr>
              <w:jc w:val="center"/>
              <w:rPr>
                <w:rFonts w:eastAsia="Times New Roman" w:cs="Times New Roman"/>
                <w:color w:val="000000"/>
                <w:szCs w:val="24"/>
                <w:lang w:eastAsia="en-GB"/>
              </w:rPr>
            </w:pPr>
            <w:r w:rsidRPr="004B7C2A">
              <w:rPr>
                <w:rFonts w:eastAsia="Times New Roman" w:cs="Times New Roman"/>
                <w:color w:val="000000"/>
                <w:szCs w:val="24"/>
                <w:lang w:eastAsia="en-GB"/>
              </w:rPr>
              <w:t>4</w:t>
            </w:r>
          </w:p>
        </w:tc>
        <w:tc>
          <w:tcPr>
            <w:tcW w:w="849" w:type="pct"/>
            <w:noWrap/>
          </w:tcPr>
          <w:p w14:paraId="243251B8" w14:textId="77777777" w:rsidR="006C1AA5" w:rsidRPr="004B7C2A" w:rsidRDefault="006C1AA5" w:rsidP="00D35635">
            <w:pPr>
              <w:jc w:val="center"/>
              <w:rPr>
                <w:rFonts w:eastAsia="Times New Roman" w:cs="Times New Roman"/>
                <w:color w:val="000000"/>
                <w:szCs w:val="24"/>
                <w:lang w:eastAsia="en-GB"/>
              </w:rPr>
            </w:pPr>
            <w:r w:rsidRPr="004B7C2A">
              <w:rPr>
                <w:rFonts w:eastAsia="Times New Roman" w:cs="Times New Roman"/>
                <w:color w:val="000000"/>
                <w:szCs w:val="24"/>
                <w:lang w:eastAsia="en-GB"/>
              </w:rPr>
              <w:t>5</w:t>
            </w:r>
          </w:p>
        </w:tc>
        <w:tc>
          <w:tcPr>
            <w:tcW w:w="957" w:type="pct"/>
          </w:tcPr>
          <w:p w14:paraId="3975D137" w14:textId="77777777" w:rsidR="006C1AA5" w:rsidRPr="004B7C2A" w:rsidRDefault="006C1AA5" w:rsidP="00D35635">
            <w:pPr>
              <w:jc w:val="center"/>
              <w:rPr>
                <w:rFonts w:eastAsia="Times New Roman" w:cs="Times New Roman"/>
                <w:color w:val="000000"/>
                <w:szCs w:val="24"/>
                <w:lang w:eastAsia="en-GB"/>
              </w:rPr>
            </w:pPr>
            <w:r w:rsidRPr="004B7C2A">
              <w:rPr>
                <w:rFonts w:eastAsia="Times New Roman" w:cs="Times New Roman"/>
                <w:color w:val="000000"/>
                <w:szCs w:val="24"/>
                <w:lang w:eastAsia="en-GB"/>
              </w:rPr>
              <w:t>0</w:t>
            </w:r>
          </w:p>
        </w:tc>
        <w:tc>
          <w:tcPr>
            <w:tcW w:w="1232" w:type="pct"/>
            <w:noWrap/>
          </w:tcPr>
          <w:p w14:paraId="77E80EDB" w14:textId="77777777" w:rsidR="006C1AA5" w:rsidRPr="004B7C2A" w:rsidRDefault="006C1AA5" w:rsidP="00D35635">
            <w:pPr>
              <w:jc w:val="center"/>
              <w:rPr>
                <w:rFonts w:eastAsia="Times New Roman" w:cs="Times New Roman"/>
                <w:color w:val="000000"/>
                <w:szCs w:val="24"/>
                <w:lang w:eastAsia="en-GB"/>
              </w:rPr>
            </w:pPr>
            <w:r w:rsidRPr="004B7C2A">
              <w:rPr>
                <w:rFonts w:eastAsia="Times New Roman" w:cs="Times New Roman"/>
                <w:color w:val="000000"/>
                <w:szCs w:val="24"/>
                <w:lang w:eastAsia="en-GB"/>
              </w:rPr>
              <w:t>9 (16%)</w:t>
            </w:r>
          </w:p>
        </w:tc>
      </w:tr>
      <w:tr w:rsidR="006C1AA5" w:rsidRPr="004826E1" w14:paraId="0CF04E39" w14:textId="77777777" w:rsidTr="004B7C2A">
        <w:trPr>
          <w:trHeight w:val="325"/>
        </w:trPr>
        <w:tc>
          <w:tcPr>
            <w:tcW w:w="963" w:type="pct"/>
            <w:noWrap/>
          </w:tcPr>
          <w:p w14:paraId="3218CD1B" w14:textId="77777777" w:rsidR="006C1AA5" w:rsidRPr="004B7C2A" w:rsidRDefault="006C1AA5" w:rsidP="00D35635">
            <w:pPr>
              <w:rPr>
                <w:rFonts w:eastAsia="Times New Roman" w:cs="Times New Roman"/>
                <w:color w:val="000000"/>
                <w:szCs w:val="24"/>
                <w:lang w:eastAsia="en-GB"/>
              </w:rPr>
            </w:pPr>
            <w:r w:rsidRPr="004B7C2A">
              <w:rPr>
                <w:rFonts w:eastAsia="Times New Roman" w:cs="Times New Roman"/>
                <w:color w:val="000000"/>
                <w:szCs w:val="24"/>
                <w:lang w:eastAsia="en-GB"/>
              </w:rPr>
              <w:t>Ifo</w:t>
            </w:r>
          </w:p>
        </w:tc>
        <w:tc>
          <w:tcPr>
            <w:tcW w:w="1000" w:type="pct"/>
            <w:noWrap/>
          </w:tcPr>
          <w:p w14:paraId="7C815EDE" w14:textId="77777777" w:rsidR="006C1AA5" w:rsidRPr="004B7C2A" w:rsidRDefault="006C1AA5" w:rsidP="00D35635">
            <w:pPr>
              <w:jc w:val="center"/>
              <w:rPr>
                <w:rFonts w:eastAsia="Times New Roman" w:cs="Times New Roman"/>
                <w:color w:val="000000"/>
                <w:szCs w:val="24"/>
                <w:lang w:eastAsia="en-GB"/>
              </w:rPr>
            </w:pPr>
            <w:r w:rsidRPr="004B7C2A">
              <w:rPr>
                <w:rFonts w:eastAsia="Times New Roman" w:cs="Times New Roman"/>
                <w:color w:val="000000"/>
                <w:szCs w:val="24"/>
                <w:lang w:eastAsia="en-GB"/>
              </w:rPr>
              <w:t>2</w:t>
            </w:r>
          </w:p>
        </w:tc>
        <w:tc>
          <w:tcPr>
            <w:tcW w:w="849" w:type="pct"/>
            <w:noWrap/>
          </w:tcPr>
          <w:p w14:paraId="0A217798" w14:textId="77777777" w:rsidR="006C1AA5" w:rsidRPr="004B7C2A" w:rsidRDefault="006C1AA5" w:rsidP="00D35635">
            <w:pPr>
              <w:jc w:val="center"/>
              <w:rPr>
                <w:rFonts w:eastAsia="Times New Roman" w:cs="Times New Roman"/>
                <w:color w:val="000000"/>
                <w:szCs w:val="24"/>
                <w:lang w:eastAsia="en-GB"/>
              </w:rPr>
            </w:pPr>
            <w:r w:rsidRPr="004B7C2A">
              <w:rPr>
                <w:rFonts w:eastAsia="Times New Roman" w:cs="Times New Roman"/>
                <w:color w:val="000000"/>
                <w:szCs w:val="24"/>
                <w:lang w:eastAsia="en-GB"/>
              </w:rPr>
              <w:t>7</w:t>
            </w:r>
          </w:p>
        </w:tc>
        <w:tc>
          <w:tcPr>
            <w:tcW w:w="957" w:type="pct"/>
          </w:tcPr>
          <w:p w14:paraId="40F5A8F5" w14:textId="77777777" w:rsidR="006C1AA5" w:rsidRPr="004B7C2A" w:rsidRDefault="006C1AA5" w:rsidP="00D35635">
            <w:pPr>
              <w:jc w:val="center"/>
              <w:rPr>
                <w:rFonts w:eastAsia="Times New Roman" w:cs="Times New Roman"/>
                <w:color w:val="000000"/>
                <w:szCs w:val="24"/>
                <w:lang w:eastAsia="en-GB"/>
              </w:rPr>
            </w:pPr>
            <w:r w:rsidRPr="004B7C2A">
              <w:rPr>
                <w:rFonts w:eastAsia="Times New Roman" w:cs="Times New Roman"/>
                <w:color w:val="000000"/>
                <w:szCs w:val="24"/>
                <w:lang w:eastAsia="en-GB"/>
              </w:rPr>
              <w:t>1</w:t>
            </w:r>
          </w:p>
        </w:tc>
        <w:tc>
          <w:tcPr>
            <w:tcW w:w="1232" w:type="pct"/>
            <w:noWrap/>
          </w:tcPr>
          <w:p w14:paraId="2B5F9553" w14:textId="77777777" w:rsidR="006C1AA5" w:rsidRPr="004B7C2A" w:rsidRDefault="006C1AA5" w:rsidP="00D35635">
            <w:pPr>
              <w:jc w:val="center"/>
              <w:rPr>
                <w:rFonts w:eastAsia="Times New Roman" w:cs="Times New Roman"/>
                <w:color w:val="000000"/>
                <w:szCs w:val="24"/>
                <w:lang w:eastAsia="en-GB"/>
              </w:rPr>
            </w:pPr>
            <w:r w:rsidRPr="004B7C2A">
              <w:rPr>
                <w:rFonts w:eastAsia="Times New Roman" w:cs="Times New Roman"/>
                <w:color w:val="000000"/>
                <w:szCs w:val="24"/>
                <w:lang w:eastAsia="en-GB"/>
              </w:rPr>
              <w:t>10 (17.5%)</w:t>
            </w:r>
          </w:p>
        </w:tc>
      </w:tr>
      <w:tr w:rsidR="006C1AA5" w:rsidRPr="004826E1" w14:paraId="285DEFF1" w14:textId="77777777" w:rsidTr="004B7C2A">
        <w:trPr>
          <w:trHeight w:val="325"/>
        </w:trPr>
        <w:tc>
          <w:tcPr>
            <w:tcW w:w="963" w:type="pct"/>
            <w:noWrap/>
          </w:tcPr>
          <w:p w14:paraId="79F5959A" w14:textId="77777777" w:rsidR="006C1AA5" w:rsidRPr="004B7C2A" w:rsidRDefault="006C1AA5" w:rsidP="00D35635">
            <w:pPr>
              <w:rPr>
                <w:rFonts w:eastAsia="Times New Roman" w:cs="Times New Roman"/>
                <w:color w:val="000000"/>
                <w:szCs w:val="24"/>
                <w:lang w:eastAsia="en-GB"/>
              </w:rPr>
            </w:pPr>
            <w:r w:rsidRPr="004B7C2A">
              <w:rPr>
                <w:rFonts w:eastAsia="Times New Roman" w:cs="Times New Roman"/>
                <w:color w:val="000000"/>
                <w:szCs w:val="24"/>
                <w:lang w:eastAsia="en-GB"/>
              </w:rPr>
              <w:t>Obafemi-Owode</w:t>
            </w:r>
          </w:p>
        </w:tc>
        <w:tc>
          <w:tcPr>
            <w:tcW w:w="1000" w:type="pct"/>
            <w:noWrap/>
          </w:tcPr>
          <w:p w14:paraId="5D793E4A" w14:textId="77777777" w:rsidR="006C1AA5" w:rsidRPr="004B7C2A" w:rsidRDefault="006C1AA5" w:rsidP="00D35635">
            <w:pPr>
              <w:jc w:val="center"/>
              <w:rPr>
                <w:rFonts w:eastAsia="Times New Roman" w:cs="Times New Roman"/>
                <w:color w:val="000000"/>
                <w:szCs w:val="24"/>
                <w:lang w:eastAsia="en-GB"/>
              </w:rPr>
            </w:pPr>
            <w:r w:rsidRPr="004B7C2A">
              <w:rPr>
                <w:rFonts w:eastAsia="Times New Roman" w:cs="Times New Roman"/>
                <w:color w:val="000000"/>
                <w:szCs w:val="24"/>
                <w:lang w:eastAsia="en-GB"/>
              </w:rPr>
              <w:t>0</w:t>
            </w:r>
          </w:p>
        </w:tc>
        <w:tc>
          <w:tcPr>
            <w:tcW w:w="849" w:type="pct"/>
            <w:noWrap/>
          </w:tcPr>
          <w:p w14:paraId="0F5774C7" w14:textId="77777777" w:rsidR="006C1AA5" w:rsidRPr="004B7C2A" w:rsidRDefault="006C1AA5" w:rsidP="00D35635">
            <w:pPr>
              <w:jc w:val="center"/>
              <w:rPr>
                <w:rFonts w:eastAsia="Times New Roman" w:cs="Times New Roman"/>
                <w:color w:val="000000"/>
                <w:szCs w:val="24"/>
                <w:lang w:eastAsia="en-GB"/>
              </w:rPr>
            </w:pPr>
            <w:r w:rsidRPr="004B7C2A">
              <w:rPr>
                <w:rFonts w:eastAsia="Times New Roman" w:cs="Times New Roman"/>
                <w:color w:val="000000"/>
                <w:szCs w:val="24"/>
                <w:lang w:eastAsia="en-GB"/>
              </w:rPr>
              <w:t>8</w:t>
            </w:r>
          </w:p>
        </w:tc>
        <w:tc>
          <w:tcPr>
            <w:tcW w:w="957" w:type="pct"/>
          </w:tcPr>
          <w:p w14:paraId="2927AC3E" w14:textId="77777777" w:rsidR="006C1AA5" w:rsidRPr="004B7C2A" w:rsidRDefault="006C1AA5" w:rsidP="00D35635">
            <w:pPr>
              <w:jc w:val="center"/>
              <w:rPr>
                <w:rFonts w:eastAsia="Times New Roman" w:cs="Times New Roman"/>
                <w:color w:val="000000"/>
                <w:szCs w:val="24"/>
                <w:lang w:eastAsia="en-GB"/>
              </w:rPr>
            </w:pPr>
            <w:r w:rsidRPr="004B7C2A">
              <w:rPr>
                <w:rFonts w:eastAsia="Times New Roman" w:cs="Times New Roman"/>
                <w:color w:val="000000"/>
                <w:szCs w:val="24"/>
                <w:lang w:eastAsia="en-GB"/>
              </w:rPr>
              <w:t>3</w:t>
            </w:r>
          </w:p>
        </w:tc>
        <w:tc>
          <w:tcPr>
            <w:tcW w:w="1232" w:type="pct"/>
            <w:noWrap/>
          </w:tcPr>
          <w:p w14:paraId="720797F8" w14:textId="77777777" w:rsidR="006C1AA5" w:rsidRPr="004B7C2A" w:rsidRDefault="006C1AA5" w:rsidP="00D35635">
            <w:pPr>
              <w:jc w:val="center"/>
              <w:rPr>
                <w:rFonts w:eastAsia="Times New Roman" w:cs="Times New Roman"/>
                <w:color w:val="000000"/>
                <w:szCs w:val="24"/>
                <w:lang w:eastAsia="en-GB"/>
              </w:rPr>
            </w:pPr>
            <w:r w:rsidRPr="004B7C2A">
              <w:rPr>
                <w:rFonts w:eastAsia="Times New Roman" w:cs="Times New Roman"/>
                <w:color w:val="000000"/>
                <w:szCs w:val="24"/>
                <w:lang w:eastAsia="en-GB"/>
              </w:rPr>
              <w:t>11 (19%)</w:t>
            </w:r>
          </w:p>
        </w:tc>
      </w:tr>
      <w:tr w:rsidR="006C1AA5" w:rsidRPr="004826E1" w14:paraId="5C7DE689" w14:textId="77777777" w:rsidTr="004B7C2A">
        <w:trPr>
          <w:trHeight w:val="325"/>
        </w:trPr>
        <w:tc>
          <w:tcPr>
            <w:tcW w:w="963" w:type="pct"/>
            <w:tcBorders>
              <w:bottom w:val="single" w:sz="4" w:space="0" w:color="auto"/>
            </w:tcBorders>
            <w:noWrap/>
            <w:hideMark/>
          </w:tcPr>
          <w:p w14:paraId="36CACB4A" w14:textId="77777777" w:rsidR="006C1AA5" w:rsidRPr="004B7C2A" w:rsidRDefault="006C1AA5" w:rsidP="00D35635">
            <w:pPr>
              <w:rPr>
                <w:rFonts w:eastAsia="Times New Roman" w:cs="Times New Roman"/>
                <w:color w:val="000000"/>
                <w:szCs w:val="24"/>
                <w:lang w:eastAsia="en-GB"/>
              </w:rPr>
            </w:pPr>
            <w:r w:rsidRPr="004B7C2A">
              <w:rPr>
                <w:rFonts w:eastAsia="Times New Roman" w:cs="Times New Roman"/>
                <w:color w:val="000000"/>
                <w:szCs w:val="24"/>
                <w:lang w:eastAsia="en-GB"/>
              </w:rPr>
              <w:t>Odeda</w:t>
            </w:r>
          </w:p>
        </w:tc>
        <w:tc>
          <w:tcPr>
            <w:tcW w:w="1000" w:type="pct"/>
            <w:tcBorders>
              <w:bottom w:val="single" w:sz="4" w:space="0" w:color="auto"/>
            </w:tcBorders>
            <w:noWrap/>
            <w:hideMark/>
          </w:tcPr>
          <w:p w14:paraId="1CE5AE73" w14:textId="77777777" w:rsidR="006C1AA5" w:rsidRPr="004B7C2A" w:rsidRDefault="006C1AA5" w:rsidP="00D35635">
            <w:pPr>
              <w:jc w:val="center"/>
              <w:rPr>
                <w:rFonts w:eastAsia="Times New Roman" w:cs="Times New Roman"/>
                <w:color w:val="000000"/>
                <w:szCs w:val="24"/>
                <w:lang w:eastAsia="en-GB"/>
              </w:rPr>
            </w:pPr>
            <w:r w:rsidRPr="004B7C2A">
              <w:rPr>
                <w:rFonts w:eastAsia="Times New Roman" w:cs="Times New Roman"/>
                <w:color w:val="000000"/>
                <w:szCs w:val="24"/>
                <w:lang w:eastAsia="en-GB"/>
              </w:rPr>
              <w:t>9</w:t>
            </w:r>
          </w:p>
        </w:tc>
        <w:tc>
          <w:tcPr>
            <w:tcW w:w="849" w:type="pct"/>
            <w:tcBorders>
              <w:bottom w:val="single" w:sz="4" w:space="0" w:color="auto"/>
            </w:tcBorders>
            <w:noWrap/>
          </w:tcPr>
          <w:p w14:paraId="32624014" w14:textId="77777777" w:rsidR="006C1AA5" w:rsidRPr="004B7C2A" w:rsidRDefault="006C1AA5" w:rsidP="00D35635">
            <w:pPr>
              <w:jc w:val="center"/>
              <w:rPr>
                <w:rFonts w:eastAsia="Times New Roman" w:cs="Times New Roman"/>
                <w:color w:val="000000"/>
                <w:szCs w:val="24"/>
                <w:lang w:eastAsia="en-GB"/>
              </w:rPr>
            </w:pPr>
            <w:r w:rsidRPr="004B7C2A">
              <w:rPr>
                <w:rFonts w:eastAsia="Times New Roman" w:cs="Times New Roman"/>
                <w:color w:val="000000"/>
                <w:szCs w:val="24"/>
                <w:lang w:eastAsia="en-GB"/>
              </w:rPr>
              <w:t>9</w:t>
            </w:r>
          </w:p>
        </w:tc>
        <w:tc>
          <w:tcPr>
            <w:tcW w:w="957" w:type="pct"/>
            <w:tcBorders>
              <w:bottom w:val="single" w:sz="4" w:space="0" w:color="auto"/>
            </w:tcBorders>
          </w:tcPr>
          <w:p w14:paraId="7E4111FC" w14:textId="77777777" w:rsidR="006C1AA5" w:rsidRPr="004B7C2A" w:rsidRDefault="006C1AA5" w:rsidP="00D35635">
            <w:pPr>
              <w:jc w:val="center"/>
              <w:rPr>
                <w:rFonts w:eastAsia="Times New Roman" w:cs="Times New Roman"/>
                <w:color w:val="000000"/>
                <w:szCs w:val="24"/>
                <w:lang w:eastAsia="en-GB"/>
              </w:rPr>
            </w:pPr>
            <w:r w:rsidRPr="004B7C2A">
              <w:rPr>
                <w:rFonts w:eastAsia="Times New Roman" w:cs="Times New Roman"/>
                <w:color w:val="000000"/>
                <w:szCs w:val="24"/>
                <w:lang w:eastAsia="en-GB"/>
              </w:rPr>
              <w:t>3</w:t>
            </w:r>
          </w:p>
        </w:tc>
        <w:tc>
          <w:tcPr>
            <w:tcW w:w="1232" w:type="pct"/>
            <w:tcBorders>
              <w:bottom w:val="single" w:sz="4" w:space="0" w:color="auto"/>
            </w:tcBorders>
            <w:noWrap/>
          </w:tcPr>
          <w:p w14:paraId="215BDEC5" w14:textId="77777777" w:rsidR="006C1AA5" w:rsidRPr="004B7C2A" w:rsidRDefault="006C1AA5" w:rsidP="00D35635">
            <w:pPr>
              <w:jc w:val="center"/>
              <w:rPr>
                <w:rFonts w:eastAsia="Times New Roman" w:cs="Times New Roman"/>
                <w:color w:val="000000"/>
                <w:szCs w:val="24"/>
                <w:lang w:eastAsia="en-GB"/>
              </w:rPr>
            </w:pPr>
            <w:r w:rsidRPr="004B7C2A">
              <w:rPr>
                <w:rFonts w:eastAsia="Times New Roman" w:cs="Times New Roman"/>
                <w:color w:val="000000"/>
                <w:szCs w:val="24"/>
                <w:lang w:eastAsia="en-GB"/>
              </w:rPr>
              <w:t>21 (37%)</w:t>
            </w:r>
          </w:p>
        </w:tc>
      </w:tr>
      <w:tr w:rsidR="006C1AA5" w:rsidRPr="00394237" w14:paraId="3228CFC4" w14:textId="77777777" w:rsidTr="004B7C2A">
        <w:trPr>
          <w:trHeight w:val="325"/>
        </w:trPr>
        <w:tc>
          <w:tcPr>
            <w:tcW w:w="963" w:type="pct"/>
            <w:tcBorders>
              <w:top w:val="single" w:sz="4" w:space="0" w:color="auto"/>
              <w:bottom w:val="single" w:sz="4" w:space="0" w:color="auto"/>
            </w:tcBorders>
            <w:noWrap/>
            <w:hideMark/>
          </w:tcPr>
          <w:p w14:paraId="6501EDBC" w14:textId="77777777" w:rsidR="006C1AA5" w:rsidRPr="004B7C2A" w:rsidRDefault="006C1AA5" w:rsidP="00D35635">
            <w:pPr>
              <w:rPr>
                <w:rFonts w:eastAsia="Times New Roman" w:cs="Times New Roman"/>
                <w:b/>
                <w:bCs/>
                <w:color w:val="000000"/>
                <w:szCs w:val="24"/>
                <w:lang w:eastAsia="en-GB"/>
              </w:rPr>
            </w:pPr>
            <w:r w:rsidRPr="004B7C2A">
              <w:rPr>
                <w:rFonts w:eastAsia="Times New Roman" w:cs="Times New Roman"/>
                <w:b/>
                <w:bCs/>
                <w:color w:val="000000"/>
                <w:szCs w:val="24"/>
                <w:lang w:eastAsia="en-GB"/>
              </w:rPr>
              <w:t> Total</w:t>
            </w:r>
          </w:p>
        </w:tc>
        <w:tc>
          <w:tcPr>
            <w:tcW w:w="1000" w:type="pct"/>
            <w:tcBorders>
              <w:top w:val="single" w:sz="4" w:space="0" w:color="auto"/>
              <w:bottom w:val="single" w:sz="4" w:space="0" w:color="auto"/>
            </w:tcBorders>
            <w:noWrap/>
            <w:hideMark/>
          </w:tcPr>
          <w:p w14:paraId="160A2894" w14:textId="19B682C8" w:rsidR="006C1AA5" w:rsidRPr="004B7C2A" w:rsidRDefault="006C1AA5" w:rsidP="00D35635">
            <w:pPr>
              <w:jc w:val="center"/>
              <w:rPr>
                <w:rFonts w:eastAsia="Times New Roman" w:cs="Times New Roman"/>
                <w:b/>
                <w:bCs/>
                <w:color w:val="000000"/>
                <w:szCs w:val="24"/>
                <w:lang w:eastAsia="en-GB"/>
              </w:rPr>
            </w:pPr>
            <w:r w:rsidRPr="004B7C2A">
              <w:rPr>
                <w:rFonts w:eastAsia="Times New Roman" w:cs="Times New Roman"/>
                <w:b/>
                <w:bCs/>
                <w:color w:val="000000"/>
                <w:szCs w:val="24"/>
                <w:lang w:eastAsia="en-GB"/>
              </w:rPr>
              <w:t>15</w:t>
            </w:r>
            <w:r w:rsidR="007D724D" w:rsidRPr="004B7C2A">
              <w:rPr>
                <w:rFonts w:eastAsia="Times New Roman" w:cs="Times New Roman"/>
                <w:b/>
                <w:bCs/>
                <w:color w:val="000000"/>
                <w:szCs w:val="24"/>
                <w:lang w:eastAsia="en-GB"/>
              </w:rPr>
              <w:t xml:space="preserve"> (26%)</w:t>
            </w:r>
          </w:p>
        </w:tc>
        <w:tc>
          <w:tcPr>
            <w:tcW w:w="849" w:type="pct"/>
            <w:tcBorders>
              <w:top w:val="single" w:sz="4" w:space="0" w:color="auto"/>
              <w:bottom w:val="single" w:sz="4" w:space="0" w:color="auto"/>
            </w:tcBorders>
            <w:noWrap/>
            <w:hideMark/>
          </w:tcPr>
          <w:p w14:paraId="1EC38318" w14:textId="431A37C0" w:rsidR="006C1AA5" w:rsidRPr="004B7C2A" w:rsidRDefault="006C1AA5" w:rsidP="00D35635">
            <w:pPr>
              <w:jc w:val="center"/>
              <w:rPr>
                <w:rFonts w:eastAsia="Times New Roman" w:cs="Times New Roman"/>
                <w:b/>
                <w:bCs/>
                <w:color w:val="000000"/>
                <w:szCs w:val="24"/>
                <w:lang w:eastAsia="en-GB"/>
              </w:rPr>
            </w:pPr>
            <w:r w:rsidRPr="004B7C2A">
              <w:rPr>
                <w:rFonts w:eastAsia="Times New Roman" w:cs="Times New Roman"/>
                <w:b/>
                <w:bCs/>
                <w:color w:val="000000"/>
                <w:szCs w:val="24"/>
                <w:lang w:eastAsia="en-GB"/>
              </w:rPr>
              <w:t>34</w:t>
            </w:r>
            <w:r w:rsidR="007D724D" w:rsidRPr="004B7C2A">
              <w:rPr>
                <w:rFonts w:eastAsia="Times New Roman" w:cs="Times New Roman"/>
                <w:b/>
                <w:bCs/>
                <w:color w:val="000000"/>
                <w:szCs w:val="24"/>
                <w:lang w:eastAsia="en-GB"/>
              </w:rPr>
              <w:t xml:space="preserve"> </w:t>
            </w:r>
            <w:r w:rsidR="004B7C2A">
              <w:rPr>
                <w:rFonts w:eastAsia="Times New Roman" w:cs="Times New Roman"/>
                <w:b/>
                <w:bCs/>
                <w:color w:val="000000"/>
                <w:szCs w:val="24"/>
                <w:lang w:eastAsia="en-GB"/>
              </w:rPr>
              <w:t>(</w:t>
            </w:r>
            <w:r w:rsidR="007D724D" w:rsidRPr="004B7C2A">
              <w:rPr>
                <w:rFonts w:eastAsia="Times New Roman" w:cs="Times New Roman"/>
                <w:b/>
                <w:bCs/>
                <w:color w:val="000000"/>
                <w:szCs w:val="24"/>
                <w:lang w:eastAsia="en-GB"/>
              </w:rPr>
              <w:t>60%)</w:t>
            </w:r>
          </w:p>
        </w:tc>
        <w:tc>
          <w:tcPr>
            <w:tcW w:w="957" w:type="pct"/>
            <w:tcBorders>
              <w:top w:val="single" w:sz="4" w:space="0" w:color="auto"/>
              <w:bottom w:val="single" w:sz="4" w:space="0" w:color="auto"/>
            </w:tcBorders>
          </w:tcPr>
          <w:p w14:paraId="4D88F494" w14:textId="53B192F7" w:rsidR="006C1AA5" w:rsidRPr="004B7C2A" w:rsidRDefault="006C1AA5" w:rsidP="00D35635">
            <w:pPr>
              <w:jc w:val="center"/>
              <w:rPr>
                <w:rFonts w:eastAsia="Times New Roman" w:cs="Times New Roman"/>
                <w:b/>
                <w:bCs/>
                <w:color w:val="000000"/>
                <w:szCs w:val="24"/>
                <w:lang w:eastAsia="en-GB"/>
              </w:rPr>
            </w:pPr>
            <w:r w:rsidRPr="004B7C2A">
              <w:rPr>
                <w:rFonts w:eastAsia="Times New Roman" w:cs="Times New Roman"/>
                <w:b/>
                <w:bCs/>
                <w:color w:val="000000"/>
                <w:szCs w:val="24"/>
                <w:lang w:eastAsia="en-GB"/>
              </w:rPr>
              <w:t>8</w:t>
            </w:r>
            <w:r w:rsidR="007D724D" w:rsidRPr="004B7C2A">
              <w:rPr>
                <w:rFonts w:eastAsia="Times New Roman" w:cs="Times New Roman"/>
                <w:b/>
                <w:bCs/>
                <w:color w:val="000000"/>
                <w:szCs w:val="24"/>
                <w:lang w:eastAsia="en-GB"/>
              </w:rPr>
              <w:t xml:space="preserve"> (14%)</w:t>
            </w:r>
          </w:p>
        </w:tc>
        <w:tc>
          <w:tcPr>
            <w:tcW w:w="1232" w:type="pct"/>
            <w:tcBorders>
              <w:top w:val="single" w:sz="4" w:space="0" w:color="auto"/>
              <w:bottom w:val="single" w:sz="4" w:space="0" w:color="auto"/>
            </w:tcBorders>
            <w:noWrap/>
            <w:hideMark/>
          </w:tcPr>
          <w:p w14:paraId="1A1BA8D6" w14:textId="77777777" w:rsidR="006C1AA5" w:rsidRPr="004B7C2A" w:rsidRDefault="006C1AA5" w:rsidP="00D35635">
            <w:pPr>
              <w:jc w:val="center"/>
              <w:rPr>
                <w:rFonts w:eastAsia="Times New Roman" w:cs="Times New Roman"/>
                <w:b/>
                <w:bCs/>
                <w:color w:val="000000"/>
                <w:szCs w:val="24"/>
                <w:lang w:eastAsia="en-GB"/>
              </w:rPr>
            </w:pPr>
            <w:r w:rsidRPr="004B7C2A">
              <w:rPr>
                <w:rFonts w:eastAsia="Times New Roman" w:cs="Times New Roman"/>
                <w:b/>
                <w:bCs/>
                <w:color w:val="000000"/>
                <w:szCs w:val="24"/>
                <w:lang w:eastAsia="en-GB"/>
              </w:rPr>
              <w:t>57 (100%)</w:t>
            </w:r>
          </w:p>
        </w:tc>
      </w:tr>
    </w:tbl>
    <w:p w14:paraId="24FFAF93" w14:textId="00A07F4F" w:rsidR="006C1AA5" w:rsidRDefault="006C1AA5" w:rsidP="003D6F91">
      <w:pPr>
        <w:spacing w:after="0" w:line="240" w:lineRule="auto"/>
        <w:jc w:val="both"/>
      </w:pPr>
    </w:p>
    <w:p w14:paraId="587DEE47" w14:textId="428B6937" w:rsidR="00940DF2" w:rsidRDefault="006C1AA5" w:rsidP="007D724D">
      <w:pPr>
        <w:spacing w:after="0" w:line="240" w:lineRule="auto"/>
        <w:jc w:val="center"/>
      </w:pPr>
      <w:r>
        <w:rPr>
          <w:noProof/>
        </w:rPr>
        <w:drawing>
          <wp:inline distT="0" distB="0" distL="0" distR="0" wp14:anchorId="6328E083" wp14:editId="7409C1B0">
            <wp:extent cx="3473793" cy="3590925"/>
            <wp:effectExtent l="19050" t="19050" r="12700" b="9525"/>
            <wp:docPr id="10" name="Picture 10"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Map&#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503229" cy="3621354"/>
                    </a:xfrm>
                    <a:prstGeom prst="rect">
                      <a:avLst/>
                    </a:prstGeom>
                    <a:ln w="3175">
                      <a:solidFill>
                        <a:schemeClr val="tx1"/>
                      </a:solidFill>
                    </a:ln>
                  </pic:spPr>
                </pic:pic>
              </a:graphicData>
            </a:graphic>
          </wp:inline>
        </w:drawing>
      </w:r>
    </w:p>
    <w:p w14:paraId="4C053DA4" w14:textId="3A5181C7" w:rsidR="00C91B99" w:rsidRDefault="00C91B99" w:rsidP="00C91B99">
      <w:pPr>
        <w:spacing w:line="240" w:lineRule="auto"/>
        <w:jc w:val="center"/>
      </w:pPr>
      <w:r w:rsidRPr="002C75D8">
        <w:rPr>
          <w:b/>
          <w:bCs/>
        </w:rPr>
        <w:t>Figure 4:</w:t>
      </w:r>
      <w:r>
        <w:t xml:space="preserve"> </w:t>
      </w:r>
      <w:r w:rsidR="007D724D">
        <w:t xml:space="preserve">Categories of </w:t>
      </w:r>
      <w:r>
        <w:t xml:space="preserve">SHP </w:t>
      </w:r>
      <w:r w:rsidR="007D724D">
        <w:t xml:space="preserve">Potential </w:t>
      </w:r>
      <w:r>
        <w:t>Sites along River Ogun</w:t>
      </w:r>
    </w:p>
    <w:p w14:paraId="0CB39136" w14:textId="57C6EC40" w:rsidR="007E41D6" w:rsidRPr="007E41D6" w:rsidRDefault="007D724D" w:rsidP="004B7C2A">
      <w:pPr>
        <w:spacing w:after="0" w:line="240" w:lineRule="auto"/>
        <w:rPr>
          <w:b/>
          <w:bCs/>
        </w:rPr>
      </w:pPr>
      <w:r>
        <w:rPr>
          <w:b/>
          <w:bCs/>
        </w:rPr>
        <w:t>4.4</w:t>
      </w:r>
      <w:r>
        <w:rPr>
          <w:b/>
          <w:bCs/>
        </w:rPr>
        <w:tab/>
      </w:r>
      <w:r w:rsidR="007E41D6" w:rsidRPr="007E41D6">
        <w:rPr>
          <w:b/>
          <w:bCs/>
        </w:rPr>
        <w:t>Estimated Small Hydropower Potential</w:t>
      </w:r>
      <w:r w:rsidR="007E41D6">
        <w:rPr>
          <w:b/>
          <w:bCs/>
        </w:rPr>
        <w:t xml:space="preserve">s </w:t>
      </w:r>
      <w:r w:rsidR="007E41D6" w:rsidRPr="007E41D6">
        <w:rPr>
          <w:b/>
          <w:bCs/>
        </w:rPr>
        <w:t>Identified Along River Ogun</w:t>
      </w:r>
    </w:p>
    <w:p w14:paraId="082529AA" w14:textId="3A0FF308" w:rsidR="00C91B99" w:rsidRDefault="007E41D6" w:rsidP="007E41D6">
      <w:pPr>
        <w:spacing w:line="240" w:lineRule="auto"/>
        <w:jc w:val="both"/>
      </w:pPr>
      <w:r>
        <w:t xml:space="preserve">The estimated electricity potentials estimated per sites along River Ogun ranges from 0.502mw </w:t>
      </w:r>
      <w:r w:rsidR="00795D61">
        <w:t xml:space="preserve">in Ifo LGA </w:t>
      </w:r>
      <w:r>
        <w:t xml:space="preserve">to 5.798mw </w:t>
      </w:r>
      <w:r w:rsidR="00795D61">
        <w:t xml:space="preserve">in </w:t>
      </w:r>
      <w:r>
        <w:t xml:space="preserve">Abeokuta North </w:t>
      </w:r>
      <w:r w:rsidR="004B7C2A">
        <w:t>LGA</w:t>
      </w:r>
      <w:r w:rsidR="00714F18">
        <w:t xml:space="preserve"> (Table 5)</w:t>
      </w:r>
      <w:r>
        <w:t xml:space="preserve">. </w:t>
      </w:r>
      <w:r w:rsidR="001B61D3">
        <w:t xml:space="preserve">The </w:t>
      </w:r>
      <w:r w:rsidR="00714F18">
        <w:t xml:space="preserve">variability in the energy potential estimated across the sites is a function of the available head and the rate of flow at the discharge point. Table 5 </w:t>
      </w:r>
      <w:r w:rsidR="00911F4F">
        <w:t>shows that a total of 13.48mw of electricity potential can be generated from six potentials sites along the river in Abeokuta North, 9.94mw from nine (9) potential sites in Abeokuta South which is 100% urban and doubles as the state capital. The maximum electricity potential of 30.05</w:t>
      </w:r>
      <w:r w:rsidR="00795D61">
        <w:t>mw</w:t>
      </w:r>
      <w:r w:rsidR="00911F4F">
        <w:t xml:space="preserve"> was estimated along the river in Odeda LGA from twenty-one (21) potential sites. A total of 75.38mw what </w:t>
      </w:r>
      <w:r w:rsidR="00911F4F">
        <w:lastRenderedPageBreak/>
        <w:t>of energy was estimated from a total of 57 sites along the river course and across five LGAs.</w:t>
      </w:r>
      <w:r w:rsidR="00BC6DD9">
        <w:t xml:space="preserve"> </w:t>
      </w:r>
    </w:p>
    <w:p w14:paraId="1CE66E2B" w14:textId="786B6F0A" w:rsidR="000B4045" w:rsidRDefault="00795D61" w:rsidP="004B7C2A">
      <w:pPr>
        <w:spacing w:after="0" w:line="240" w:lineRule="auto"/>
      </w:pPr>
      <w:r w:rsidRPr="002C75D8">
        <w:rPr>
          <w:b/>
          <w:bCs/>
        </w:rPr>
        <w:t>Table 5:</w:t>
      </w:r>
      <w:r>
        <w:t xml:space="preserve"> </w:t>
      </w:r>
      <w:r w:rsidR="004B7C2A">
        <w:t>Estimated Energy Potentials of the Identified SHP Sites</w:t>
      </w:r>
    </w:p>
    <w:tbl>
      <w:tblPr>
        <w:tblW w:w="4524" w:type="pct"/>
        <w:tblLayout w:type="fixed"/>
        <w:tblLook w:val="04A0" w:firstRow="1" w:lastRow="0" w:firstColumn="1" w:lastColumn="0" w:noHBand="0" w:noVBand="1"/>
      </w:tblPr>
      <w:tblGrid>
        <w:gridCol w:w="1855"/>
        <w:gridCol w:w="2382"/>
        <w:gridCol w:w="1489"/>
        <w:gridCol w:w="1949"/>
      </w:tblGrid>
      <w:tr w:rsidR="000B4045" w:rsidRPr="004826E1" w14:paraId="5A594B29" w14:textId="77777777" w:rsidTr="000B4045">
        <w:trPr>
          <w:trHeight w:val="325"/>
        </w:trPr>
        <w:tc>
          <w:tcPr>
            <w:tcW w:w="1208" w:type="pct"/>
            <w:tcBorders>
              <w:top w:val="single" w:sz="4" w:space="0" w:color="auto"/>
              <w:left w:val="nil"/>
              <w:bottom w:val="single" w:sz="4" w:space="0" w:color="auto"/>
              <w:right w:val="nil"/>
            </w:tcBorders>
            <w:shd w:val="clear" w:color="auto" w:fill="auto"/>
            <w:noWrap/>
            <w:vAlign w:val="bottom"/>
            <w:hideMark/>
          </w:tcPr>
          <w:p w14:paraId="36B543EA" w14:textId="77777777" w:rsidR="000B4045" w:rsidRPr="004B7C2A" w:rsidRDefault="000B4045" w:rsidP="000B4045">
            <w:pPr>
              <w:spacing w:after="0" w:line="240" w:lineRule="auto"/>
              <w:rPr>
                <w:rFonts w:eastAsia="Times New Roman" w:cs="Times New Roman"/>
                <w:b/>
                <w:bCs/>
                <w:color w:val="000000"/>
                <w:szCs w:val="24"/>
                <w:lang w:eastAsia="en-GB"/>
              </w:rPr>
            </w:pPr>
            <w:r w:rsidRPr="004B7C2A">
              <w:rPr>
                <w:rFonts w:eastAsia="Times New Roman" w:cs="Times New Roman"/>
                <w:b/>
                <w:bCs/>
                <w:color w:val="000000"/>
                <w:szCs w:val="24"/>
                <w:lang w:eastAsia="en-GB"/>
              </w:rPr>
              <w:t> River</w:t>
            </w:r>
          </w:p>
        </w:tc>
        <w:tc>
          <w:tcPr>
            <w:tcW w:w="1552" w:type="pct"/>
            <w:tcBorders>
              <w:top w:val="single" w:sz="4" w:space="0" w:color="auto"/>
              <w:left w:val="nil"/>
              <w:bottom w:val="single" w:sz="4" w:space="0" w:color="auto"/>
              <w:right w:val="nil"/>
            </w:tcBorders>
            <w:shd w:val="clear" w:color="auto" w:fill="auto"/>
            <w:noWrap/>
            <w:vAlign w:val="bottom"/>
            <w:hideMark/>
          </w:tcPr>
          <w:p w14:paraId="06FBBAFA" w14:textId="77777777" w:rsidR="004B7C2A" w:rsidRPr="004B7C2A" w:rsidRDefault="000B4045" w:rsidP="000B4045">
            <w:pPr>
              <w:spacing w:after="0" w:line="240" w:lineRule="auto"/>
              <w:jc w:val="center"/>
              <w:rPr>
                <w:rFonts w:eastAsia="Times New Roman" w:cs="Times New Roman"/>
                <w:b/>
                <w:bCs/>
                <w:color w:val="000000"/>
                <w:szCs w:val="24"/>
                <w:lang w:eastAsia="en-GB"/>
              </w:rPr>
            </w:pPr>
            <w:r w:rsidRPr="004B7C2A">
              <w:rPr>
                <w:rFonts w:eastAsia="Times New Roman" w:cs="Times New Roman"/>
                <w:b/>
                <w:bCs/>
                <w:color w:val="000000"/>
                <w:szCs w:val="24"/>
                <w:lang w:eastAsia="en-GB"/>
              </w:rPr>
              <w:t xml:space="preserve">Min </w:t>
            </w:r>
            <w:r w:rsidR="004B7C2A" w:rsidRPr="004B7C2A">
              <w:rPr>
                <w:rFonts w:eastAsia="Times New Roman" w:cs="Times New Roman"/>
                <w:b/>
                <w:bCs/>
                <w:color w:val="000000"/>
                <w:szCs w:val="24"/>
                <w:lang w:eastAsia="en-GB"/>
              </w:rPr>
              <w:t xml:space="preserve">Pwr </w:t>
            </w:r>
          </w:p>
          <w:p w14:paraId="62FB2F7D" w14:textId="00CE5767" w:rsidR="000B4045" w:rsidRPr="004B7C2A" w:rsidRDefault="004B7C2A" w:rsidP="000B4045">
            <w:pPr>
              <w:spacing w:after="0" w:line="240" w:lineRule="auto"/>
              <w:jc w:val="center"/>
              <w:rPr>
                <w:rFonts w:eastAsia="Times New Roman" w:cs="Times New Roman"/>
                <w:b/>
                <w:bCs/>
                <w:color w:val="000000"/>
                <w:szCs w:val="24"/>
                <w:lang w:eastAsia="en-GB"/>
              </w:rPr>
            </w:pPr>
            <w:r w:rsidRPr="004B7C2A">
              <w:rPr>
                <w:rFonts w:eastAsia="Times New Roman" w:cs="Times New Roman"/>
                <w:b/>
                <w:bCs/>
                <w:color w:val="000000"/>
                <w:szCs w:val="24"/>
                <w:lang w:eastAsia="en-GB"/>
              </w:rPr>
              <w:t>(</w:t>
            </w:r>
            <w:r w:rsidR="000B4045" w:rsidRPr="004B7C2A">
              <w:rPr>
                <w:rFonts w:eastAsia="Times New Roman" w:cs="Times New Roman"/>
                <w:b/>
                <w:bCs/>
                <w:color w:val="000000"/>
                <w:szCs w:val="24"/>
                <w:lang w:eastAsia="en-GB"/>
              </w:rPr>
              <w:t>mw)</w:t>
            </w:r>
          </w:p>
        </w:tc>
        <w:tc>
          <w:tcPr>
            <w:tcW w:w="970" w:type="pct"/>
            <w:tcBorders>
              <w:top w:val="single" w:sz="4" w:space="0" w:color="auto"/>
              <w:left w:val="nil"/>
              <w:bottom w:val="single" w:sz="4" w:space="0" w:color="auto"/>
              <w:right w:val="nil"/>
            </w:tcBorders>
            <w:shd w:val="clear" w:color="auto" w:fill="auto"/>
            <w:noWrap/>
            <w:vAlign w:val="bottom"/>
          </w:tcPr>
          <w:p w14:paraId="5959B330" w14:textId="77777777" w:rsidR="000B4045" w:rsidRPr="004B7C2A" w:rsidRDefault="000B4045" w:rsidP="000B4045">
            <w:pPr>
              <w:spacing w:after="0" w:line="240" w:lineRule="auto"/>
              <w:jc w:val="center"/>
              <w:rPr>
                <w:rFonts w:eastAsia="Times New Roman" w:cs="Times New Roman"/>
                <w:b/>
                <w:bCs/>
                <w:color w:val="000000"/>
                <w:szCs w:val="24"/>
                <w:lang w:eastAsia="en-GB"/>
              </w:rPr>
            </w:pPr>
            <w:r w:rsidRPr="004B7C2A">
              <w:rPr>
                <w:rFonts w:eastAsia="Times New Roman" w:cs="Times New Roman"/>
                <w:b/>
                <w:bCs/>
                <w:color w:val="000000"/>
                <w:szCs w:val="24"/>
                <w:lang w:eastAsia="en-GB"/>
              </w:rPr>
              <w:t>Max Pwr (mw)</w:t>
            </w:r>
          </w:p>
        </w:tc>
        <w:tc>
          <w:tcPr>
            <w:tcW w:w="1270" w:type="pct"/>
            <w:tcBorders>
              <w:top w:val="single" w:sz="4" w:space="0" w:color="auto"/>
              <w:left w:val="nil"/>
              <w:bottom w:val="single" w:sz="4" w:space="0" w:color="auto"/>
              <w:right w:val="nil"/>
            </w:tcBorders>
          </w:tcPr>
          <w:p w14:paraId="3EAF257F" w14:textId="77777777" w:rsidR="000B4045" w:rsidRPr="004B7C2A" w:rsidRDefault="000B4045" w:rsidP="000B4045">
            <w:pPr>
              <w:spacing w:after="0" w:line="240" w:lineRule="auto"/>
              <w:jc w:val="center"/>
              <w:rPr>
                <w:rFonts w:eastAsia="Times New Roman" w:cs="Times New Roman"/>
                <w:b/>
                <w:bCs/>
                <w:color w:val="000000"/>
                <w:szCs w:val="24"/>
                <w:lang w:eastAsia="en-GB"/>
              </w:rPr>
            </w:pPr>
            <w:r w:rsidRPr="004B7C2A">
              <w:rPr>
                <w:rFonts w:eastAsia="Times New Roman" w:cs="Times New Roman"/>
                <w:b/>
                <w:bCs/>
                <w:color w:val="000000"/>
                <w:szCs w:val="24"/>
                <w:lang w:eastAsia="en-GB"/>
              </w:rPr>
              <w:t>Total SHP</w:t>
            </w:r>
          </w:p>
          <w:p w14:paraId="32246129" w14:textId="603E4D94" w:rsidR="000B4045" w:rsidRPr="004B7C2A" w:rsidRDefault="000B4045" w:rsidP="000B4045">
            <w:pPr>
              <w:spacing w:after="0" w:line="240" w:lineRule="auto"/>
              <w:jc w:val="center"/>
              <w:rPr>
                <w:rFonts w:eastAsia="Times New Roman" w:cs="Times New Roman"/>
                <w:b/>
                <w:bCs/>
                <w:color w:val="000000"/>
                <w:szCs w:val="24"/>
                <w:lang w:eastAsia="en-GB"/>
              </w:rPr>
            </w:pPr>
            <w:r w:rsidRPr="004B7C2A">
              <w:rPr>
                <w:rFonts w:eastAsia="Times New Roman" w:cs="Times New Roman"/>
                <w:b/>
                <w:bCs/>
                <w:color w:val="000000"/>
                <w:szCs w:val="24"/>
                <w:lang w:eastAsia="en-GB"/>
              </w:rPr>
              <w:t>Potential (mw)</w:t>
            </w:r>
          </w:p>
        </w:tc>
      </w:tr>
      <w:tr w:rsidR="000B4045" w:rsidRPr="004826E1" w14:paraId="0827596F" w14:textId="77777777" w:rsidTr="000B4045">
        <w:trPr>
          <w:trHeight w:val="325"/>
        </w:trPr>
        <w:tc>
          <w:tcPr>
            <w:tcW w:w="1208" w:type="pct"/>
            <w:tcBorders>
              <w:top w:val="nil"/>
              <w:left w:val="nil"/>
              <w:bottom w:val="nil"/>
              <w:right w:val="nil"/>
            </w:tcBorders>
            <w:shd w:val="clear" w:color="auto" w:fill="auto"/>
            <w:noWrap/>
            <w:vAlign w:val="bottom"/>
            <w:hideMark/>
          </w:tcPr>
          <w:p w14:paraId="2EA54275" w14:textId="77777777" w:rsidR="000B4045" w:rsidRPr="004B7C2A" w:rsidRDefault="000B4045" w:rsidP="000B4045">
            <w:pPr>
              <w:spacing w:after="0" w:line="240" w:lineRule="auto"/>
              <w:rPr>
                <w:rFonts w:eastAsia="Times New Roman" w:cs="Times New Roman"/>
                <w:color w:val="000000"/>
                <w:szCs w:val="24"/>
                <w:lang w:eastAsia="en-GB"/>
              </w:rPr>
            </w:pPr>
            <w:r w:rsidRPr="004B7C2A">
              <w:rPr>
                <w:rFonts w:eastAsia="Times New Roman" w:cs="Times New Roman"/>
                <w:color w:val="000000"/>
                <w:szCs w:val="24"/>
                <w:lang w:eastAsia="en-GB"/>
              </w:rPr>
              <w:t>Abeokuta North</w:t>
            </w:r>
          </w:p>
        </w:tc>
        <w:tc>
          <w:tcPr>
            <w:tcW w:w="1552" w:type="pct"/>
            <w:tcBorders>
              <w:top w:val="nil"/>
              <w:left w:val="nil"/>
              <w:bottom w:val="nil"/>
              <w:right w:val="nil"/>
            </w:tcBorders>
            <w:shd w:val="clear" w:color="auto" w:fill="auto"/>
            <w:noWrap/>
            <w:vAlign w:val="bottom"/>
            <w:hideMark/>
          </w:tcPr>
          <w:p w14:paraId="14F33ED3" w14:textId="77777777" w:rsidR="000B4045" w:rsidRPr="004B7C2A" w:rsidRDefault="000B4045" w:rsidP="000B4045">
            <w:pPr>
              <w:spacing w:after="0" w:line="240" w:lineRule="auto"/>
              <w:jc w:val="center"/>
              <w:rPr>
                <w:rFonts w:eastAsia="Times New Roman" w:cs="Times New Roman"/>
                <w:color w:val="000000"/>
                <w:szCs w:val="24"/>
                <w:lang w:eastAsia="en-GB"/>
              </w:rPr>
            </w:pPr>
            <w:r w:rsidRPr="004B7C2A">
              <w:rPr>
                <w:rFonts w:eastAsia="Times New Roman" w:cs="Times New Roman"/>
                <w:color w:val="000000"/>
                <w:szCs w:val="24"/>
                <w:lang w:eastAsia="en-GB"/>
              </w:rPr>
              <w:t>1.106</w:t>
            </w:r>
          </w:p>
        </w:tc>
        <w:tc>
          <w:tcPr>
            <w:tcW w:w="970" w:type="pct"/>
            <w:tcBorders>
              <w:top w:val="nil"/>
              <w:left w:val="nil"/>
              <w:bottom w:val="nil"/>
              <w:right w:val="nil"/>
            </w:tcBorders>
            <w:shd w:val="clear" w:color="auto" w:fill="auto"/>
            <w:noWrap/>
            <w:vAlign w:val="bottom"/>
          </w:tcPr>
          <w:p w14:paraId="52BDE098" w14:textId="77777777" w:rsidR="000B4045" w:rsidRPr="004B7C2A" w:rsidRDefault="000B4045" w:rsidP="000B4045">
            <w:pPr>
              <w:spacing w:after="0" w:line="240" w:lineRule="auto"/>
              <w:jc w:val="center"/>
              <w:rPr>
                <w:rFonts w:eastAsia="Times New Roman" w:cs="Times New Roman"/>
                <w:color w:val="000000"/>
                <w:szCs w:val="24"/>
                <w:lang w:eastAsia="en-GB"/>
              </w:rPr>
            </w:pPr>
            <w:r w:rsidRPr="004B7C2A">
              <w:rPr>
                <w:rFonts w:eastAsia="Times New Roman" w:cs="Times New Roman"/>
                <w:color w:val="000000"/>
                <w:szCs w:val="24"/>
                <w:lang w:eastAsia="en-GB"/>
              </w:rPr>
              <w:t>5.798</w:t>
            </w:r>
          </w:p>
        </w:tc>
        <w:tc>
          <w:tcPr>
            <w:tcW w:w="1270" w:type="pct"/>
            <w:tcBorders>
              <w:top w:val="nil"/>
              <w:left w:val="nil"/>
              <w:bottom w:val="nil"/>
              <w:right w:val="nil"/>
            </w:tcBorders>
            <w:vAlign w:val="bottom"/>
          </w:tcPr>
          <w:p w14:paraId="59EB043F" w14:textId="1B11AB3C" w:rsidR="000B4045" w:rsidRPr="004B7C2A" w:rsidRDefault="000B4045" w:rsidP="000B4045">
            <w:pPr>
              <w:spacing w:after="0" w:line="240" w:lineRule="auto"/>
              <w:jc w:val="center"/>
              <w:rPr>
                <w:rFonts w:eastAsia="Times New Roman" w:cs="Times New Roman"/>
                <w:color w:val="000000"/>
                <w:szCs w:val="24"/>
                <w:lang w:eastAsia="en-GB"/>
              </w:rPr>
            </w:pPr>
            <w:r w:rsidRPr="004B7C2A">
              <w:rPr>
                <w:rFonts w:eastAsia="Times New Roman" w:cs="Times New Roman"/>
                <w:color w:val="000000"/>
                <w:szCs w:val="24"/>
                <w:lang w:eastAsia="en-GB"/>
              </w:rPr>
              <w:t>13.48</w:t>
            </w:r>
          </w:p>
        </w:tc>
      </w:tr>
      <w:tr w:rsidR="000B4045" w:rsidRPr="004826E1" w14:paraId="34A06B6D" w14:textId="77777777" w:rsidTr="000B4045">
        <w:trPr>
          <w:trHeight w:val="325"/>
        </w:trPr>
        <w:tc>
          <w:tcPr>
            <w:tcW w:w="1208" w:type="pct"/>
            <w:tcBorders>
              <w:top w:val="nil"/>
              <w:left w:val="nil"/>
              <w:bottom w:val="nil"/>
              <w:right w:val="nil"/>
            </w:tcBorders>
            <w:shd w:val="clear" w:color="auto" w:fill="auto"/>
            <w:noWrap/>
            <w:vAlign w:val="bottom"/>
            <w:hideMark/>
          </w:tcPr>
          <w:p w14:paraId="689EA328" w14:textId="77777777" w:rsidR="000B4045" w:rsidRPr="004B7C2A" w:rsidRDefault="000B4045" w:rsidP="000B4045">
            <w:pPr>
              <w:spacing w:after="0" w:line="240" w:lineRule="auto"/>
              <w:rPr>
                <w:rFonts w:eastAsia="Times New Roman" w:cs="Times New Roman"/>
                <w:color w:val="000000"/>
                <w:szCs w:val="24"/>
                <w:lang w:eastAsia="en-GB"/>
              </w:rPr>
            </w:pPr>
            <w:r w:rsidRPr="004B7C2A">
              <w:rPr>
                <w:rFonts w:eastAsia="Times New Roman" w:cs="Times New Roman"/>
                <w:color w:val="000000"/>
                <w:szCs w:val="24"/>
                <w:lang w:eastAsia="en-GB"/>
              </w:rPr>
              <w:t>Abeokuta South</w:t>
            </w:r>
          </w:p>
        </w:tc>
        <w:tc>
          <w:tcPr>
            <w:tcW w:w="1552" w:type="pct"/>
            <w:tcBorders>
              <w:top w:val="nil"/>
              <w:left w:val="nil"/>
              <w:bottom w:val="nil"/>
              <w:right w:val="nil"/>
            </w:tcBorders>
            <w:shd w:val="clear" w:color="auto" w:fill="auto"/>
            <w:noWrap/>
            <w:vAlign w:val="bottom"/>
          </w:tcPr>
          <w:p w14:paraId="28E61956" w14:textId="77777777" w:rsidR="000B4045" w:rsidRPr="004B7C2A" w:rsidRDefault="000B4045" w:rsidP="000B4045">
            <w:pPr>
              <w:spacing w:after="0" w:line="240" w:lineRule="auto"/>
              <w:jc w:val="center"/>
              <w:rPr>
                <w:rFonts w:eastAsia="Times New Roman" w:cs="Times New Roman"/>
                <w:color w:val="000000"/>
                <w:szCs w:val="24"/>
                <w:lang w:eastAsia="en-GB"/>
              </w:rPr>
            </w:pPr>
            <w:r w:rsidRPr="004B7C2A">
              <w:rPr>
                <w:rFonts w:eastAsia="Times New Roman" w:cs="Times New Roman"/>
                <w:color w:val="000000"/>
                <w:szCs w:val="24"/>
                <w:lang w:eastAsia="en-GB"/>
              </w:rPr>
              <w:t>0.510</w:t>
            </w:r>
          </w:p>
        </w:tc>
        <w:tc>
          <w:tcPr>
            <w:tcW w:w="970" w:type="pct"/>
            <w:tcBorders>
              <w:top w:val="nil"/>
              <w:left w:val="nil"/>
              <w:bottom w:val="nil"/>
              <w:right w:val="nil"/>
            </w:tcBorders>
            <w:shd w:val="clear" w:color="auto" w:fill="auto"/>
            <w:noWrap/>
            <w:vAlign w:val="bottom"/>
          </w:tcPr>
          <w:p w14:paraId="1E66CFFC" w14:textId="77777777" w:rsidR="000B4045" w:rsidRPr="004B7C2A" w:rsidRDefault="000B4045" w:rsidP="000B4045">
            <w:pPr>
              <w:spacing w:after="0" w:line="240" w:lineRule="auto"/>
              <w:jc w:val="center"/>
              <w:rPr>
                <w:rFonts w:eastAsia="Times New Roman" w:cs="Times New Roman"/>
                <w:color w:val="000000"/>
                <w:szCs w:val="24"/>
                <w:lang w:eastAsia="en-GB"/>
              </w:rPr>
            </w:pPr>
            <w:r w:rsidRPr="004B7C2A">
              <w:rPr>
                <w:rFonts w:eastAsia="Times New Roman" w:cs="Times New Roman"/>
                <w:color w:val="000000"/>
                <w:szCs w:val="24"/>
                <w:lang w:eastAsia="en-GB"/>
              </w:rPr>
              <w:t>2.096</w:t>
            </w:r>
          </w:p>
        </w:tc>
        <w:tc>
          <w:tcPr>
            <w:tcW w:w="1270" w:type="pct"/>
            <w:tcBorders>
              <w:top w:val="nil"/>
              <w:left w:val="nil"/>
              <w:bottom w:val="nil"/>
              <w:right w:val="nil"/>
            </w:tcBorders>
            <w:vAlign w:val="bottom"/>
          </w:tcPr>
          <w:p w14:paraId="5A94E1C6" w14:textId="61557882" w:rsidR="000B4045" w:rsidRPr="004B7C2A" w:rsidRDefault="000B4045" w:rsidP="000B4045">
            <w:pPr>
              <w:spacing w:after="0" w:line="240" w:lineRule="auto"/>
              <w:jc w:val="center"/>
              <w:rPr>
                <w:rFonts w:eastAsia="Times New Roman" w:cs="Times New Roman"/>
                <w:color w:val="000000"/>
                <w:szCs w:val="24"/>
                <w:lang w:eastAsia="en-GB"/>
              </w:rPr>
            </w:pPr>
            <w:r w:rsidRPr="004B7C2A">
              <w:rPr>
                <w:rFonts w:eastAsia="Times New Roman" w:cs="Times New Roman"/>
                <w:color w:val="000000"/>
                <w:szCs w:val="24"/>
                <w:lang w:eastAsia="en-GB"/>
              </w:rPr>
              <w:t>9.9</w:t>
            </w:r>
            <w:r w:rsidR="00714F18" w:rsidRPr="004B7C2A">
              <w:rPr>
                <w:rFonts w:eastAsia="Times New Roman" w:cs="Times New Roman"/>
                <w:color w:val="000000"/>
                <w:szCs w:val="24"/>
                <w:lang w:eastAsia="en-GB"/>
              </w:rPr>
              <w:t>4</w:t>
            </w:r>
          </w:p>
        </w:tc>
      </w:tr>
      <w:tr w:rsidR="000B4045" w:rsidRPr="004826E1" w14:paraId="2327A6C0" w14:textId="77777777" w:rsidTr="000B4045">
        <w:trPr>
          <w:trHeight w:val="325"/>
        </w:trPr>
        <w:tc>
          <w:tcPr>
            <w:tcW w:w="1208" w:type="pct"/>
            <w:tcBorders>
              <w:top w:val="nil"/>
              <w:left w:val="nil"/>
              <w:bottom w:val="nil"/>
              <w:right w:val="nil"/>
            </w:tcBorders>
            <w:shd w:val="clear" w:color="auto" w:fill="auto"/>
            <w:noWrap/>
            <w:vAlign w:val="bottom"/>
          </w:tcPr>
          <w:p w14:paraId="4E79DDD2" w14:textId="01CE8E39" w:rsidR="000B4045" w:rsidRPr="004B7C2A" w:rsidRDefault="000B4045" w:rsidP="000B4045">
            <w:pPr>
              <w:spacing w:after="0" w:line="240" w:lineRule="auto"/>
              <w:rPr>
                <w:rFonts w:eastAsia="Times New Roman" w:cs="Times New Roman"/>
                <w:color w:val="000000"/>
                <w:szCs w:val="24"/>
                <w:lang w:eastAsia="en-GB"/>
              </w:rPr>
            </w:pPr>
            <w:r w:rsidRPr="004B7C2A">
              <w:rPr>
                <w:rFonts w:eastAsia="Times New Roman" w:cs="Times New Roman"/>
                <w:color w:val="000000"/>
                <w:szCs w:val="24"/>
                <w:lang w:eastAsia="en-GB"/>
              </w:rPr>
              <w:t>Ifo</w:t>
            </w:r>
          </w:p>
        </w:tc>
        <w:tc>
          <w:tcPr>
            <w:tcW w:w="1552" w:type="pct"/>
            <w:tcBorders>
              <w:top w:val="nil"/>
              <w:left w:val="nil"/>
              <w:bottom w:val="nil"/>
              <w:right w:val="nil"/>
            </w:tcBorders>
            <w:shd w:val="clear" w:color="auto" w:fill="auto"/>
            <w:noWrap/>
            <w:vAlign w:val="bottom"/>
          </w:tcPr>
          <w:p w14:paraId="343F8DA4" w14:textId="6C32CA24" w:rsidR="000B4045" w:rsidRPr="004B7C2A" w:rsidRDefault="000B4045" w:rsidP="000B4045">
            <w:pPr>
              <w:spacing w:after="0" w:line="240" w:lineRule="auto"/>
              <w:jc w:val="center"/>
              <w:rPr>
                <w:rFonts w:eastAsia="Times New Roman" w:cs="Times New Roman"/>
                <w:color w:val="000000"/>
                <w:szCs w:val="24"/>
                <w:lang w:eastAsia="en-GB"/>
              </w:rPr>
            </w:pPr>
            <w:r w:rsidRPr="004B7C2A">
              <w:rPr>
                <w:rFonts w:eastAsia="Times New Roman" w:cs="Times New Roman"/>
                <w:color w:val="000000"/>
                <w:szCs w:val="24"/>
                <w:lang w:eastAsia="en-GB"/>
              </w:rPr>
              <w:t>0.502</w:t>
            </w:r>
          </w:p>
        </w:tc>
        <w:tc>
          <w:tcPr>
            <w:tcW w:w="970" w:type="pct"/>
            <w:tcBorders>
              <w:top w:val="nil"/>
              <w:left w:val="nil"/>
              <w:bottom w:val="nil"/>
              <w:right w:val="nil"/>
            </w:tcBorders>
            <w:shd w:val="clear" w:color="auto" w:fill="auto"/>
            <w:noWrap/>
            <w:vAlign w:val="bottom"/>
          </w:tcPr>
          <w:p w14:paraId="0529A9F1" w14:textId="7381B213" w:rsidR="000B4045" w:rsidRPr="004B7C2A" w:rsidRDefault="000B4045" w:rsidP="000B4045">
            <w:pPr>
              <w:spacing w:after="0" w:line="240" w:lineRule="auto"/>
              <w:jc w:val="center"/>
              <w:rPr>
                <w:rFonts w:eastAsia="Times New Roman" w:cs="Times New Roman"/>
                <w:color w:val="000000"/>
                <w:szCs w:val="24"/>
                <w:lang w:eastAsia="en-GB"/>
              </w:rPr>
            </w:pPr>
            <w:r w:rsidRPr="004B7C2A">
              <w:rPr>
                <w:rFonts w:eastAsia="Times New Roman" w:cs="Times New Roman"/>
                <w:color w:val="000000"/>
                <w:szCs w:val="24"/>
                <w:lang w:eastAsia="en-GB"/>
              </w:rPr>
              <w:t>3.133</w:t>
            </w:r>
          </w:p>
        </w:tc>
        <w:tc>
          <w:tcPr>
            <w:tcW w:w="1270" w:type="pct"/>
            <w:tcBorders>
              <w:top w:val="nil"/>
              <w:left w:val="nil"/>
              <w:bottom w:val="nil"/>
              <w:right w:val="nil"/>
            </w:tcBorders>
            <w:vAlign w:val="bottom"/>
          </w:tcPr>
          <w:p w14:paraId="324246E5" w14:textId="26FCFA8E" w:rsidR="000B4045" w:rsidRPr="004B7C2A" w:rsidRDefault="000B4045" w:rsidP="000B4045">
            <w:pPr>
              <w:spacing w:after="0" w:line="240" w:lineRule="auto"/>
              <w:jc w:val="center"/>
              <w:rPr>
                <w:rFonts w:eastAsia="Times New Roman" w:cs="Times New Roman"/>
                <w:color w:val="000000"/>
                <w:szCs w:val="24"/>
                <w:lang w:eastAsia="en-GB"/>
              </w:rPr>
            </w:pPr>
            <w:r w:rsidRPr="004B7C2A">
              <w:rPr>
                <w:rFonts w:eastAsia="Times New Roman" w:cs="Times New Roman"/>
                <w:color w:val="000000"/>
                <w:szCs w:val="24"/>
                <w:lang w:eastAsia="en-GB"/>
              </w:rPr>
              <w:t>10.53</w:t>
            </w:r>
          </w:p>
        </w:tc>
      </w:tr>
      <w:tr w:rsidR="000B4045" w:rsidRPr="004826E1" w14:paraId="44FCFA48" w14:textId="77777777" w:rsidTr="000B4045">
        <w:trPr>
          <w:trHeight w:val="325"/>
        </w:trPr>
        <w:tc>
          <w:tcPr>
            <w:tcW w:w="1208" w:type="pct"/>
            <w:tcBorders>
              <w:top w:val="nil"/>
              <w:left w:val="nil"/>
              <w:bottom w:val="nil"/>
              <w:right w:val="nil"/>
            </w:tcBorders>
            <w:shd w:val="clear" w:color="auto" w:fill="auto"/>
            <w:noWrap/>
            <w:vAlign w:val="bottom"/>
            <w:hideMark/>
          </w:tcPr>
          <w:p w14:paraId="0945F856" w14:textId="77777777" w:rsidR="000B4045" w:rsidRPr="004B7C2A" w:rsidRDefault="000B4045" w:rsidP="000B4045">
            <w:pPr>
              <w:spacing w:after="0" w:line="240" w:lineRule="auto"/>
              <w:rPr>
                <w:rFonts w:eastAsia="Times New Roman" w:cs="Times New Roman"/>
                <w:color w:val="000000"/>
                <w:szCs w:val="24"/>
                <w:lang w:eastAsia="en-GB"/>
              </w:rPr>
            </w:pPr>
            <w:r w:rsidRPr="004B7C2A">
              <w:rPr>
                <w:rFonts w:eastAsia="Times New Roman" w:cs="Times New Roman"/>
                <w:color w:val="000000"/>
                <w:szCs w:val="24"/>
                <w:lang w:eastAsia="en-GB"/>
              </w:rPr>
              <w:t>Obafemi-Owode</w:t>
            </w:r>
          </w:p>
        </w:tc>
        <w:tc>
          <w:tcPr>
            <w:tcW w:w="1552" w:type="pct"/>
            <w:tcBorders>
              <w:top w:val="nil"/>
              <w:left w:val="nil"/>
              <w:bottom w:val="nil"/>
              <w:right w:val="nil"/>
            </w:tcBorders>
            <w:shd w:val="clear" w:color="auto" w:fill="auto"/>
            <w:noWrap/>
            <w:vAlign w:val="bottom"/>
          </w:tcPr>
          <w:p w14:paraId="5C54B682" w14:textId="77777777" w:rsidR="000B4045" w:rsidRPr="004B7C2A" w:rsidRDefault="000B4045" w:rsidP="000B4045">
            <w:pPr>
              <w:spacing w:after="0" w:line="240" w:lineRule="auto"/>
              <w:jc w:val="center"/>
              <w:rPr>
                <w:rFonts w:eastAsia="Times New Roman" w:cs="Times New Roman"/>
                <w:color w:val="000000"/>
                <w:szCs w:val="24"/>
                <w:lang w:eastAsia="en-GB"/>
              </w:rPr>
            </w:pPr>
            <w:r w:rsidRPr="004B7C2A">
              <w:rPr>
                <w:rFonts w:eastAsia="Times New Roman" w:cs="Times New Roman"/>
                <w:color w:val="000000"/>
                <w:szCs w:val="24"/>
                <w:lang w:eastAsia="en-GB"/>
              </w:rPr>
              <w:t>0.535</w:t>
            </w:r>
          </w:p>
        </w:tc>
        <w:tc>
          <w:tcPr>
            <w:tcW w:w="970" w:type="pct"/>
            <w:tcBorders>
              <w:top w:val="nil"/>
              <w:left w:val="nil"/>
              <w:bottom w:val="nil"/>
              <w:right w:val="nil"/>
            </w:tcBorders>
            <w:shd w:val="clear" w:color="auto" w:fill="auto"/>
            <w:noWrap/>
            <w:vAlign w:val="bottom"/>
          </w:tcPr>
          <w:p w14:paraId="38EA8D11" w14:textId="77777777" w:rsidR="000B4045" w:rsidRPr="004B7C2A" w:rsidRDefault="000B4045" w:rsidP="000B4045">
            <w:pPr>
              <w:spacing w:after="0" w:line="240" w:lineRule="auto"/>
              <w:jc w:val="center"/>
              <w:rPr>
                <w:rFonts w:eastAsia="Times New Roman" w:cs="Times New Roman"/>
                <w:color w:val="000000"/>
                <w:szCs w:val="24"/>
                <w:lang w:eastAsia="en-GB"/>
              </w:rPr>
            </w:pPr>
            <w:r w:rsidRPr="004B7C2A">
              <w:rPr>
                <w:rFonts w:eastAsia="Times New Roman" w:cs="Times New Roman"/>
                <w:color w:val="000000"/>
                <w:szCs w:val="24"/>
                <w:lang w:eastAsia="en-GB"/>
              </w:rPr>
              <w:t>1.906</w:t>
            </w:r>
          </w:p>
        </w:tc>
        <w:tc>
          <w:tcPr>
            <w:tcW w:w="1270" w:type="pct"/>
            <w:tcBorders>
              <w:top w:val="nil"/>
              <w:left w:val="nil"/>
              <w:bottom w:val="nil"/>
              <w:right w:val="nil"/>
            </w:tcBorders>
            <w:vAlign w:val="bottom"/>
          </w:tcPr>
          <w:p w14:paraId="15CE81AC" w14:textId="34FE896E" w:rsidR="000B4045" w:rsidRPr="004B7C2A" w:rsidRDefault="000B4045" w:rsidP="000B4045">
            <w:pPr>
              <w:spacing w:after="0" w:line="240" w:lineRule="auto"/>
              <w:jc w:val="center"/>
              <w:rPr>
                <w:rFonts w:eastAsia="Times New Roman" w:cs="Times New Roman"/>
                <w:color w:val="000000"/>
                <w:szCs w:val="24"/>
                <w:lang w:eastAsia="en-GB"/>
              </w:rPr>
            </w:pPr>
            <w:r w:rsidRPr="004B7C2A">
              <w:rPr>
                <w:rFonts w:eastAsia="Times New Roman" w:cs="Times New Roman"/>
                <w:color w:val="000000"/>
                <w:szCs w:val="24"/>
                <w:lang w:eastAsia="en-GB"/>
              </w:rPr>
              <w:t>11.3</w:t>
            </w:r>
            <w:r w:rsidR="00714F18" w:rsidRPr="004B7C2A">
              <w:rPr>
                <w:rFonts w:eastAsia="Times New Roman" w:cs="Times New Roman"/>
                <w:color w:val="000000"/>
                <w:szCs w:val="24"/>
                <w:lang w:eastAsia="en-GB"/>
              </w:rPr>
              <w:t>8</w:t>
            </w:r>
          </w:p>
        </w:tc>
      </w:tr>
      <w:tr w:rsidR="000B4045" w:rsidRPr="004826E1" w14:paraId="5E6D411E" w14:textId="77777777" w:rsidTr="000B4045">
        <w:trPr>
          <w:trHeight w:val="325"/>
        </w:trPr>
        <w:tc>
          <w:tcPr>
            <w:tcW w:w="1208" w:type="pct"/>
            <w:tcBorders>
              <w:top w:val="nil"/>
              <w:left w:val="nil"/>
              <w:bottom w:val="nil"/>
              <w:right w:val="nil"/>
            </w:tcBorders>
            <w:shd w:val="clear" w:color="auto" w:fill="auto"/>
            <w:noWrap/>
            <w:vAlign w:val="bottom"/>
            <w:hideMark/>
          </w:tcPr>
          <w:p w14:paraId="381A794B" w14:textId="77777777" w:rsidR="000B4045" w:rsidRPr="004B7C2A" w:rsidRDefault="000B4045" w:rsidP="000B4045">
            <w:pPr>
              <w:spacing w:after="0" w:line="240" w:lineRule="auto"/>
              <w:rPr>
                <w:rFonts w:eastAsia="Times New Roman" w:cs="Times New Roman"/>
                <w:color w:val="000000"/>
                <w:szCs w:val="24"/>
                <w:lang w:eastAsia="en-GB"/>
              </w:rPr>
            </w:pPr>
            <w:r w:rsidRPr="004B7C2A">
              <w:rPr>
                <w:rFonts w:eastAsia="Times New Roman" w:cs="Times New Roman"/>
                <w:color w:val="000000"/>
                <w:szCs w:val="24"/>
                <w:lang w:eastAsia="en-GB"/>
              </w:rPr>
              <w:t>Odeda</w:t>
            </w:r>
          </w:p>
        </w:tc>
        <w:tc>
          <w:tcPr>
            <w:tcW w:w="1552" w:type="pct"/>
            <w:tcBorders>
              <w:top w:val="nil"/>
              <w:left w:val="nil"/>
              <w:bottom w:val="nil"/>
              <w:right w:val="nil"/>
            </w:tcBorders>
            <w:shd w:val="clear" w:color="auto" w:fill="auto"/>
            <w:noWrap/>
            <w:vAlign w:val="bottom"/>
            <w:hideMark/>
          </w:tcPr>
          <w:p w14:paraId="6AAC039E" w14:textId="77777777" w:rsidR="000B4045" w:rsidRPr="004B7C2A" w:rsidRDefault="000B4045" w:rsidP="000B4045">
            <w:pPr>
              <w:spacing w:after="0" w:line="240" w:lineRule="auto"/>
              <w:jc w:val="center"/>
              <w:rPr>
                <w:rFonts w:eastAsia="Times New Roman" w:cs="Times New Roman"/>
                <w:color w:val="000000"/>
                <w:szCs w:val="24"/>
                <w:lang w:eastAsia="en-GB"/>
              </w:rPr>
            </w:pPr>
            <w:r w:rsidRPr="004B7C2A">
              <w:rPr>
                <w:rFonts w:eastAsia="Times New Roman" w:cs="Times New Roman"/>
                <w:color w:val="000000"/>
                <w:szCs w:val="24"/>
                <w:lang w:eastAsia="en-GB"/>
              </w:rPr>
              <w:t>0.513</w:t>
            </w:r>
          </w:p>
        </w:tc>
        <w:tc>
          <w:tcPr>
            <w:tcW w:w="970" w:type="pct"/>
            <w:tcBorders>
              <w:top w:val="nil"/>
              <w:left w:val="nil"/>
              <w:bottom w:val="nil"/>
              <w:right w:val="nil"/>
            </w:tcBorders>
            <w:shd w:val="clear" w:color="auto" w:fill="auto"/>
            <w:noWrap/>
            <w:vAlign w:val="bottom"/>
          </w:tcPr>
          <w:p w14:paraId="6413A847" w14:textId="77777777" w:rsidR="000B4045" w:rsidRPr="004B7C2A" w:rsidRDefault="000B4045" w:rsidP="000B4045">
            <w:pPr>
              <w:spacing w:after="0" w:line="240" w:lineRule="auto"/>
              <w:jc w:val="center"/>
              <w:rPr>
                <w:rFonts w:eastAsia="Times New Roman" w:cs="Times New Roman"/>
                <w:color w:val="000000"/>
                <w:szCs w:val="24"/>
                <w:lang w:eastAsia="en-GB"/>
              </w:rPr>
            </w:pPr>
            <w:r w:rsidRPr="004B7C2A">
              <w:rPr>
                <w:rFonts w:eastAsia="Times New Roman" w:cs="Times New Roman"/>
                <w:color w:val="000000"/>
                <w:szCs w:val="24"/>
                <w:lang w:eastAsia="en-GB"/>
              </w:rPr>
              <w:t>3.284</w:t>
            </w:r>
          </w:p>
        </w:tc>
        <w:tc>
          <w:tcPr>
            <w:tcW w:w="1270" w:type="pct"/>
            <w:tcBorders>
              <w:top w:val="nil"/>
              <w:left w:val="nil"/>
              <w:bottom w:val="nil"/>
              <w:right w:val="nil"/>
            </w:tcBorders>
            <w:vAlign w:val="bottom"/>
          </w:tcPr>
          <w:p w14:paraId="032B59E7" w14:textId="3F278D30" w:rsidR="000B4045" w:rsidRPr="004B7C2A" w:rsidRDefault="000B4045" w:rsidP="000B4045">
            <w:pPr>
              <w:spacing w:after="0" w:line="240" w:lineRule="auto"/>
              <w:jc w:val="center"/>
              <w:rPr>
                <w:rFonts w:eastAsia="Times New Roman" w:cs="Times New Roman"/>
                <w:color w:val="000000"/>
                <w:szCs w:val="24"/>
                <w:lang w:eastAsia="en-GB"/>
              </w:rPr>
            </w:pPr>
            <w:r w:rsidRPr="004B7C2A">
              <w:rPr>
                <w:rFonts w:eastAsia="Times New Roman" w:cs="Times New Roman"/>
                <w:color w:val="000000"/>
                <w:szCs w:val="24"/>
                <w:lang w:eastAsia="en-GB"/>
              </w:rPr>
              <w:t>30.05</w:t>
            </w:r>
          </w:p>
        </w:tc>
      </w:tr>
      <w:tr w:rsidR="000B4045" w:rsidRPr="00394237" w14:paraId="183BEF64" w14:textId="77777777" w:rsidTr="000B4045">
        <w:trPr>
          <w:trHeight w:val="325"/>
        </w:trPr>
        <w:tc>
          <w:tcPr>
            <w:tcW w:w="1208" w:type="pct"/>
            <w:tcBorders>
              <w:top w:val="single" w:sz="4" w:space="0" w:color="auto"/>
              <w:left w:val="nil"/>
              <w:bottom w:val="single" w:sz="4" w:space="0" w:color="auto"/>
              <w:right w:val="nil"/>
            </w:tcBorders>
            <w:shd w:val="clear" w:color="auto" w:fill="auto"/>
            <w:noWrap/>
            <w:vAlign w:val="bottom"/>
            <w:hideMark/>
          </w:tcPr>
          <w:p w14:paraId="12BA09B3" w14:textId="77777777" w:rsidR="000B4045" w:rsidRPr="004B7C2A" w:rsidRDefault="000B4045" w:rsidP="000B4045">
            <w:pPr>
              <w:spacing w:after="0" w:line="240" w:lineRule="auto"/>
              <w:rPr>
                <w:rFonts w:eastAsia="Times New Roman" w:cs="Times New Roman"/>
                <w:b/>
                <w:bCs/>
                <w:color w:val="000000"/>
                <w:szCs w:val="24"/>
                <w:lang w:eastAsia="en-GB"/>
              </w:rPr>
            </w:pPr>
            <w:r w:rsidRPr="004B7C2A">
              <w:rPr>
                <w:rFonts w:eastAsia="Times New Roman" w:cs="Times New Roman"/>
                <w:b/>
                <w:bCs/>
                <w:color w:val="000000"/>
                <w:szCs w:val="24"/>
                <w:lang w:eastAsia="en-GB"/>
              </w:rPr>
              <w:t> Total</w:t>
            </w:r>
          </w:p>
        </w:tc>
        <w:tc>
          <w:tcPr>
            <w:tcW w:w="1552" w:type="pct"/>
            <w:tcBorders>
              <w:top w:val="single" w:sz="4" w:space="0" w:color="auto"/>
              <w:left w:val="nil"/>
              <w:bottom w:val="single" w:sz="4" w:space="0" w:color="auto"/>
              <w:right w:val="nil"/>
            </w:tcBorders>
            <w:shd w:val="clear" w:color="auto" w:fill="auto"/>
            <w:noWrap/>
            <w:vAlign w:val="bottom"/>
            <w:hideMark/>
          </w:tcPr>
          <w:p w14:paraId="0612D82B" w14:textId="77777777" w:rsidR="000B4045" w:rsidRPr="004B7C2A" w:rsidRDefault="000B4045" w:rsidP="000B4045">
            <w:pPr>
              <w:spacing w:after="0" w:line="240" w:lineRule="auto"/>
              <w:jc w:val="center"/>
              <w:rPr>
                <w:rFonts w:eastAsia="Times New Roman" w:cs="Times New Roman"/>
                <w:b/>
                <w:bCs/>
                <w:color w:val="000000"/>
                <w:szCs w:val="24"/>
                <w:lang w:eastAsia="en-GB"/>
              </w:rPr>
            </w:pPr>
          </w:p>
        </w:tc>
        <w:tc>
          <w:tcPr>
            <w:tcW w:w="970" w:type="pct"/>
            <w:tcBorders>
              <w:top w:val="single" w:sz="4" w:space="0" w:color="auto"/>
              <w:left w:val="nil"/>
              <w:bottom w:val="single" w:sz="4" w:space="0" w:color="auto"/>
              <w:right w:val="nil"/>
            </w:tcBorders>
            <w:shd w:val="clear" w:color="auto" w:fill="auto"/>
            <w:noWrap/>
            <w:vAlign w:val="bottom"/>
            <w:hideMark/>
          </w:tcPr>
          <w:p w14:paraId="1BFBAFAE" w14:textId="77777777" w:rsidR="000B4045" w:rsidRPr="004B7C2A" w:rsidRDefault="000B4045" w:rsidP="000B4045">
            <w:pPr>
              <w:spacing w:after="0" w:line="240" w:lineRule="auto"/>
              <w:jc w:val="center"/>
              <w:rPr>
                <w:rFonts w:eastAsia="Times New Roman" w:cs="Times New Roman"/>
                <w:b/>
                <w:bCs/>
                <w:color w:val="000000"/>
                <w:szCs w:val="24"/>
                <w:lang w:eastAsia="en-GB"/>
              </w:rPr>
            </w:pPr>
          </w:p>
        </w:tc>
        <w:tc>
          <w:tcPr>
            <w:tcW w:w="1270" w:type="pct"/>
            <w:tcBorders>
              <w:top w:val="single" w:sz="4" w:space="0" w:color="auto"/>
              <w:left w:val="nil"/>
              <w:bottom w:val="single" w:sz="4" w:space="0" w:color="auto"/>
              <w:right w:val="nil"/>
            </w:tcBorders>
          </w:tcPr>
          <w:p w14:paraId="66947C6A" w14:textId="3B901AB5" w:rsidR="000B4045" w:rsidRPr="004B7C2A" w:rsidRDefault="000B4045" w:rsidP="000B4045">
            <w:pPr>
              <w:spacing w:after="0" w:line="240" w:lineRule="auto"/>
              <w:jc w:val="center"/>
              <w:rPr>
                <w:rFonts w:eastAsia="Times New Roman" w:cs="Times New Roman"/>
                <w:b/>
                <w:bCs/>
                <w:color w:val="000000"/>
                <w:szCs w:val="24"/>
                <w:lang w:eastAsia="en-GB"/>
              </w:rPr>
            </w:pPr>
            <w:r w:rsidRPr="004B7C2A">
              <w:rPr>
                <w:rFonts w:eastAsia="Times New Roman" w:cs="Times New Roman"/>
                <w:b/>
                <w:bCs/>
                <w:color w:val="000000"/>
                <w:szCs w:val="24"/>
                <w:lang w:eastAsia="en-GB"/>
              </w:rPr>
              <w:t>75.3</w:t>
            </w:r>
            <w:r w:rsidR="00714F18" w:rsidRPr="004B7C2A">
              <w:rPr>
                <w:rFonts w:eastAsia="Times New Roman" w:cs="Times New Roman"/>
                <w:b/>
                <w:bCs/>
                <w:color w:val="000000"/>
                <w:szCs w:val="24"/>
                <w:lang w:eastAsia="en-GB"/>
              </w:rPr>
              <w:t>8</w:t>
            </w:r>
          </w:p>
        </w:tc>
      </w:tr>
    </w:tbl>
    <w:p w14:paraId="2AD35DB0" w14:textId="19E5F6DD" w:rsidR="000B4045" w:rsidRDefault="000B4045" w:rsidP="005F01BE"/>
    <w:p w14:paraId="3C15AD52" w14:textId="00AC1EC6" w:rsidR="0010328B" w:rsidRDefault="00CB35C5" w:rsidP="00CB35C5">
      <w:pPr>
        <w:ind w:left="720" w:hanging="720"/>
        <w:jc w:val="both"/>
        <w:rPr>
          <w:b/>
          <w:bCs/>
        </w:rPr>
      </w:pPr>
      <w:r>
        <w:rPr>
          <w:b/>
          <w:bCs/>
        </w:rPr>
        <w:t>4.4</w:t>
      </w:r>
      <w:r>
        <w:rPr>
          <w:b/>
          <w:bCs/>
        </w:rPr>
        <w:tab/>
      </w:r>
      <w:r w:rsidR="0010328B">
        <w:rPr>
          <w:b/>
          <w:bCs/>
        </w:rPr>
        <w:t>Energy Access Situation of Communities along River Ogun</w:t>
      </w:r>
    </w:p>
    <w:p w14:paraId="66253226" w14:textId="6328B9FF" w:rsidR="0010328B" w:rsidRDefault="0010328B" w:rsidP="001C6CCF">
      <w:pPr>
        <w:jc w:val="both"/>
      </w:pPr>
      <w:r>
        <w:t xml:space="preserve">The study examined the energy </w:t>
      </w:r>
      <w:r w:rsidR="001C6CCF">
        <w:t xml:space="preserve">access </w:t>
      </w:r>
      <w:r>
        <w:t>situatio</w:t>
      </w:r>
      <w:r w:rsidR="001C6CCF">
        <w:t>n of communities located along two kilometres radius of River Ogun</w:t>
      </w:r>
      <w:r w:rsidR="004B7C2A">
        <w:t xml:space="preserve"> in other to assess the viability of potential SHP sites</w:t>
      </w:r>
      <w:r w:rsidR="001C6CCF">
        <w:t xml:space="preserve">. The study identified a total of fifty-seven rural communities and one urban centre (Abeokuta) the state capital of Ogun State (Table 6). </w:t>
      </w:r>
      <w:r w:rsidR="002D13BC">
        <w:t>The result shows th</w:t>
      </w:r>
      <w:r w:rsidR="00A23BD7">
        <w:t>ere are at least 25 rural communities (hamlet/village) along 2 kilometres radius of River Ogun, 16 in Obafemi-Owode, 13 in Ifo, 3 in Abeokuta North and one town (Abeokuta) in Abeokuta South LGA. Interestingly, none of the rural communities located along the river within 2 kilometres distance are connected to the national grid</w:t>
      </w:r>
      <w:r w:rsidR="00BC6DD9">
        <w:t xml:space="preserve"> or any off-grid electricity system,</w:t>
      </w:r>
      <w:r w:rsidR="00A23BD7">
        <w:t xml:space="preserve"> and hence had no access to public energy supply. </w:t>
      </w:r>
      <w:r w:rsidR="00BC6DD9">
        <w:t>Abeokuta on the other hand is connected to the national grid. The vast population of communities along the river course</w:t>
      </w:r>
      <w:r w:rsidR="009E3B9C">
        <w:t xml:space="preserve"> without access to electricity</w:t>
      </w:r>
      <w:r w:rsidR="00BC6DD9">
        <w:t xml:space="preserve"> provides </w:t>
      </w:r>
      <w:r w:rsidR="009E3B9C">
        <w:t>the requisite</w:t>
      </w:r>
      <w:r w:rsidR="00BC6DD9">
        <w:t xml:space="preserve"> demand for the potential energy within reasonable distance. </w:t>
      </w:r>
      <w:r w:rsidR="004247BF">
        <w:t>The distribution of the communities along the river course is depicted in Figure 5.</w:t>
      </w:r>
    </w:p>
    <w:p w14:paraId="0AEE50B5" w14:textId="618896A9" w:rsidR="004B5FAD" w:rsidRPr="0010328B" w:rsidRDefault="009E3B9C" w:rsidP="009E3B9C">
      <w:pPr>
        <w:spacing w:after="0" w:line="240" w:lineRule="auto"/>
        <w:jc w:val="both"/>
      </w:pPr>
      <w:r w:rsidRPr="009E3B9C">
        <w:rPr>
          <w:b/>
          <w:bCs/>
        </w:rPr>
        <w:t>Table 6:</w:t>
      </w:r>
      <w:r>
        <w:t xml:space="preserve"> Energy Situation of Communities along River Ogun</w:t>
      </w:r>
    </w:p>
    <w:tbl>
      <w:tblPr>
        <w:tblW w:w="4253" w:type="pct"/>
        <w:tblLayout w:type="fixed"/>
        <w:tblLook w:val="04A0" w:firstRow="1" w:lastRow="0" w:firstColumn="1" w:lastColumn="0" w:noHBand="0" w:noVBand="1"/>
      </w:tblPr>
      <w:tblGrid>
        <w:gridCol w:w="1856"/>
        <w:gridCol w:w="2382"/>
        <w:gridCol w:w="1489"/>
        <w:gridCol w:w="1488"/>
      </w:tblGrid>
      <w:tr w:rsidR="002D13BC" w:rsidRPr="004826E1" w14:paraId="11BF9C20" w14:textId="117D0AD4" w:rsidTr="00A23BD7">
        <w:trPr>
          <w:trHeight w:val="325"/>
        </w:trPr>
        <w:tc>
          <w:tcPr>
            <w:tcW w:w="1286" w:type="pct"/>
            <w:tcBorders>
              <w:top w:val="single" w:sz="4" w:space="0" w:color="auto"/>
              <w:left w:val="nil"/>
              <w:bottom w:val="single" w:sz="4" w:space="0" w:color="auto"/>
              <w:right w:val="nil"/>
            </w:tcBorders>
            <w:shd w:val="clear" w:color="auto" w:fill="auto"/>
            <w:noWrap/>
            <w:vAlign w:val="center"/>
            <w:hideMark/>
          </w:tcPr>
          <w:p w14:paraId="73B51CB8" w14:textId="77777777" w:rsidR="002D13BC" w:rsidRPr="00394237" w:rsidRDefault="002D13BC" w:rsidP="00810844">
            <w:pPr>
              <w:spacing w:after="0" w:line="240" w:lineRule="auto"/>
              <w:rPr>
                <w:rFonts w:eastAsia="Times New Roman" w:cs="Times New Roman"/>
                <w:b/>
                <w:bCs/>
                <w:color w:val="000000"/>
                <w:sz w:val="20"/>
                <w:szCs w:val="20"/>
                <w:lang w:eastAsia="en-GB"/>
              </w:rPr>
            </w:pPr>
            <w:r w:rsidRPr="00394237">
              <w:rPr>
                <w:rFonts w:eastAsia="Times New Roman" w:cs="Times New Roman"/>
                <w:b/>
                <w:bCs/>
                <w:color w:val="000000"/>
                <w:sz w:val="20"/>
                <w:szCs w:val="20"/>
                <w:lang w:eastAsia="en-GB"/>
              </w:rPr>
              <w:t> River</w:t>
            </w:r>
          </w:p>
        </w:tc>
        <w:tc>
          <w:tcPr>
            <w:tcW w:w="1651" w:type="pct"/>
            <w:tcBorders>
              <w:top w:val="single" w:sz="4" w:space="0" w:color="auto"/>
              <w:left w:val="nil"/>
              <w:bottom w:val="single" w:sz="4" w:space="0" w:color="auto"/>
              <w:right w:val="nil"/>
            </w:tcBorders>
            <w:shd w:val="clear" w:color="auto" w:fill="auto"/>
            <w:noWrap/>
            <w:vAlign w:val="center"/>
            <w:hideMark/>
          </w:tcPr>
          <w:p w14:paraId="061BAA12" w14:textId="646802DD" w:rsidR="002D13BC" w:rsidRPr="00394237" w:rsidRDefault="002D13BC" w:rsidP="00810844">
            <w:pPr>
              <w:spacing w:after="0" w:line="240" w:lineRule="auto"/>
              <w:jc w:val="center"/>
              <w:rPr>
                <w:rFonts w:eastAsia="Times New Roman" w:cs="Times New Roman"/>
                <w:b/>
                <w:bCs/>
                <w:color w:val="000000"/>
                <w:sz w:val="20"/>
                <w:szCs w:val="20"/>
                <w:lang w:eastAsia="en-GB"/>
              </w:rPr>
            </w:pPr>
            <w:r>
              <w:rPr>
                <w:rFonts w:eastAsia="Times New Roman" w:cs="Times New Roman"/>
                <w:b/>
                <w:bCs/>
                <w:color w:val="000000"/>
                <w:sz w:val="20"/>
                <w:szCs w:val="20"/>
                <w:lang w:eastAsia="en-GB"/>
              </w:rPr>
              <w:t>Communities</w:t>
            </w:r>
          </w:p>
        </w:tc>
        <w:tc>
          <w:tcPr>
            <w:tcW w:w="1032" w:type="pct"/>
            <w:tcBorders>
              <w:top w:val="single" w:sz="4" w:space="0" w:color="auto"/>
              <w:left w:val="nil"/>
              <w:bottom w:val="single" w:sz="4" w:space="0" w:color="auto"/>
              <w:right w:val="nil"/>
            </w:tcBorders>
            <w:shd w:val="clear" w:color="auto" w:fill="auto"/>
            <w:noWrap/>
            <w:vAlign w:val="center"/>
          </w:tcPr>
          <w:p w14:paraId="6E582551" w14:textId="4D049C5B" w:rsidR="002D13BC" w:rsidRPr="00394237" w:rsidRDefault="002D13BC" w:rsidP="00810844">
            <w:pPr>
              <w:spacing w:after="0" w:line="240" w:lineRule="auto"/>
              <w:jc w:val="center"/>
              <w:rPr>
                <w:rFonts w:eastAsia="Times New Roman" w:cs="Times New Roman"/>
                <w:b/>
                <w:bCs/>
                <w:color w:val="000000"/>
                <w:sz w:val="20"/>
                <w:szCs w:val="20"/>
                <w:lang w:eastAsia="en-GB"/>
              </w:rPr>
            </w:pPr>
            <w:r>
              <w:rPr>
                <w:rFonts w:eastAsia="Times New Roman" w:cs="Times New Roman"/>
                <w:b/>
                <w:bCs/>
                <w:color w:val="000000"/>
                <w:sz w:val="20"/>
                <w:szCs w:val="20"/>
                <w:lang w:eastAsia="en-GB"/>
              </w:rPr>
              <w:t>Development Status</w:t>
            </w:r>
          </w:p>
        </w:tc>
        <w:tc>
          <w:tcPr>
            <w:tcW w:w="1031" w:type="pct"/>
            <w:tcBorders>
              <w:top w:val="single" w:sz="4" w:space="0" w:color="auto"/>
              <w:left w:val="nil"/>
              <w:bottom w:val="single" w:sz="4" w:space="0" w:color="auto"/>
              <w:right w:val="nil"/>
            </w:tcBorders>
            <w:vAlign w:val="center"/>
          </w:tcPr>
          <w:p w14:paraId="05152E47" w14:textId="0742CC5C" w:rsidR="002D13BC" w:rsidRDefault="002D13BC" w:rsidP="00810844">
            <w:pPr>
              <w:spacing w:after="0" w:line="240" w:lineRule="auto"/>
              <w:jc w:val="center"/>
              <w:rPr>
                <w:rFonts w:eastAsia="Times New Roman" w:cs="Times New Roman"/>
                <w:b/>
                <w:bCs/>
                <w:color w:val="000000"/>
                <w:sz w:val="20"/>
                <w:szCs w:val="20"/>
                <w:lang w:eastAsia="en-GB"/>
              </w:rPr>
            </w:pPr>
            <w:r>
              <w:rPr>
                <w:rFonts w:eastAsia="Times New Roman" w:cs="Times New Roman"/>
                <w:b/>
                <w:bCs/>
                <w:color w:val="000000"/>
                <w:sz w:val="20"/>
                <w:szCs w:val="20"/>
                <w:lang w:eastAsia="en-GB"/>
              </w:rPr>
              <w:t>Energy Access Status</w:t>
            </w:r>
          </w:p>
        </w:tc>
      </w:tr>
      <w:tr w:rsidR="002D13BC" w:rsidRPr="004826E1" w14:paraId="0D8B010D" w14:textId="189D034E" w:rsidTr="00A23BD7">
        <w:trPr>
          <w:trHeight w:val="325"/>
        </w:trPr>
        <w:tc>
          <w:tcPr>
            <w:tcW w:w="1286" w:type="pct"/>
            <w:tcBorders>
              <w:top w:val="nil"/>
              <w:left w:val="nil"/>
              <w:bottom w:val="nil"/>
              <w:right w:val="nil"/>
            </w:tcBorders>
            <w:shd w:val="clear" w:color="auto" w:fill="auto"/>
            <w:noWrap/>
            <w:vAlign w:val="center"/>
            <w:hideMark/>
          </w:tcPr>
          <w:p w14:paraId="7ED5209B" w14:textId="77777777" w:rsidR="002D13BC" w:rsidRPr="004826E1" w:rsidRDefault="002D13BC" w:rsidP="00810844">
            <w:pPr>
              <w:spacing w:after="0" w:line="240" w:lineRule="auto"/>
              <w:rPr>
                <w:rFonts w:eastAsia="Times New Roman" w:cs="Times New Roman"/>
                <w:color w:val="000000"/>
                <w:sz w:val="20"/>
                <w:szCs w:val="20"/>
                <w:lang w:eastAsia="en-GB"/>
              </w:rPr>
            </w:pPr>
            <w:r>
              <w:rPr>
                <w:rFonts w:eastAsia="Times New Roman" w:cs="Times New Roman"/>
                <w:color w:val="000000"/>
                <w:sz w:val="20"/>
                <w:szCs w:val="20"/>
                <w:lang w:eastAsia="en-GB"/>
              </w:rPr>
              <w:t>Abeokuta North</w:t>
            </w:r>
          </w:p>
        </w:tc>
        <w:tc>
          <w:tcPr>
            <w:tcW w:w="1651" w:type="pct"/>
            <w:tcBorders>
              <w:top w:val="nil"/>
              <w:left w:val="nil"/>
              <w:bottom w:val="nil"/>
              <w:right w:val="nil"/>
            </w:tcBorders>
            <w:shd w:val="clear" w:color="auto" w:fill="auto"/>
            <w:noWrap/>
            <w:vAlign w:val="center"/>
            <w:hideMark/>
          </w:tcPr>
          <w:p w14:paraId="5150E839" w14:textId="4A3A9A86" w:rsidR="002D13BC" w:rsidRPr="004826E1" w:rsidRDefault="002D13BC" w:rsidP="00810844">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3 (5%)</w:t>
            </w:r>
          </w:p>
        </w:tc>
        <w:tc>
          <w:tcPr>
            <w:tcW w:w="1032" w:type="pct"/>
            <w:tcBorders>
              <w:top w:val="nil"/>
              <w:left w:val="nil"/>
              <w:bottom w:val="nil"/>
              <w:right w:val="nil"/>
            </w:tcBorders>
            <w:shd w:val="clear" w:color="auto" w:fill="auto"/>
            <w:noWrap/>
            <w:vAlign w:val="center"/>
          </w:tcPr>
          <w:p w14:paraId="27E9ADBF" w14:textId="6F09C27B" w:rsidR="002D13BC" w:rsidRPr="004826E1" w:rsidRDefault="002D13BC" w:rsidP="00810844">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Rural</w:t>
            </w:r>
          </w:p>
        </w:tc>
        <w:tc>
          <w:tcPr>
            <w:tcW w:w="1031" w:type="pct"/>
            <w:tcBorders>
              <w:top w:val="nil"/>
              <w:left w:val="nil"/>
              <w:bottom w:val="nil"/>
              <w:right w:val="nil"/>
            </w:tcBorders>
            <w:vAlign w:val="center"/>
          </w:tcPr>
          <w:p w14:paraId="5A9492F0" w14:textId="4EE7BFBC" w:rsidR="002D13BC" w:rsidRDefault="002D13BC" w:rsidP="00810844">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Not Connected</w:t>
            </w:r>
          </w:p>
        </w:tc>
      </w:tr>
      <w:tr w:rsidR="002D13BC" w:rsidRPr="004826E1" w14:paraId="1F5557AA" w14:textId="10D5E598" w:rsidTr="00A23BD7">
        <w:trPr>
          <w:trHeight w:val="325"/>
        </w:trPr>
        <w:tc>
          <w:tcPr>
            <w:tcW w:w="1286" w:type="pct"/>
            <w:tcBorders>
              <w:top w:val="nil"/>
              <w:left w:val="nil"/>
              <w:bottom w:val="nil"/>
              <w:right w:val="nil"/>
            </w:tcBorders>
            <w:shd w:val="clear" w:color="auto" w:fill="auto"/>
            <w:noWrap/>
            <w:vAlign w:val="center"/>
            <w:hideMark/>
          </w:tcPr>
          <w:p w14:paraId="28B3FD95" w14:textId="77777777" w:rsidR="002D13BC" w:rsidRPr="004826E1" w:rsidRDefault="002D13BC" w:rsidP="00810844">
            <w:pPr>
              <w:spacing w:after="0" w:line="240" w:lineRule="auto"/>
              <w:rPr>
                <w:rFonts w:eastAsia="Times New Roman" w:cs="Times New Roman"/>
                <w:color w:val="000000"/>
                <w:sz w:val="20"/>
                <w:szCs w:val="20"/>
                <w:lang w:eastAsia="en-GB"/>
              </w:rPr>
            </w:pPr>
            <w:r>
              <w:rPr>
                <w:rFonts w:eastAsia="Times New Roman" w:cs="Times New Roman"/>
                <w:color w:val="000000"/>
                <w:sz w:val="20"/>
                <w:szCs w:val="20"/>
                <w:lang w:eastAsia="en-GB"/>
              </w:rPr>
              <w:t>Abeokuta South</w:t>
            </w:r>
          </w:p>
        </w:tc>
        <w:tc>
          <w:tcPr>
            <w:tcW w:w="1651" w:type="pct"/>
            <w:tcBorders>
              <w:top w:val="nil"/>
              <w:left w:val="nil"/>
              <w:bottom w:val="nil"/>
              <w:right w:val="nil"/>
            </w:tcBorders>
            <w:shd w:val="clear" w:color="auto" w:fill="auto"/>
            <w:noWrap/>
            <w:vAlign w:val="center"/>
          </w:tcPr>
          <w:p w14:paraId="1C13F6E7" w14:textId="1A58E8F2" w:rsidR="002D13BC" w:rsidRPr="004826E1" w:rsidRDefault="002D13BC" w:rsidP="00810844">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1 (2%)</w:t>
            </w:r>
          </w:p>
        </w:tc>
        <w:tc>
          <w:tcPr>
            <w:tcW w:w="1032" w:type="pct"/>
            <w:tcBorders>
              <w:top w:val="nil"/>
              <w:left w:val="nil"/>
              <w:bottom w:val="nil"/>
              <w:right w:val="nil"/>
            </w:tcBorders>
            <w:shd w:val="clear" w:color="auto" w:fill="auto"/>
            <w:noWrap/>
            <w:vAlign w:val="center"/>
          </w:tcPr>
          <w:p w14:paraId="44F3B11E" w14:textId="0F771F3B" w:rsidR="002D13BC" w:rsidRPr="004826E1" w:rsidRDefault="002D13BC" w:rsidP="00810844">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Urban</w:t>
            </w:r>
          </w:p>
        </w:tc>
        <w:tc>
          <w:tcPr>
            <w:tcW w:w="1031" w:type="pct"/>
            <w:tcBorders>
              <w:top w:val="nil"/>
              <w:left w:val="nil"/>
              <w:bottom w:val="nil"/>
              <w:right w:val="nil"/>
            </w:tcBorders>
            <w:vAlign w:val="center"/>
          </w:tcPr>
          <w:p w14:paraId="78D5BAFA" w14:textId="03555525" w:rsidR="002D13BC" w:rsidRDefault="002D13BC" w:rsidP="00810844">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Connected</w:t>
            </w:r>
          </w:p>
        </w:tc>
      </w:tr>
      <w:tr w:rsidR="00A23BD7" w:rsidRPr="004826E1" w14:paraId="52F644EC" w14:textId="3A7302F4" w:rsidTr="00A23BD7">
        <w:trPr>
          <w:trHeight w:val="325"/>
        </w:trPr>
        <w:tc>
          <w:tcPr>
            <w:tcW w:w="1286" w:type="pct"/>
            <w:tcBorders>
              <w:top w:val="nil"/>
              <w:left w:val="nil"/>
              <w:bottom w:val="nil"/>
              <w:right w:val="nil"/>
            </w:tcBorders>
            <w:shd w:val="clear" w:color="auto" w:fill="auto"/>
            <w:noWrap/>
            <w:vAlign w:val="center"/>
          </w:tcPr>
          <w:p w14:paraId="2810C53D" w14:textId="77777777" w:rsidR="00A23BD7" w:rsidRDefault="00A23BD7" w:rsidP="00A23BD7">
            <w:pPr>
              <w:spacing w:after="0" w:line="240" w:lineRule="auto"/>
              <w:rPr>
                <w:rFonts w:eastAsia="Times New Roman" w:cs="Times New Roman"/>
                <w:color w:val="000000"/>
                <w:sz w:val="20"/>
                <w:szCs w:val="20"/>
                <w:lang w:eastAsia="en-GB"/>
              </w:rPr>
            </w:pPr>
            <w:r>
              <w:rPr>
                <w:rFonts w:eastAsia="Times New Roman" w:cs="Times New Roman"/>
                <w:color w:val="000000"/>
                <w:sz w:val="20"/>
                <w:szCs w:val="20"/>
                <w:lang w:eastAsia="en-GB"/>
              </w:rPr>
              <w:t>Ifo</w:t>
            </w:r>
          </w:p>
        </w:tc>
        <w:tc>
          <w:tcPr>
            <w:tcW w:w="1651" w:type="pct"/>
            <w:tcBorders>
              <w:top w:val="nil"/>
              <w:left w:val="nil"/>
              <w:bottom w:val="nil"/>
              <w:right w:val="nil"/>
            </w:tcBorders>
            <w:shd w:val="clear" w:color="auto" w:fill="auto"/>
            <w:noWrap/>
            <w:vAlign w:val="center"/>
          </w:tcPr>
          <w:p w14:paraId="266B7CA5" w14:textId="608514A8" w:rsidR="00A23BD7" w:rsidRDefault="00A23BD7" w:rsidP="00A23BD7">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13 (22%)</w:t>
            </w:r>
          </w:p>
        </w:tc>
        <w:tc>
          <w:tcPr>
            <w:tcW w:w="1032" w:type="pct"/>
            <w:tcBorders>
              <w:top w:val="nil"/>
              <w:left w:val="nil"/>
              <w:bottom w:val="nil"/>
              <w:right w:val="nil"/>
            </w:tcBorders>
            <w:shd w:val="clear" w:color="auto" w:fill="auto"/>
            <w:noWrap/>
            <w:vAlign w:val="center"/>
          </w:tcPr>
          <w:p w14:paraId="0499845C" w14:textId="5F46DF77" w:rsidR="00A23BD7" w:rsidRDefault="00A23BD7" w:rsidP="00A23BD7">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Rural</w:t>
            </w:r>
          </w:p>
        </w:tc>
        <w:tc>
          <w:tcPr>
            <w:tcW w:w="1031" w:type="pct"/>
            <w:tcBorders>
              <w:top w:val="nil"/>
              <w:left w:val="nil"/>
              <w:bottom w:val="nil"/>
              <w:right w:val="nil"/>
            </w:tcBorders>
            <w:vAlign w:val="center"/>
          </w:tcPr>
          <w:p w14:paraId="69452779" w14:textId="76F038BB" w:rsidR="00A23BD7" w:rsidRDefault="00A23BD7" w:rsidP="00A23BD7">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Not Connected</w:t>
            </w:r>
          </w:p>
        </w:tc>
      </w:tr>
      <w:tr w:rsidR="00A23BD7" w:rsidRPr="004826E1" w14:paraId="3E6FC6F5" w14:textId="1D084F2F" w:rsidTr="00A23BD7">
        <w:trPr>
          <w:trHeight w:val="325"/>
        </w:trPr>
        <w:tc>
          <w:tcPr>
            <w:tcW w:w="1286" w:type="pct"/>
            <w:tcBorders>
              <w:top w:val="nil"/>
              <w:left w:val="nil"/>
              <w:bottom w:val="nil"/>
              <w:right w:val="nil"/>
            </w:tcBorders>
            <w:shd w:val="clear" w:color="auto" w:fill="auto"/>
            <w:noWrap/>
            <w:vAlign w:val="center"/>
            <w:hideMark/>
          </w:tcPr>
          <w:p w14:paraId="4CBEF04B" w14:textId="77777777" w:rsidR="00A23BD7" w:rsidRPr="004826E1" w:rsidRDefault="00A23BD7" w:rsidP="00A23BD7">
            <w:pPr>
              <w:spacing w:after="0" w:line="240" w:lineRule="auto"/>
              <w:rPr>
                <w:rFonts w:eastAsia="Times New Roman" w:cs="Times New Roman"/>
                <w:color w:val="000000"/>
                <w:sz w:val="20"/>
                <w:szCs w:val="20"/>
                <w:lang w:eastAsia="en-GB"/>
              </w:rPr>
            </w:pPr>
            <w:r>
              <w:rPr>
                <w:rFonts w:eastAsia="Times New Roman" w:cs="Times New Roman"/>
                <w:color w:val="000000"/>
                <w:sz w:val="20"/>
                <w:szCs w:val="20"/>
                <w:lang w:eastAsia="en-GB"/>
              </w:rPr>
              <w:t>Obafemi-Owode</w:t>
            </w:r>
          </w:p>
        </w:tc>
        <w:tc>
          <w:tcPr>
            <w:tcW w:w="1651" w:type="pct"/>
            <w:tcBorders>
              <w:top w:val="nil"/>
              <w:left w:val="nil"/>
              <w:bottom w:val="nil"/>
              <w:right w:val="nil"/>
            </w:tcBorders>
            <w:shd w:val="clear" w:color="auto" w:fill="auto"/>
            <w:noWrap/>
            <w:vAlign w:val="center"/>
          </w:tcPr>
          <w:p w14:paraId="54154FED" w14:textId="0E6C393D" w:rsidR="00A23BD7" w:rsidRPr="004826E1" w:rsidRDefault="00A23BD7" w:rsidP="00A23BD7">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16 (28%)</w:t>
            </w:r>
          </w:p>
        </w:tc>
        <w:tc>
          <w:tcPr>
            <w:tcW w:w="1032" w:type="pct"/>
            <w:tcBorders>
              <w:top w:val="nil"/>
              <w:left w:val="nil"/>
              <w:bottom w:val="nil"/>
              <w:right w:val="nil"/>
            </w:tcBorders>
            <w:shd w:val="clear" w:color="auto" w:fill="auto"/>
            <w:noWrap/>
            <w:vAlign w:val="center"/>
          </w:tcPr>
          <w:p w14:paraId="50A81967" w14:textId="768F675C" w:rsidR="00A23BD7" w:rsidRPr="004826E1" w:rsidRDefault="00A23BD7" w:rsidP="00A23BD7">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Rural</w:t>
            </w:r>
          </w:p>
        </w:tc>
        <w:tc>
          <w:tcPr>
            <w:tcW w:w="1031" w:type="pct"/>
            <w:tcBorders>
              <w:top w:val="nil"/>
              <w:left w:val="nil"/>
              <w:bottom w:val="nil"/>
              <w:right w:val="nil"/>
            </w:tcBorders>
            <w:vAlign w:val="center"/>
          </w:tcPr>
          <w:p w14:paraId="62D28C13" w14:textId="500CBF88" w:rsidR="00A23BD7" w:rsidRDefault="00A23BD7" w:rsidP="00A23BD7">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Not Connected</w:t>
            </w:r>
          </w:p>
        </w:tc>
      </w:tr>
      <w:tr w:rsidR="00A23BD7" w:rsidRPr="004826E1" w14:paraId="5EDEF567" w14:textId="4254921D" w:rsidTr="00A23BD7">
        <w:trPr>
          <w:trHeight w:val="325"/>
        </w:trPr>
        <w:tc>
          <w:tcPr>
            <w:tcW w:w="1286" w:type="pct"/>
            <w:tcBorders>
              <w:top w:val="nil"/>
              <w:left w:val="nil"/>
              <w:bottom w:val="nil"/>
              <w:right w:val="nil"/>
            </w:tcBorders>
            <w:shd w:val="clear" w:color="auto" w:fill="auto"/>
            <w:noWrap/>
            <w:vAlign w:val="center"/>
            <w:hideMark/>
          </w:tcPr>
          <w:p w14:paraId="61307733" w14:textId="77777777" w:rsidR="00A23BD7" w:rsidRPr="004826E1" w:rsidRDefault="00A23BD7" w:rsidP="00A23BD7">
            <w:pPr>
              <w:spacing w:after="0" w:line="240" w:lineRule="auto"/>
              <w:rPr>
                <w:rFonts w:eastAsia="Times New Roman" w:cs="Times New Roman"/>
                <w:color w:val="000000"/>
                <w:sz w:val="20"/>
                <w:szCs w:val="20"/>
                <w:lang w:eastAsia="en-GB"/>
              </w:rPr>
            </w:pPr>
            <w:r>
              <w:rPr>
                <w:rFonts w:eastAsia="Times New Roman" w:cs="Times New Roman"/>
                <w:color w:val="000000"/>
                <w:sz w:val="20"/>
                <w:szCs w:val="20"/>
                <w:lang w:eastAsia="en-GB"/>
              </w:rPr>
              <w:t>Odeda</w:t>
            </w:r>
          </w:p>
        </w:tc>
        <w:tc>
          <w:tcPr>
            <w:tcW w:w="1651" w:type="pct"/>
            <w:tcBorders>
              <w:top w:val="nil"/>
              <w:left w:val="nil"/>
              <w:bottom w:val="nil"/>
              <w:right w:val="nil"/>
            </w:tcBorders>
            <w:shd w:val="clear" w:color="auto" w:fill="auto"/>
            <w:noWrap/>
            <w:vAlign w:val="center"/>
            <w:hideMark/>
          </w:tcPr>
          <w:p w14:paraId="1B59C356" w14:textId="6D4BF58A" w:rsidR="00A23BD7" w:rsidRPr="004826E1" w:rsidRDefault="00A23BD7" w:rsidP="00A23BD7">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25 (43%)</w:t>
            </w:r>
          </w:p>
        </w:tc>
        <w:tc>
          <w:tcPr>
            <w:tcW w:w="1032" w:type="pct"/>
            <w:tcBorders>
              <w:top w:val="nil"/>
              <w:left w:val="nil"/>
              <w:bottom w:val="nil"/>
              <w:right w:val="nil"/>
            </w:tcBorders>
            <w:shd w:val="clear" w:color="auto" w:fill="auto"/>
            <w:noWrap/>
            <w:vAlign w:val="center"/>
          </w:tcPr>
          <w:p w14:paraId="5DA76B9E" w14:textId="062A3ED7" w:rsidR="00A23BD7" w:rsidRPr="004826E1" w:rsidRDefault="00A23BD7" w:rsidP="00A23BD7">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Rural</w:t>
            </w:r>
          </w:p>
        </w:tc>
        <w:tc>
          <w:tcPr>
            <w:tcW w:w="1031" w:type="pct"/>
            <w:tcBorders>
              <w:top w:val="nil"/>
              <w:left w:val="nil"/>
              <w:bottom w:val="nil"/>
              <w:right w:val="nil"/>
            </w:tcBorders>
            <w:vAlign w:val="center"/>
          </w:tcPr>
          <w:p w14:paraId="41763AE0" w14:textId="634DAC82" w:rsidR="00A23BD7" w:rsidRDefault="00A23BD7" w:rsidP="00A23BD7">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Not Connected</w:t>
            </w:r>
          </w:p>
        </w:tc>
      </w:tr>
      <w:tr w:rsidR="00A23BD7" w:rsidRPr="00394237" w14:paraId="5871E305" w14:textId="6FBD8321" w:rsidTr="00A23BD7">
        <w:trPr>
          <w:trHeight w:val="325"/>
        </w:trPr>
        <w:tc>
          <w:tcPr>
            <w:tcW w:w="1286" w:type="pct"/>
            <w:tcBorders>
              <w:top w:val="single" w:sz="4" w:space="0" w:color="auto"/>
              <w:left w:val="nil"/>
              <w:bottom w:val="single" w:sz="4" w:space="0" w:color="auto"/>
              <w:right w:val="nil"/>
            </w:tcBorders>
            <w:shd w:val="clear" w:color="auto" w:fill="auto"/>
            <w:noWrap/>
            <w:vAlign w:val="center"/>
            <w:hideMark/>
          </w:tcPr>
          <w:p w14:paraId="2A795A98" w14:textId="77777777" w:rsidR="00A23BD7" w:rsidRPr="00394237" w:rsidRDefault="00A23BD7" w:rsidP="00A23BD7">
            <w:pPr>
              <w:spacing w:after="0" w:line="240" w:lineRule="auto"/>
              <w:rPr>
                <w:rFonts w:eastAsia="Times New Roman" w:cs="Times New Roman"/>
                <w:b/>
                <w:bCs/>
                <w:color w:val="000000"/>
                <w:sz w:val="20"/>
                <w:szCs w:val="20"/>
                <w:lang w:eastAsia="en-GB"/>
              </w:rPr>
            </w:pPr>
            <w:r w:rsidRPr="00394237">
              <w:rPr>
                <w:rFonts w:eastAsia="Times New Roman" w:cs="Times New Roman"/>
                <w:b/>
                <w:bCs/>
                <w:color w:val="000000"/>
                <w:sz w:val="20"/>
                <w:szCs w:val="20"/>
                <w:lang w:eastAsia="en-GB"/>
              </w:rPr>
              <w:t> Total</w:t>
            </w:r>
          </w:p>
        </w:tc>
        <w:tc>
          <w:tcPr>
            <w:tcW w:w="1651" w:type="pct"/>
            <w:tcBorders>
              <w:top w:val="single" w:sz="4" w:space="0" w:color="auto"/>
              <w:left w:val="nil"/>
              <w:bottom w:val="single" w:sz="4" w:space="0" w:color="auto"/>
              <w:right w:val="nil"/>
            </w:tcBorders>
            <w:shd w:val="clear" w:color="auto" w:fill="auto"/>
            <w:noWrap/>
            <w:vAlign w:val="center"/>
            <w:hideMark/>
          </w:tcPr>
          <w:p w14:paraId="0C953B75" w14:textId="46E30EC2" w:rsidR="00A23BD7" w:rsidRPr="00394237" w:rsidRDefault="00A23BD7" w:rsidP="00A23BD7">
            <w:pPr>
              <w:spacing w:after="0" w:line="240" w:lineRule="auto"/>
              <w:jc w:val="center"/>
              <w:rPr>
                <w:rFonts w:eastAsia="Times New Roman" w:cs="Times New Roman"/>
                <w:b/>
                <w:bCs/>
                <w:color w:val="000000"/>
                <w:sz w:val="20"/>
                <w:szCs w:val="20"/>
                <w:lang w:eastAsia="en-GB"/>
              </w:rPr>
            </w:pPr>
            <w:r>
              <w:rPr>
                <w:rFonts w:eastAsia="Times New Roman" w:cs="Times New Roman"/>
                <w:b/>
                <w:bCs/>
                <w:color w:val="000000"/>
                <w:sz w:val="20"/>
                <w:szCs w:val="20"/>
                <w:lang w:eastAsia="en-GB"/>
              </w:rPr>
              <w:t>58 (100%)</w:t>
            </w:r>
          </w:p>
        </w:tc>
        <w:tc>
          <w:tcPr>
            <w:tcW w:w="1032" w:type="pct"/>
            <w:tcBorders>
              <w:top w:val="single" w:sz="4" w:space="0" w:color="auto"/>
              <w:left w:val="nil"/>
              <w:bottom w:val="single" w:sz="4" w:space="0" w:color="auto"/>
              <w:right w:val="nil"/>
            </w:tcBorders>
            <w:shd w:val="clear" w:color="auto" w:fill="auto"/>
            <w:noWrap/>
            <w:vAlign w:val="center"/>
            <w:hideMark/>
          </w:tcPr>
          <w:p w14:paraId="5416C0DC" w14:textId="77777777" w:rsidR="00A23BD7" w:rsidRPr="00394237" w:rsidRDefault="00A23BD7" w:rsidP="00A23BD7">
            <w:pPr>
              <w:spacing w:after="0" w:line="240" w:lineRule="auto"/>
              <w:jc w:val="center"/>
              <w:rPr>
                <w:rFonts w:eastAsia="Times New Roman" w:cs="Times New Roman"/>
                <w:b/>
                <w:bCs/>
                <w:color w:val="000000"/>
                <w:sz w:val="20"/>
                <w:szCs w:val="20"/>
                <w:lang w:eastAsia="en-GB"/>
              </w:rPr>
            </w:pPr>
          </w:p>
        </w:tc>
        <w:tc>
          <w:tcPr>
            <w:tcW w:w="1031" w:type="pct"/>
            <w:tcBorders>
              <w:top w:val="single" w:sz="4" w:space="0" w:color="auto"/>
              <w:left w:val="nil"/>
              <w:bottom w:val="single" w:sz="4" w:space="0" w:color="auto"/>
              <w:right w:val="nil"/>
            </w:tcBorders>
            <w:vAlign w:val="center"/>
          </w:tcPr>
          <w:p w14:paraId="545C8E6F" w14:textId="77777777" w:rsidR="00A23BD7" w:rsidRPr="00394237" w:rsidRDefault="00A23BD7" w:rsidP="00A23BD7">
            <w:pPr>
              <w:spacing w:after="0" w:line="240" w:lineRule="auto"/>
              <w:jc w:val="center"/>
              <w:rPr>
                <w:rFonts w:eastAsia="Times New Roman" w:cs="Times New Roman"/>
                <w:b/>
                <w:bCs/>
                <w:color w:val="000000"/>
                <w:sz w:val="20"/>
                <w:szCs w:val="20"/>
                <w:lang w:eastAsia="en-GB"/>
              </w:rPr>
            </w:pPr>
          </w:p>
        </w:tc>
      </w:tr>
    </w:tbl>
    <w:p w14:paraId="713BE6E1" w14:textId="77777777" w:rsidR="0010328B" w:rsidRDefault="0010328B" w:rsidP="00CB35C5">
      <w:pPr>
        <w:ind w:left="720" w:hanging="720"/>
        <w:jc w:val="both"/>
        <w:rPr>
          <w:b/>
          <w:bCs/>
        </w:rPr>
      </w:pPr>
    </w:p>
    <w:p w14:paraId="3415871B" w14:textId="502D4824" w:rsidR="0010328B" w:rsidRDefault="00A8245B" w:rsidP="00D53599">
      <w:pPr>
        <w:spacing w:after="0" w:line="240" w:lineRule="auto"/>
        <w:ind w:left="720" w:hanging="720"/>
        <w:jc w:val="center"/>
        <w:rPr>
          <w:b/>
          <w:bCs/>
        </w:rPr>
      </w:pPr>
      <w:r>
        <w:rPr>
          <w:b/>
          <w:bCs/>
          <w:noProof/>
        </w:rPr>
        <w:lastRenderedPageBreak/>
        <w:drawing>
          <wp:inline distT="0" distB="0" distL="0" distR="0" wp14:anchorId="2FDAA5A2" wp14:editId="799B26D2">
            <wp:extent cx="3317150" cy="3429000"/>
            <wp:effectExtent l="19050" t="19050" r="17145" b="19050"/>
            <wp:docPr id="8" name="Picture 8"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Map&#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331016" cy="3443334"/>
                    </a:xfrm>
                    <a:prstGeom prst="rect">
                      <a:avLst/>
                    </a:prstGeom>
                    <a:ln w="3175">
                      <a:solidFill>
                        <a:schemeClr val="tx1"/>
                      </a:solidFill>
                    </a:ln>
                  </pic:spPr>
                </pic:pic>
              </a:graphicData>
            </a:graphic>
          </wp:inline>
        </w:drawing>
      </w:r>
    </w:p>
    <w:p w14:paraId="6283A0B1" w14:textId="01FA5C0F" w:rsidR="00D53599" w:rsidRPr="0010328B" w:rsidRDefault="00D53599" w:rsidP="00D53599">
      <w:pPr>
        <w:spacing w:after="0" w:line="240" w:lineRule="auto"/>
        <w:jc w:val="center"/>
      </w:pPr>
      <w:r>
        <w:rPr>
          <w:b/>
          <w:bCs/>
        </w:rPr>
        <w:t xml:space="preserve">Figure 5: </w:t>
      </w:r>
      <w:r>
        <w:t>Communities within two kilometres Radius of River Ogun</w:t>
      </w:r>
    </w:p>
    <w:p w14:paraId="74355EAC" w14:textId="6EB89485" w:rsidR="00D53599" w:rsidRPr="00D53599" w:rsidRDefault="00D53599" w:rsidP="00D53599">
      <w:pPr>
        <w:ind w:left="720" w:hanging="720"/>
        <w:jc w:val="center"/>
      </w:pPr>
    </w:p>
    <w:p w14:paraId="411BDADD" w14:textId="23092D7F" w:rsidR="00CB35C5" w:rsidRPr="0077003D" w:rsidRDefault="00D53599" w:rsidP="00CB35C5">
      <w:pPr>
        <w:ind w:left="720" w:hanging="720"/>
        <w:jc w:val="both"/>
        <w:rPr>
          <w:b/>
          <w:bCs/>
        </w:rPr>
      </w:pPr>
      <w:r>
        <w:rPr>
          <w:b/>
          <w:bCs/>
        </w:rPr>
        <w:t>4.5</w:t>
      </w:r>
      <w:r>
        <w:rPr>
          <w:b/>
          <w:bCs/>
        </w:rPr>
        <w:tab/>
      </w:r>
      <w:r w:rsidR="00AB4792">
        <w:rPr>
          <w:b/>
          <w:bCs/>
        </w:rPr>
        <w:t xml:space="preserve">Projected </w:t>
      </w:r>
      <w:r w:rsidR="00CB35C5" w:rsidRPr="0077003D">
        <w:rPr>
          <w:b/>
          <w:bCs/>
        </w:rPr>
        <w:t xml:space="preserve">Household Population </w:t>
      </w:r>
      <w:r w:rsidR="00AB4792">
        <w:rPr>
          <w:b/>
          <w:bCs/>
        </w:rPr>
        <w:t>to</w:t>
      </w:r>
      <w:r w:rsidR="00CB35C5">
        <w:rPr>
          <w:b/>
          <w:bCs/>
        </w:rPr>
        <w:t xml:space="preserve"> be </w:t>
      </w:r>
      <w:r w:rsidR="00AB4792">
        <w:rPr>
          <w:b/>
          <w:bCs/>
        </w:rPr>
        <w:t xml:space="preserve">Serviced with </w:t>
      </w:r>
      <w:r>
        <w:rPr>
          <w:b/>
          <w:bCs/>
        </w:rPr>
        <w:t>Electricity</w:t>
      </w:r>
      <w:r w:rsidR="00AB4792">
        <w:rPr>
          <w:b/>
          <w:bCs/>
        </w:rPr>
        <w:t xml:space="preserve"> </w:t>
      </w:r>
    </w:p>
    <w:p w14:paraId="41DFB9DD" w14:textId="00B9FA22" w:rsidR="004B5FAD" w:rsidRDefault="00CB35C5" w:rsidP="004341D3">
      <w:pPr>
        <w:jc w:val="both"/>
        <w:rPr>
          <w:rFonts w:cs="Times New Roman"/>
          <w:szCs w:val="24"/>
        </w:rPr>
      </w:pPr>
      <w:r>
        <w:rPr>
          <w:rFonts w:cs="Times New Roman"/>
          <w:szCs w:val="24"/>
        </w:rPr>
        <w:t xml:space="preserve">The study provides an insight into the possible number of households (average of five members) that can be provided with a minimum energy threshold of 250kWh </w:t>
      </w:r>
      <w:r w:rsidR="006C3996">
        <w:rPr>
          <w:rFonts w:cs="Times New Roman"/>
          <w:szCs w:val="24"/>
        </w:rPr>
        <w:t>per anum</w:t>
      </w:r>
      <w:r>
        <w:rPr>
          <w:rFonts w:cs="Times New Roman"/>
          <w:szCs w:val="24"/>
        </w:rPr>
        <w:t>. This is equivalent to an average daily electricity access of 0.68kWh per capita and 3.4kWh per household per day.</w:t>
      </w:r>
      <w:r w:rsidR="004341D3">
        <w:rPr>
          <w:rFonts w:cs="Times New Roman"/>
          <w:szCs w:val="24"/>
        </w:rPr>
        <w:t xml:space="preserve"> Based on this standard, the number of households to be served was estimated at 100%, 75% and 50% performance of the potentials identified. The result shows that at maximum performance capacity</w:t>
      </w:r>
      <w:r w:rsidR="006C3996">
        <w:rPr>
          <w:rFonts w:cs="Times New Roman"/>
          <w:szCs w:val="24"/>
        </w:rPr>
        <w:t xml:space="preserve"> of 100%</w:t>
      </w:r>
      <w:r w:rsidR="004341D3">
        <w:rPr>
          <w:rFonts w:cs="Times New Roman"/>
          <w:szCs w:val="24"/>
        </w:rPr>
        <w:t xml:space="preserve"> for a household of five, 22,040 households can be powered</w:t>
      </w:r>
      <w:r w:rsidR="006C3996">
        <w:rPr>
          <w:rFonts w:cs="Times New Roman"/>
          <w:szCs w:val="24"/>
        </w:rPr>
        <w:t xml:space="preserve"> with electricity</w:t>
      </w:r>
      <w:r w:rsidR="004341D3">
        <w:rPr>
          <w:rFonts w:cs="Times New Roman"/>
          <w:szCs w:val="24"/>
        </w:rPr>
        <w:t xml:space="preserve">, </w:t>
      </w:r>
      <w:r w:rsidR="00446176">
        <w:rPr>
          <w:rFonts w:cs="Times New Roman"/>
          <w:szCs w:val="24"/>
        </w:rPr>
        <w:t>1</w:t>
      </w:r>
      <w:r w:rsidR="004341D3">
        <w:rPr>
          <w:rFonts w:cs="Times New Roman"/>
          <w:szCs w:val="24"/>
        </w:rPr>
        <w:t>6</w:t>
      </w:r>
      <w:r w:rsidR="00446176">
        <w:rPr>
          <w:rFonts w:cs="Times New Roman"/>
          <w:szCs w:val="24"/>
        </w:rPr>
        <w:t>531</w:t>
      </w:r>
      <w:r w:rsidR="006C3996">
        <w:rPr>
          <w:rFonts w:cs="Times New Roman"/>
          <w:szCs w:val="24"/>
        </w:rPr>
        <w:t xml:space="preserve"> households</w:t>
      </w:r>
      <w:r w:rsidR="004341D3">
        <w:rPr>
          <w:rFonts w:cs="Times New Roman"/>
          <w:szCs w:val="24"/>
        </w:rPr>
        <w:t xml:space="preserve"> at 75% performance and 11020 households at 50% performance of the SHP </w:t>
      </w:r>
      <w:r w:rsidR="00446176">
        <w:rPr>
          <w:rFonts w:cs="Times New Roman"/>
          <w:szCs w:val="24"/>
        </w:rPr>
        <w:t xml:space="preserve">potentials. This shows that a minimum of 11020 households can be lifted out of energy poverty with a minimum </w:t>
      </w:r>
      <w:r w:rsidR="006C3996">
        <w:rPr>
          <w:rFonts w:cs="Times New Roman"/>
          <w:szCs w:val="24"/>
        </w:rPr>
        <w:t>access to</w:t>
      </w:r>
      <w:r w:rsidR="00446176">
        <w:rPr>
          <w:rFonts w:cs="Times New Roman"/>
          <w:szCs w:val="24"/>
        </w:rPr>
        <w:t xml:space="preserve"> 250Kwh per annum</w:t>
      </w:r>
      <w:r w:rsidR="006C3996">
        <w:rPr>
          <w:rFonts w:cs="Times New Roman"/>
          <w:szCs w:val="24"/>
        </w:rPr>
        <w:t xml:space="preserve"> per household</w:t>
      </w:r>
      <w:r w:rsidR="00446176">
        <w:rPr>
          <w:rFonts w:cs="Times New Roman"/>
          <w:szCs w:val="24"/>
        </w:rPr>
        <w:t xml:space="preserve">. This can also serve as an inclusive approach </w:t>
      </w:r>
      <w:r w:rsidR="00547FE1">
        <w:rPr>
          <w:rFonts w:cs="Times New Roman"/>
          <w:szCs w:val="24"/>
        </w:rPr>
        <w:t>towards connecting</w:t>
      </w:r>
      <w:r w:rsidR="00446176">
        <w:rPr>
          <w:rFonts w:cs="Times New Roman"/>
          <w:szCs w:val="24"/>
        </w:rPr>
        <w:t xml:space="preserve"> communities</w:t>
      </w:r>
      <w:r w:rsidR="00547FE1">
        <w:rPr>
          <w:rFonts w:cs="Times New Roman"/>
          <w:szCs w:val="24"/>
        </w:rPr>
        <w:t xml:space="preserve"> (mostly rural)</w:t>
      </w:r>
      <w:r w:rsidR="00446176">
        <w:rPr>
          <w:rFonts w:cs="Times New Roman"/>
          <w:szCs w:val="24"/>
        </w:rPr>
        <w:t xml:space="preserve"> far away from </w:t>
      </w:r>
      <w:r w:rsidR="0017123E">
        <w:rPr>
          <w:rFonts w:cs="Times New Roman"/>
          <w:szCs w:val="24"/>
        </w:rPr>
        <w:t xml:space="preserve">national </w:t>
      </w:r>
      <w:r w:rsidR="00446176">
        <w:rPr>
          <w:rFonts w:cs="Times New Roman"/>
          <w:szCs w:val="24"/>
        </w:rPr>
        <w:t xml:space="preserve">grid due to topographical or logistical constraints into </w:t>
      </w:r>
      <w:r w:rsidR="0017123E">
        <w:rPr>
          <w:rFonts w:cs="Times New Roman"/>
          <w:szCs w:val="24"/>
        </w:rPr>
        <w:t>public energy system through off-grid system</w:t>
      </w:r>
      <w:r w:rsidR="00547FE1">
        <w:rPr>
          <w:rFonts w:cs="Times New Roman"/>
          <w:szCs w:val="24"/>
        </w:rPr>
        <w:t xml:space="preserve"> using SHP</w:t>
      </w:r>
      <w:r w:rsidR="0017123E">
        <w:rPr>
          <w:rFonts w:cs="Times New Roman"/>
          <w:szCs w:val="24"/>
        </w:rPr>
        <w:t>.</w:t>
      </w:r>
    </w:p>
    <w:p w14:paraId="232C7A70" w14:textId="700D5D8B" w:rsidR="00AB4792" w:rsidRPr="009A6C4F" w:rsidRDefault="00AB4792" w:rsidP="002C75D8">
      <w:pPr>
        <w:spacing w:after="0" w:line="240" w:lineRule="auto"/>
        <w:ind w:left="720" w:hanging="720"/>
        <w:jc w:val="both"/>
        <w:rPr>
          <w:b/>
          <w:bCs/>
        </w:rPr>
      </w:pPr>
      <w:r>
        <w:rPr>
          <w:rFonts w:cs="Times New Roman"/>
          <w:szCs w:val="24"/>
        </w:rPr>
        <w:t>Table 7:</w:t>
      </w:r>
      <w:r w:rsidR="009A6C4F" w:rsidRPr="009A6C4F">
        <w:rPr>
          <w:b/>
          <w:bCs/>
        </w:rPr>
        <w:t xml:space="preserve"> </w:t>
      </w:r>
      <w:r w:rsidR="009A6C4F">
        <w:rPr>
          <w:b/>
          <w:bCs/>
        </w:rPr>
        <w:t xml:space="preserve">Projected </w:t>
      </w:r>
      <w:r w:rsidR="009A6C4F" w:rsidRPr="0077003D">
        <w:rPr>
          <w:b/>
          <w:bCs/>
        </w:rPr>
        <w:t xml:space="preserve">Household Population </w:t>
      </w:r>
      <w:r w:rsidR="009A6C4F">
        <w:rPr>
          <w:b/>
          <w:bCs/>
        </w:rPr>
        <w:t xml:space="preserve">to be Serviced with Electricity </w:t>
      </w:r>
      <w:r>
        <w:rPr>
          <w:rFonts w:cs="Times New Roman"/>
          <w:szCs w:val="24"/>
        </w:rPr>
        <w:t xml:space="preserve"> </w:t>
      </w:r>
    </w:p>
    <w:tbl>
      <w:tblPr>
        <w:tblW w:w="4722" w:type="pct"/>
        <w:tblLayout w:type="fixed"/>
        <w:tblLook w:val="04A0" w:firstRow="1" w:lastRow="0" w:firstColumn="1" w:lastColumn="0" w:noHBand="0" w:noVBand="1"/>
      </w:tblPr>
      <w:tblGrid>
        <w:gridCol w:w="1636"/>
        <w:gridCol w:w="2100"/>
        <w:gridCol w:w="1314"/>
        <w:gridCol w:w="1717"/>
        <w:gridCol w:w="1243"/>
      </w:tblGrid>
      <w:tr w:rsidR="008E1E96" w:rsidRPr="004826E1" w14:paraId="62AF0F6B" w14:textId="4FD03D94" w:rsidTr="004341D3">
        <w:trPr>
          <w:trHeight w:val="325"/>
        </w:trPr>
        <w:tc>
          <w:tcPr>
            <w:tcW w:w="1021" w:type="pct"/>
            <w:tcBorders>
              <w:top w:val="single" w:sz="4" w:space="0" w:color="auto"/>
              <w:left w:val="nil"/>
              <w:bottom w:val="single" w:sz="4" w:space="0" w:color="auto"/>
              <w:right w:val="nil"/>
            </w:tcBorders>
            <w:shd w:val="clear" w:color="auto" w:fill="auto"/>
            <w:noWrap/>
            <w:vAlign w:val="center"/>
            <w:hideMark/>
          </w:tcPr>
          <w:p w14:paraId="21347B9B" w14:textId="77777777" w:rsidR="008E1E96" w:rsidRPr="002C75D8" w:rsidRDefault="008E1E96" w:rsidP="009A6C4F">
            <w:pPr>
              <w:spacing w:after="0" w:line="240" w:lineRule="auto"/>
              <w:rPr>
                <w:rFonts w:eastAsia="Times New Roman" w:cs="Times New Roman"/>
                <w:b/>
                <w:bCs/>
                <w:color w:val="000000"/>
                <w:sz w:val="20"/>
                <w:szCs w:val="20"/>
                <w:lang w:eastAsia="en-GB"/>
              </w:rPr>
            </w:pPr>
            <w:r w:rsidRPr="002C75D8">
              <w:rPr>
                <w:rFonts w:eastAsia="Times New Roman" w:cs="Times New Roman"/>
                <w:b/>
                <w:bCs/>
                <w:color w:val="000000"/>
                <w:sz w:val="20"/>
                <w:szCs w:val="20"/>
                <w:lang w:eastAsia="en-GB"/>
              </w:rPr>
              <w:t> River</w:t>
            </w:r>
          </w:p>
        </w:tc>
        <w:tc>
          <w:tcPr>
            <w:tcW w:w="1311" w:type="pct"/>
            <w:tcBorders>
              <w:top w:val="single" w:sz="4" w:space="0" w:color="auto"/>
              <w:left w:val="nil"/>
              <w:bottom w:val="single" w:sz="4" w:space="0" w:color="auto"/>
              <w:right w:val="nil"/>
            </w:tcBorders>
            <w:shd w:val="clear" w:color="auto" w:fill="auto"/>
            <w:noWrap/>
            <w:vAlign w:val="center"/>
          </w:tcPr>
          <w:p w14:paraId="7576B98E" w14:textId="2667B66C" w:rsidR="008E1E96" w:rsidRPr="002C75D8" w:rsidRDefault="008E1E96" w:rsidP="009A6C4F">
            <w:pPr>
              <w:spacing w:after="0" w:line="240" w:lineRule="auto"/>
              <w:jc w:val="center"/>
              <w:rPr>
                <w:rFonts w:eastAsia="Times New Roman" w:cs="Times New Roman"/>
                <w:b/>
                <w:bCs/>
                <w:color w:val="000000"/>
                <w:sz w:val="20"/>
                <w:szCs w:val="20"/>
                <w:lang w:eastAsia="en-GB"/>
              </w:rPr>
            </w:pPr>
          </w:p>
        </w:tc>
        <w:tc>
          <w:tcPr>
            <w:tcW w:w="2668" w:type="pct"/>
            <w:gridSpan w:val="3"/>
            <w:tcBorders>
              <w:top w:val="single" w:sz="4" w:space="0" w:color="auto"/>
              <w:left w:val="nil"/>
              <w:bottom w:val="single" w:sz="4" w:space="0" w:color="auto"/>
              <w:right w:val="nil"/>
            </w:tcBorders>
            <w:shd w:val="clear" w:color="auto" w:fill="auto"/>
            <w:noWrap/>
            <w:vAlign w:val="center"/>
          </w:tcPr>
          <w:p w14:paraId="02D73B06" w14:textId="16670AC6" w:rsidR="008E1E96" w:rsidRPr="002C75D8" w:rsidRDefault="008E1E96" w:rsidP="009A6C4F">
            <w:pPr>
              <w:spacing w:after="0" w:line="240" w:lineRule="auto"/>
              <w:jc w:val="center"/>
              <w:rPr>
                <w:rFonts w:eastAsia="Times New Roman" w:cs="Times New Roman"/>
                <w:b/>
                <w:bCs/>
                <w:color w:val="000000"/>
                <w:sz w:val="20"/>
                <w:szCs w:val="20"/>
                <w:lang w:eastAsia="en-GB"/>
              </w:rPr>
            </w:pPr>
            <w:r w:rsidRPr="002C75D8">
              <w:rPr>
                <w:rFonts w:eastAsia="Times New Roman" w:cs="Times New Roman"/>
                <w:b/>
                <w:bCs/>
                <w:color w:val="000000"/>
                <w:sz w:val="20"/>
                <w:szCs w:val="20"/>
                <w:lang w:eastAsia="en-GB"/>
              </w:rPr>
              <w:t xml:space="preserve">No of Households to be served </w:t>
            </w:r>
          </w:p>
        </w:tc>
      </w:tr>
      <w:tr w:rsidR="004B5FAD" w:rsidRPr="004826E1" w14:paraId="0849B5E0" w14:textId="77777777" w:rsidTr="004341D3">
        <w:trPr>
          <w:trHeight w:val="325"/>
        </w:trPr>
        <w:tc>
          <w:tcPr>
            <w:tcW w:w="1021" w:type="pct"/>
            <w:tcBorders>
              <w:top w:val="single" w:sz="4" w:space="0" w:color="auto"/>
              <w:left w:val="nil"/>
              <w:bottom w:val="single" w:sz="4" w:space="0" w:color="auto"/>
              <w:right w:val="nil"/>
            </w:tcBorders>
            <w:shd w:val="clear" w:color="auto" w:fill="auto"/>
            <w:noWrap/>
            <w:vAlign w:val="center"/>
          </w:tcPr>
          <w:p w14:paraId="332ED89F" w14:textId="77777777" w:rsidR="004B5FAD" w:rsidRPr="002C75D8" w:rsidRDefault="004B5FAD" w:rsidP="009A6C4F">
            <w:pPr>
              <w:spacing w:after="0" w:line="240" w:lineRule="auto"/>
              <w:rPr>
                <w:rFonts w:eastAsia="Times New Roman" w:cs="Times New Roman"/>
                <w:b/>
                <w:bCs/>
                <w:color w:val="000000"/>
                <w:sz w:val="20"/>
                <w:szCs w:val="20"/>
                <w:lang w:eastAsia="en-GB"/>
              </w:rPr>
            </w:pPr>
          </w:p>
        </w:tc>
        <w:tc>
          <w:tcPr>
            <w:tcW w:w="1311" w:type="pct"/>
            <w:tcBorders>
              <w:top w:val="single" w:sz="4" w:space="0" w:color="auto"/>
              <w:left w:val="nil"/>
              <w:bottom w:val="single" w:sz="4" w:space="0" w:color="auto"/>
              <w:right w:val="nil"/>
            </w:tcBorders>
            <w:shd w:val="clear" w:color="auto" w:fill="auto"/>
            <w:noWrap/>
            <w:vAlign w:val="center"/>
          </w:tcPr>
          <w:p w14:paraId="27391B56" w14:textId="4F3E183B" w:rsidR="004B5FAD" w:rsidRPr="002C75D8" w:rsidRDefault="004B5FAD" w:rsidP="009A6C4F">
            <w:pPr>
              <w:spacing w:after="0" w:line="240" w:lineRule="auto"/>
              <w:jc w:val="center"/>
              <w:rPr>
                <w:rFonts w:eastAsia="Times New Roman" w:cs="Times New Roman"/>
                <w:b/>
                <w:bCs/>
                <w:color w:val="000000"/>
                <w:sz w:val="20"/>
                <w:szCs w:val="20"/>
                <w:lang w:eastAsia="en-GB"/>
              </w:rPr>
            </w:pPr>
            <w:r w:rsidRPr="002C75D8">
              <w:rPr>
                <w:rFonts w:eastAsia="Times New Roman" w:cs="Times New Roman"/>
                <w:b/>
                <w:bCs/>
                <w:color w:val="000000"/>
                <w:sz w:val="20"/>
                <w:szCs w:val="20"/>
                <w:lang w:eastAsia="en-GB"/>
              </w:rPr>
              <w:t>Energy Potential (kWh)</w:t>
            </w:r>
          </w:p>
        </w:tc>
        <w:tc>
          <w:tcPr>
            <w:tcW w:w="820" w:type="pct"/>
            <w:tcBorders>
              <w:top w:val="single" w:sz="4" w:space="0" w:color="auto"/>
              <w:left w:val="nil"/>
              <w:bottom w:val="single" w:sz="4" w:space="0" w:color="auto"/>
              <w:right w:val="nil"/>
            </w:tcBorders>
            <w:shd w:val="clear" w:color="auto" w:fill="auto"/>
            <w:noWrap/>
            <w:vAlign w:val="center"/>
          </w:tcPr>
          <w:p w14:paraId="54DA8855" w14:textId="375DEC73" w:rsidR="004B5FAD" w:rsidRPr="002C75D8" w:rsidRDefault="008E1E96" w:rsidP="009A6C4F">
            <w:pPr>
              <w:spacing w:after="0" w:line="240" w:lineRule="auto"/>
              <w:jc w:val="center"/>
              <w:rPr>
                <w:rFonts w:eastAsia="Times New Roman" w:cs="Times New Roman"/>
                <w:b/>
                <w:bCs/>
                <w:color w:val="000000"/>
                <w:sz w:val="20"/>
                <w:szCs w:val="20"/>
                <w:lang w:eastAsia="en-GB"/>
              </w:rPr>
            </w:pPr>
            <w:r w:rsidRPr="002C75D8">
              <w:rPr>
                <w:rFonts w:eastAsia="Times New Roman" w:cs="Times New Roman"/>
                <w:b/>
                <w:bCs/>
                <w:color w:val="000000"/>
                <w:sz w:val="20"/>
                <w:szCs w:val="20"/>
                <w:lang w:eastAsia="en-GB"/>
              </w:rPr>
              <w:t>100%</w:t>
            </w:r>
            <w:r w:rsidR="004341D3" w:rsidRPr="002C75D8">
              <w:rPr>
                <w:rFonts w:eastAsia="Times New Roman" w:cs="Times New Roman"/>
                <w:b/>
                <w:bCs/>
                <w:color w:val="000000"/>
                <w:sz w:val="20"/>
                <w:szCs w:val="20"/>
                <w:lang w:eastAsia="en-GB"/>
              </w:rPr>
              <w:t xml:space="preserve"> </w:t>
            </w:r>
          </w:p>
        </w:tc>
        <w:tc>
          <w:tcPr>
            <w:tcW w:w="1072" w:type="pct"/>
            <w:tcBorders>
              <w:top w:val="single" w:sz="4" w:space="0" w:color="auto"/>
              <w:left w:val="nil"/>
              <w:bottom w:val="single" w:sz="4" w:space="0" w:color="auto"/>
              <w:right w:val="nil"/>
            </w:tcBorders>
            <w:vAlign w:val="center"/>
          </w:tcPr>
          <w:p w14:paraId="5EAD19C4" w14:textId="7FC6CA36" w:rsidR="004B5FAD" w:rsidRPr="002C75D8" w:rsidRDefault="008E1E96" w:rsidP="009A6C4F">
            <w:pPr>
              <w:spacing w:after="0" w:line="240" w:lineRule="auto"/>
              <w:jc w:val="center"/>
              <w:rPr>
                <w:rFonts w:eastAsia="Times New Roman" w:cs="Times New Roman"/>
                <w:b/>
                <w:bCs/>
                <w:color w:val="000000"/>
                <w:sz w:val="20"/>
                <w:szCs w:val="20"/>
                <w:lang w:eastAsia="en-GB"/>
              </w:rPr>
            </w:pPr>
            <w:r w:rsidRPr="002C75D8">
              <w:rPr>
                <w:rFonts w:eastAsia="Times New Roman" w:cs="Times New Roman"/>
                <w:b/>
                <w:bCs/>
                <w:color w:val="000000"/>
                <w:sz w:val="20"/>
                <w:szCs w:val="20"/>
                <w:lang w:eastAsia="en-GB"/>
              </w:rPr>
              <w:t>75%</w:t>
            </w:r>
          </w:p>
        </w:tc>
        <w:tc>
          <w:tcPr>
            <w:tcW w:w="776" w:type="pct"/>
            <w:tcBorders>
              <w:top w:val="single" w:sz="4" w:space="0" w:color="auto"/>
              <w:left w:val="nil"/>
              <w:bottom w:val="single" w:sz="4" w:space="0" w:color="auto"/>
              <w:right w:val="nil"/>
            </w:tcBorders>
            <w:vAlign w:val="center"/>
          </w:tcPr>
          <w:p w14:paraId="31C25BD5" w14:textId="1F4C561C" w:rsidR="004B5FAD" w:rsidRPr="002C75D8" w:rsidRDefault="008E1E96" w:rsidP="009A6C4F">
            <w:pPr>
              <w:spacing w:after="0" w:line="240" w:lineRule="auto"/>
              <w:jc w:val="center"/>
              <w:rPr>
                <w:rFonts w:eastAsia="Times New Roman" w:cs="Times New Roman"/>
                <w:b/>
                <w:bCs/>
                <w:color w:val="000000"/>
                <w:sz w:val="20"/>
                <w:szCs w:val="20"/>
                <w:lang w:eastAsia="en-GB"/>
              </w:rPr>
            </w:pPr>
            <w:r w:rsidRPr="002C75D8">
              <w:rPr>
                <w:rFonts w:eastAsia="Times New Roman" w:cs="Times New Roman"/>
                <w:b/>
                <w:bCs/>
                <w:color w:val="000000"/>
                <w:sz w:val="20"/>
                <w:szCs w:val="20"/>
                <w:lang w:eastAsia="en-GB"/>
              </w:rPr>
              <w:t>50%</w:t>
            </w:r>
          </w:p>
        </w:tc>
      </w:tr>
      <w:tr w:rsidR="004B5FAD" w:rsidRPr="004826E1" w14:paraId="69683AED" w14:textId="16000A02" w:rsidTr="004341D3">
        <w:trPr>
          <w:trHeight w:val="325"/>
        </w:trPr>
        <w:tc>
          <w:tcPr>
            <w:tcW w:w="1021" w:type="pct"/>
            <w:tcBorders>
              <w:top w:val="nil"/>
              <w:left w:val="nil"/>
              <w:bottom w:val="nil"/>
              <w:right w:val="nil"/>
            </w:tcBorders>
            <w:shd w:val="clear" w:color="auto" w:fill="auto"/>
            <w:noWrap/>
            <w:vAlign w:val="center"/>
            <w:hideMark/>
          </w:tcPr>
          <w:p w14:paraId="70EF734E" w14:textId="77777777" w:rsidR="004B5FAD" w:rsidRPr="002C75D8" w:rsidRDefault="004B5FAD" w:rsidP="009A6C4F">
            <w:pPr>
              <w:spacing w:after="0" w:line="240" w:lineRule="auto"/>
              <w:rPr>
                <w:rFonts w:eastAsia="Times New Roman" w:cs="Times New Roman"/>
                <w:color w:val="000000"/>
                <w:sz w:val="20"/>
                <w:szCs w:val="20"/>
                <w:lang w:eastAsia="en-GB"/>
              </w:rPr>
            </w:pPr>
            <w:r w:rsidRPr="002C75D8">
              <w:rPr>
                <w:rFonts w:eastAsia="Times New Roman" w:cs="Times New Roman"/>
                <w:color w:val="000000"/>
                <w:sz w:val="20"/>
                <w:szCs w:val="20"/>
                <w:lang w:eastAsia="en-GB"/>
              </w:rPr>
              <w:t>Abeokuta North</w:t>
            </w:r>
          </w:p>
        </w:tc>
        <w:tc>
          <w:tcPr>
            <w:tcW w:w="1311" w:type="pct"/>
            <w:tcBorders>
              <w:top w:val="nil"/>
              <w:left w:val="nil"/>
              <w:bottom w:val="nil"/>
              <w:right w:val="nil"/>
            </w:tcBorders>
            <w:shd w:val="clear" w:color="auto" w:fill="auto"/>
            <w:noWrap/>
            <w:vAlign w:val="center"/>
            <w:hideMark/>
          </w:tcPr>
          <w:p w14:paraId="2D2765B5" w14:textId="719758C6" w:rsidR="004B5FAD" w:rsidRPr="002C75D8" w:rsidRDefault="004B5FAD" w:rsidP="009A6C4F">
            <w:pPr>
              <w:spacing w:after="0" w:line="240" w:lineRule="auto"/>
              <w:jc w:val="center"/>
              <w:rPr>
                <w:rFonts w:eastAsia="Times New Roman" w:cs="Times New Roman"/>
                <w:color w:val="000000"/>
                <w:sz w:val="20"/>
                <w:szCs w:val="20"/>
                <w:lang w:eastAsia="en-GB"/>
              </w:rPr>
            </w:pPr>
            <w:r w:rsidRPr="002C75D8">
              <w:rPr>
                <w:rFonts w:eastAsia="Times New Roman" w:cs="Times New Roman"/>
                <w:color w:val="000000"/>
                <w:sz w:val="20"/>
                <w:szCs w:val="20"/>
                <w:lang w:eastAsia="en-GB"/>
              </w:rPr>
              <w:t>13480</w:t>
            </w:r>
          </w:p>
        </w:tc>
        <w:tc>
          <w:tcPr>
            <w:tcW w:w="820" w:type="pct"/>
            <w:tcBorders>
              <w:top w:val="nil"/>
              <w:left w:val="nil"/>
              <w:bottom w:val="nil"/>
              <w:right w:val="nil"/>
            </w:tcBorders>
            <w:shd w:val="clear" w:color="auto" w:fill="auto"/>
            <w:noWrap/>
            <w:vAlign w:val="center"/>
          </w:tcPr>
          <w:p w14:paraId="5B7599A8" w14:textId="30FE63D5" w:rsidR="004B5FAD" w:rsidRPr="002C75D8" w:rsidRDefault="003833E5" w:rsidP="009A6C4F">
            <w:pPr>
              <w:spacing w:after="0" w:line="240" w:lineRule="auto"/>
              <w:jc w:val="center"/>
              <w:rPr>
                <w:rFonts w:eastAsia="Times New Roman" w:cs="Times New Roman"/>
                <w:color w:val="000000"/>
                <w:sz w:val="20"/>
                <w:szCs w:val="20"/>
                <w:lang w:eastAsia="en-GB"/>
              </w:rPr>
            </w:pPr>
            <w:r w:rsidRPr="002C75D8">
              <w:rPr>
                <w:rFonts w:eastAsia="Times New Roman" w:cs="Times New Roman"/>
                <w:color w:val="000000"/>
                <w:sz w:val="20"/>
                <w:szCs w:val="20"/>
                <w:lang w:eastAsia="en-GB"/>
              </w:rPr>
              <w:t>3942</w:t>
            </w:r>
          </w:p>
        </w:tc>
        <w:tc>
          <w:tcPr>
            <w:tcW w:w="1072" w:type="pct"/>
            <w:tcBorders>
              <w:top w:val="nil"/>
              <w:left w:val="nil"/>
              <w:bottom w:val="nil"/>
              <w:right w:val="nil"/>
            </w:tcBorders>
            <w:vAlign w:val="center"/>
          </w:tcPr>
          <w:p w14:paraId="4994B81E" w14:textId="797EEBB4" w:rsidR="004B5FAD" w:rsidRPr="002C75D8" w:rsidRDefault="003833E5" w:rsidP="009A6C4F">
            <w:pPr>
              <w:spacing w:after="0" w:line="240" w:lineRule="auto"/>
              <w:jc w:val="center"/>
              <w:rPr>
                <w:rFonts w:eastAsia="Times New Roman" w:cs="Times New Roman"/>
                <w:color w:val="000000"/>
                <w:sz w:val="20"/>
                <w:szCs w:val="20"/>
                <w:lang w:eastAsia="en-GB"/>
              </w:rPr>
            </w:pPr>
            <w:r w:rsidRPr="002C75D8">
              <w:rPr>
                <w:rFonts w:eastAsia="Times New Roman" w:cs="Times New Roman"/>
                <w:color w:val="000000"/>
                <w:sz w:val="20"/>
                <w:szCs w:val="20"/>
                <w:lang w:eastAsia="en-GB"/>
              </w:rPr>
              <w:t>2956</w:t>
            </w:r>
          </w:p>
        </w:tc>
        <w:tc>
          <w:tcPr>
            <w:tcW w:w="776" w:type="pct"/>
            <w:tcBorders>
              <w:top w:val="nil"/>
              <w:left w:val="nil"/>
              <w:bottom w:val="nil"/>
              <w:right w:val="nil"/>
            </w:tcBorders>
            <w:vAlign w:val="center"/>
          </w:tcPr>
          <w:p w14:paraId="1A8CA461" w14:textId="44548E00" w:rsidR="004B5FAD" w:rsidRPr="002C75D8" w:rsidRDefault="003833E5" w:rsidP="009A6C4F">
            <w:pPr>
              <w:spacing w:after="0" w:line="240" w:lineRule="auto"/>
              <w:jc w:val="center"/>
              <w:rPr>
                <w:rFonts w:eastAsia="Times New Roman" w:cs="Times New Roman"/>
                <w:color w:val="000000"/>
                <w:sz w:val="20"/>
                <w:szCs w:val="20"/>
                <w:lang w:eastAsia="en-GB"/>
              </w:rPr>
            </w:pPr>
            <w:r w:rsidRPr="002C75D8">
              <w:rPr>
                <w:rFonts w:eastAsia="Times New Roman" w:cs="Times New Roman"/>
                <w:color w:val="000000"/>
                <w:sz w:val="20"/>
                <w:szCs w:val="20"/>
                <w:lang w:eastAsia="en-GB"/>
              </w:rPr>
              <w:t>1971</w:t>
            </w:r>
          </w:p>
        </w:tc>
      </w:tr>
      <w:tr w:rsidR="004B5FAD" w:rsidRPr="004826E1" w14:paraId="0A656B42" w14:textId="208AE9D1" w:rsidTr="004341D3">
        <w:trPr>
          <w:trHeight w:val="325"/>
        </w:trPr>
        <w:tc>
          <w:tcPr>
            <w:tcW w:w="1021" w:type="pct"/>
            <w:tcBorders>
              <w:top w:val="nil"/>
              <w:left w:val="nil"/>
              <w:bottom w:val="nil"/>
              <w:right w:val="nil"/>
            </w:tcBorders>
            <w:shd w:val="clear" w:color="auto" w:fill="auto"/>
            <w:noWrap/>
            <w:vAlign w:val="center"/>
            <w:hideMark/>
          </w:tcPr>
          <w:p w14:paraId="5EA982BE" w14:textId="77777777" w:rsidR="004B5FAD" w:rsidRPr="002C75D8" w:rsidRDefault="004B5FAD" w:rsidP="009A6C4F">
            <w:pPr>
              <w:spacing w:after="0" w:line="240" w:lineRule="auto"/>
              <w:rPr>
                <w:rFonts w:eastAsia="Times New Roman" w:cs="Times New Roman"/>
                <w:color w:val="000000"/>
                <w:sz w:val="20"/>
                <w:szCs w:val="20"/>
                <w:lang w:eastAsia="en-GB"/>
              </w:rPr>
            </w:pPr>
            <w:r w:rsidRPr="002C75D8">
              <w:rPr>
                <w:rFonts w:eastAsia="Times New Roman" w:cs="Times New Roman"/>
                <w:color w:val="000000"/>
                <w:sz w:val="20"/>
                <w:szCs w:val="20"/>
                <w:lang w:eastAsia="en-GB"/>
              </w:rPr>
              <w:t>Abeokuta South</w:t>
            </w:r>
          </w:p>
        </w:tc>
        <w:tc>
          <w:tcPr>
            <w:tcW w:w="1311" w:type="pct"/>
            <w:tcBorders>
              <w:top w:val="nil"/>
              <w:left w:val="nil"/>
              <w:bottom w:val="nil"/>
              <w:right w:val="nil"/>
            </w:tcBorders>
            <w:shd w:val="clear" w:color="auto" w:fill="auto"/>
            <w:noWrap/>
            <w:vAlign w:val="center"/>
          </w:tcPr>
          <w:p w14:paraId="28099B66" w14:textId="693A9D0B" w:rsidR="004B5FAD" w:rsidRPr="002C75D8" w:rsidRDefault="004B5FAD" w:rsidP="009A6C4F">
            <w:pPr>
              <w:spacing w:after="0" w:line="240" w:lineRule="auto"/>
              <w:jc w:val="center"/>
              <w:rPr>
                <w:rFonts w:eastAsia="Times New Roman" w:cs="Times New Roman"/>
                <w:color w:val="000000"/>
                <w:sz w:val="20"/>
                <w:szCs w:val="20"/>
                <w:lang w:eastAsia="en-GB"/>
              </w:rPr>
            </w:pPr>
            <w:r w:rsidRPr="002C75D8">
              <w:rPr>
                <w:rFonts w:eastAsia="Times New Roman" w:cs="Times New Roman"/>
                <w:color w:val="000000"/>
                <w:sz w:val="20"/>
                <w:szCs w:val="20"/>
                <w:lang w:eastAsia="en-GB"/>
              </w:rPr>
              <w:t>9940</w:t>
            </w:r>
          </w:p>
        </w:tc>
        <w:tc>
          <w:tcPr>
            <w:tcW w:w="820" w:type="pct"/>
            <w:tcBorders>
              <w:top w:val="nil"/>
              <w:left w:val="nil"/>
              <w:bottom w:val="nil"/>
              <w:right w:val="nil"/>
            </w:tcBorders>
            <w:shd w:val="clear" w:color="auto" w:fill="auto"/>
            <w:noWrap/>
            <w:vAlign w:val="center"/>
          </w:tcPr>
          <w:p w14:paraId="139B72DF" w14:textId="365308AB" w:rsidR="004B5FAD" w:rsidRPr="002C75D8" w:rsidRDefault="003833E5" w:rsidP="009A6C4F">
            <w:pPr>
              <w:spacing w:after="0" w:line="240" w:lineRule="auto"/>
              <w:jc w:val="center"/>
              <w:rPr>
                <w:rFonts w:eastAsia="Times New Roman" w:cs="Times New Roman"/>
                <w:color w:val="000000"/>
                <w:sz w:val="20"/>
                <w:szCs w:val="20"/>
                <w:lang w:eastAsia="en-GB"/>
              </w:rPr>
            </w:pPr>
            <w:r w:rsidRPr="002C75D8">
              <w:rPr>
                <w:rFonts w:eastAsia="Times New Roman" w:cs="Times New Roman"/>
                <w:color w:val="000000"/>
                <w:sz w:val="20"/>
                <w:szCs w:val="20"/>
                <w:lang w:eastAsia="en-GB"/>
              </w:rPr>
              <w:t>2906</w:t>
            </w:r>
          </w:p>
        </w:tc>
        <w:tc>
          <w:tcPr>
            <w:tcW w:w="1072" w:type="pct"/>
            <w:tcBorders>
              <w:top w:val="nil"/>
              <w:left w:val="nil"/>
              <w:bottom w:val="nil"/>
              <w:right w:val="nil"/>
            </w:tcBorders>
            <w:vAlign w:val="center"/>
          </w:tcPr>
          <w:p w14:paraId="4D928E2E" w14:textId="508125E1" w:rsidR="004B5FAD" w:rsidRPr="002C75D8" w:rsidRDefault="003833E5" w:rsidP="009A6C4F">
            <w:pPr>
              <w:spacing w:after="0" w:line="240" w:lineRule="auto"/>
              <w:jc w:val="center"/>
              <w:rPr>
                <w:rFonts w:eastAsia="Times New Roman" w:cs="Times New Roman"/>
                <w:color w:val="000000"/>
                <w:sz w:val="20"/>
                <w:szCs w:val="20"/>
                <w:lang w:eastAsia="en-GB"/>
              </w:rPr>
            </w:pPr>
            <w:r w:rsidRPr="002C75D8">
              <w:rPr>
                <w:rFonts w:eastAsia="Times New Roman" w:cs="Times New Roman"/>
                <w:color w:val="000000"/>
                <w:sz w:val="20"/>
                <w:szCs w:val="20"/>
                <w:lang w:eastAsia="en-GB"/>
              </w:rPr>
              <w:t>2180</w:t>
            </w:r>
          </w:p>
        </w:tc>
        <w:tc>
          <w:tcPr>
            <w:tcW w:w="776" w:type="pct"/>
            <w:tcBorders>
              <w:top w:val="nil"/>
              <w:left w:val="nil"/>
              <w:bottom w:val="nil"/>
              <w:right w:val="nil"/>
            </w:tcBorders>
            <w:vAlign w:val="center"/>
          </w:tcPr>
          <w:p w14:paraId="0C38C2D5" w14:textId="7D0B4965" w:rsidR="004B5FAD" w:rsidRPr="002C75D8" w:rsidRDefault="003833E5" w:rsidP="009A6C4F">
            <w:pPr>
              <w:spacing w:after="0" w:line="240" w:lineRule="auto"/>
              <w:jc w:val="center"/>
              <w:rPr>
                <w:rFonts w:eastAsia="Times New Roman" w:cs="Times New Roman"/>
                <w:color w:val="000000"/>
                <w:sz w:val="20"/>
                <w:szCs w:val="20"/>
                <w:lang w:eastAsia="en-GB"/>
              </w:rPr>
            </w:pPr>
            <w:r w:rsidRPr="002C75D8">
              <w:rPr>
                <w:rFonts w:eastAsia="Times New Roman" w:cs="Times New Roman"/>
                <w:color w:val="000000"/>
                <w:sz w:val="20"/>
                <w:szCs w:val="20"/>
                <w:lang w:eastAsia="en-GB"/>
              </w:rPr>
              <w:t>1453</w:t>
            </w:r>
          </w:p>
        </w:tc>
      </w:tr>
      <w:tr w:rsidR="004B5FAD" w:rsidRPr="004826E1" w14:paraId="5D21F831" w14:textId="789718ED" w:rsidTr="004341D3">
        <w:trPr>
          <w:trHeight w:val="325"/>
        </w:trPr>
        <w:tc>
          <w:tcPr>
            <w:tcW w:w="1021" w:type="pct"/>
            <w:tcBorders>
              <w:top w:val="nil"/>
              <w:left w:val="nil"/>
              <w:bottom w:val="nil"/>
              <w:right w:val="nil"/>
            </w:tcBorders>
            <w:shd w:val="clear" w:color="auto" w:fill="auto"/>
            <w:noWrap/>
            <w:vAlign w:val="center"/>
          </w:tcPr>
          <w:p w14:paraId="6FD06FB5" w14:textId="77777777" w:rsidR="004B5FAD" w:rsidRPr="002C75D8" w:rsidRDefault="004B5FAD" w:rsidP="009A6C4F">
            <w:pPr>
              <w:spacing w:after="0" w:line="240" w:lineRule="auto"/>
              <w:rPr>
                <w:rFonts w:eastAsia="Times New Roman" w:cs="Times New Roman"/>
                <w:color w:val="000000"/>
                <w:sz w:val="20"/>
                <w:szCs w:val="20"/>
                <w:lang w:eastAsia="en-GB"/>
              </w:rPr>
            </w:pPr>
            <w:r w:rsidRPr="002C75D8">
              <w:rPr>
                <w:rFonts w:eastAsia="Times New Roman" w:cs="Times New Roman"/>
                <w:color w:val="000000"/>
                <w:sz w:val="20"/>
                <w:szCs w:val="20"/>
                <w:lang w:eastAsia="en-GB"/>
              </w:rPr>
              <w:t>Ifo</w:t>
            </w:r>
          </w:p>
        </w:tc>
        <w:tc>
          <w:tcPr>
            <w:tcW w:w="1311" w:type="pct"/>
            <w:tcBorders>
              <w:top w:val="nil"/>
              <w:left w:val="nil"/>
              <w:bottom w:val="nil"/>
              <w:right w:val="nil"/>
            </w:tcBorders>
            <w:shd w:val="clear" w:color="auto" w:fill="auto"/>
            <w:noWrap/>
            <w:vAlign w:val="center"/>
          </w:tcPr>
          <w:p w14:paraId="2A5A5D74" w14:textId="6256D772" w:rsidR="004B5FAD" w:rsidRPr="002C75D8" w:rsidRDefault="004B5FAD" w:rsidP="009A6C4F">
            <w:pPr>
              <w:spacing w:after="0" w:line="240" w:lineRule="auto"/>
              <w:jc w:val="center"/>
              <w:rPr>
                <w:rFonts w:eastAsia="Times New Roman" w:cs="Times New Roman"/>
                <w:color w:val="000000"/>
                <w:sz w:val="20"/>
                <w:szCs w:val="20"/>
                <w:lang w:eastAsia="en-GB"/>
              </w:rPr>
            </w:pPr>
            <w:r w:rsidRPr="002C75D8">
              <w:rPr>
                <w:rFonts w:eastAsia="Times New Roman" w:cs="Times New Roman"/>
                <w:color w:val="000000"/>
                <w:sz w:val="20"/>
                <w:szCs w:val="20"/>
                <w:lang w:eastAsia="en-GB"/>
              </w:rPr>
              <w:t>10530</w:t>
            </w:r>
          </w:p>
        </w:tc>
        <w:tc>
          <w:tcPr>
            <w:tcW w:w="820" w:type="pct"/>
            <w:tcBorders>
              <w:top w:val="nil"/>
              <w:left w:val="nil"/>
              <w:bottom w:val="nil"/>
              <w:right w:val="nil"/>
            </w:tcBorders>
            <w:shd w:val="clear" w:color="auto" w:fill="auto"/>
            <w:noWrap/>
            <w:vAlign w:val="center"/>
          </w:tcPr>
          <w:p w14:paraId="67BFF7CA" w14:textId="4C520241" w:rsidR="004B5FAD" w:rsidRPr="002C75D8" w:rsidRDefault="003833E5" w:rsidP="009A6C4F">
            <w:pPr>
              <w:spacing w:after="0" w:line="240" w:lineRule="auto"/>
              <w:jc w:val="center"/>
              <w:rPr>
                <w:rFonts w:eastAsia="Times New Roman" w:cs="Times New Roman"/>
                <w:color w:val="000000"/>
                <w:sz w:val="20"/>
                <w:szCs w:val="20"/>
                <w:lang w:eastAsia="en-GB"/>
              </w:rPr>
            </w:pPr>
            <w:r w:rsidRPr="002C75D8">
              <w:rPr>
                <w:rFonts w:eastAsia="Times New Roman" w:cs="Times New Roman"/>
                <w:color w:val="000000"/>
                <w:sz w:val="20"/>
                <w:szCs w:val="20"/>
                <w:lang w:eastAsia="en-GB"/>
              </w:rPr>
              <w:t>3079</w:t>
            </w:r>
          </w:p>
        </w:tc>
        <w:tc>
          <w:tcPr>
            <w:tcW w:w="1072" w:type="pct"/>
            <w:tcBorders>
              <w:top w:val="nil"/>
              <w:left w:val="nil"/>
              <w:bottom w:val="nil"/>
              <w:right w:val="nil"/>
            </w:tcBorders>
            <w:vAlign w:val="center"/>
          </w:tcPr>
          <w:p w14:paraId="4A91F99E" w14:textId="6FE9819E" w:rsidR="004B5FAD" w:rsidRPr="002C75D8" w:rsidRDefault="003833E5" w:rsidP="009A6C4F">
            <w:pPr>
              <w:spacing w:after="0" w:line="240" w:lineRule="auto"/>
              <w:jc w:val="center"/>
              <w:rPr>
                <w:rFonts w:eastAsia="Times New Roman" w:cs="Times New Roman"/>
                <w:color w:val="000000"/>
                <w:sz w:val="20"/>
                <w:szCs w:val="20"/>
                <w:lang w:eastAsia="en-GB"/>
              </w:rPr>
            </w:pPr>
            <w:r w:rsidRPr="002C75D8">
              <w:rPr>
                <w:rFonts w:eastAsia="Times New Roman" w:cs="Times New Roman"/>
                <w:color w:val="000000"/>
                <w:sz w:val="20"/>
                <w:szCs w:val="20"/>
                <w:lang w:eastAsia="en-GB"/>
              </w:rPr>
              <w:t>2309</w:t>
            </w:r>
          </w:p>
        </w:tc>
        <w:tc>
          <w:tcPr>
            <w:tcW w:w="776" w:type="pct"/>
            <w:tcBorders>
              <w:top w:val="nil"/>
              <w:left w:val="nil"/>
              <w:bottom w:val="nil"/>
              <w:right w:val="nil"/>
            </w:tcBorders>
            <w:vAlign w:val="center"/>
          </w:tcPr>
          <w:p w14:paraId="57A43B1A" w14:textId="362FE048" w:rsidR="004B5FAD" w:rsidRPr="002C75D8" w:rsidRDefault="003833E5" w:rsidP="009A6C4F">
            <w:pPr>
              <w:spacing w:after="0" w:line="240" w:lineRule="auto"/>
              <w:jc w:val="center"/>
              <w:rPr>
                <w:rFonts w:eastAsia="Times New Roman" w:cs="Times New Roman"/>
                <w:color w:val="000000"/>
                <w:sz w:val="20"/>
                <w:szCs w:val="20"/>
                <w:lang w:eastAsia="en-GB"/>
              </w:rPr>
            </w:pPr>
            <w:r w:rsidRPr="002C75D8">
              <w:rPr>
                <w:rFonts w:eastAsia="Times New Roman" w:cs="Times New Roman"/>
                <w:color w:val="000000"/>
                <w:sz w:val="20"/>
                <w:szCs w:val="20"/>
                <w:lang w:eastAsia="en-GB"/>
              </w:rPr>
              <w:t>1539</w:t>
            </w:r>
          </w:p>
        </w:tc>
      </w:tr>
      <w:tr w:rsidR="004B5FAD" w:rsidRPr="004826E1" w14:paraId="2239926C" w14:textId="527C29CA" w:rsidTr="004341D3">
        <w:trPr>
          <w:trHeight w:val="325"/>
        </w:trPr>
        <w:tc>
          <w:tcPr>
            <w:tcW w:w="1021" w:type="pct"/>
            <w:tcBorders>
              <w:top w:val="nil"/>
              <w:left w:val="nil"/>
              <w:bottom w:val="nil"/>
              <w:right w:val="nil"/>
            </w:tcBorders>
            <w:shd w:val="clear" w:color="auto" w:fill="auto"/>
            <w:noWrap/>
            <w:vAlign w:val="center"/>
            <w:hideMark/>
          </w:tcPr>
          <w:p w14:paraId="7B3B48D0" w14:textId="77777777" w:rsidR="004B5FAD" w:rsidRPr="002C75D8" w:rsidRDefault="004B5FAD" w:rsidP="009A6C4F">
            <w:pPr>
              <w:spacing w:after="0" w:line="240" w:lineRule="auto"/>
              <w:rPr>
                <w:rFonts w:eastAsia="Times New Roman" w:cs="Times New Roman"/>
                <w:color w:val="000000"/>
                <w:sz w:val="20"/>
                <w:szCs w:val="20"/>
                <w:lang w:eastAsia="en-GB"/>
              </w:rPr>
            </w:pPr>
            <w:r w:rsidRPr="002C75D8">
              <w:rPr>
                <w:rFonts w:eastAsia="Times New Roman" w:cs="Times New Roman"/>
                <w:color w:val="000000"/>
                <w:sz w:val="20"/>
                <w:szCs w:val="20"/>
                <w:lang w:eastAsia="en-GB"/>
              </w:rPr>
              <w:t>Obafemi-Owode</w:t>
            </w:r>
          </w:p>
        </w:tc>
        <w:tc>
          <w:tcPr>
            <w:tcW w:w="1311" w:type="pct"/>
            <w:tcBorders>
              <w:top w:val="nil"/>
              <w:left w:val="nil"/>
              <w:bottom w:val="nil"/>
              <w:right w:val="nil"/>
            </w:tcBorders>
            <w:shd w:val="clear" w:color="auto" w:fill="auto"/>
            <w:noWrap/>
            <w:vAlign w:val="center"/>
          </w:tcPr>
          <w:p w14:paraId="2C654BAD" w14:textId="4851C423" w:rsidR="004B5FAD" w:rsidRPr="002C75D8" w:rsidRDefault="004B5FAD" w:rsidP="009A6C4F">
            <w:pPr>
              <w:spacing w:after="0" w:line="240" w:lineRule="auto"/>
              <w:jc w:val="center"/>
              <w:rPr>
                <w:rFonts w:eastAsia="Times New Roman" w:cs="Times New Roman"/>
                <w:color w:val="000000"/>
                <w:sz w:val="20"/>
                <w:szCs w:val="20"/>
                <w:lang w:eastAsia="en-GB"/>
              </w:rPr>
            </w:pPr>
            <w:r w:rsidRPr="002C75D8">
              <w:rPr>
                <w:rFonts w:eastAsia="Times New Roman" w:cs="Times New Roman"/>
                <w:color w:val="000000"/>
                <w:sz w:val="20"/>
                <w:szCs w:val="20"/>
                <w:lang w:eastAsia="en-GB"/>
              </w:rPr>
              <w:t>11380</w:t>
            </w:r>
          </w:p>
        </w:tc>
        <w:tc>
          <w:tcPr>
            <w:tcW w:w="820" w:type="pct"/>
            <w:tcBorders>
              <w:top w:val="nil"/>
              <w:left w:val="nil"/>
              <w:bottom w:val="nil"/>
              <w:right w:val="nil"/>
            </w:tcBorders>
            <w:shd w:val="clear" w:color="auto" w:fill="auto"/>
            <w:noWrap/>
            <w:vAlign w:val="center"/>
          </w:tcPr>
          <w:p w14:paraId="4514E5EB" w14:textId="0F61C518" w:rsidR="004B5FAD" w:rsidRPr="002C75D8" w:rsidRDefault="003833E5" w:rsidP="009A6C4F">
            <w:pPr>
              <w:spacing w:after="0" w:line="240" w:lineRule="auto"/>
              <w:jc w:val="center"/>
              <w:rPr>
                <w:rFonts w:eastAsia="Times New Roman" w:cs="Times New Roman"/>
                <w:color w:val="000000"/>
                <w:sz w:val="20"/>
                <w:szCs w:val="20"/>
                <w:lang w:eastAsia="en-GB"/>
              </w:rPr>
            </w:pPr>
            <w:r w:rsidRPr="002C75D8">
              <w:rPr>
                <w:rFonts w:eastAsia="Times New Roman" w:cs="Times New Roman"/>
                <w:color w:val="000000"/>
                <w:sz w:val="20"/>
                <w:szCs w:val="20"/>
                <w:lang w:eastAsia="en-GB"/>
              </w:rPr>
              <w:t>3327</w:t>
            </w:r>
          </w:p>
        </w:tc>
        <w:tc>
          <w:tcPr>
            <w:tcW w:w="1072" w:type="pct"/>
            <w:tcBorders>
              <w:top w:val="nil"/>
              <w:left w:val="nil"/>
              <w:bottom w:val="nil"/>
              <w:right w:val="nil"/>
            </w:tcBorders>
            <w:vAlign w:val="center"/>
          </w:tcPr>
          <w:p w14:paraId="4DC53971" w14:textId="0EA47D38" w:rsidR="004B5FAD" w:rsidRPr="002C75D8" w:rsidRDefault="003833E5" w:rsidP="009A6C4F">
            <w:pPr>
              <w:spacing w:after="0" w:line="240" w:lineRule="auto"/>
              <w:jc w:val="center"/>
              <w:rPr>
                <w:rFonts w:eastAsia="Times New Roman" w:cs="Times New Roman"/>
                <w:color w:val="000000"/>
                <w:sz w:val="20"/>
                <w:szCs w:val="20"/>
                <w:lang w:eastAsia="en-GB"/>
              </w:rPr>
            </w:pPr>
            <w:r w:rsidRPr="002C75D8">
              <w:rPr>
                <w:rFonts w:eastAsia="Times New Roman" w:cs="Times New Roman"/>
                <w:color w:val="000000"/>
                <w:sz w:val="20"/>
                <w:szCs w:val="20"/>
                <w:lang w:eastAsia="en-GB"/>
              </w:rPr>
              <w:t>2496</w:t>
            </w:r>
          </w:p>
        </w:tc>
        <w:tc>
          <w:tcPr>
            <w:tcW w:w="776" w:type="pct"/>
            <w:tcBorders>
              <w:top w:val="nil"/>
              <w:left w:val="nil"/>
              <w:bottom w:val="nil"/>
              <w:right w:val="nil"/>
            </w:tcBorders>
            <w:vAlign w:val="center"/>
          </w:tcPr>
          <w:p w14:paraId="005BFFF5" w14:textId="6EDFB4F2" w:rsidR="004B5FAD" w:rsidRPr="002C75D8" w:rsidRDefault="003833E5" w:rsidP="009A6C4F">
            <w:pPr>
              <w:spacing w:after="0" w:line="240" w:lineRule="auto"/>
              <w:jc w:val="center"/>
              <w:rPr>
                <w:rFonts w:eastAsia="Times New Roman" w:cs="Times New Roman"/>
                <w:color w:val="000000"/>
                <w:sz w:val="20"/>
                <w:szCs w:val="20"/>
                <w:lang w:eastAsia="en-GB"/>
              </w:rPr>
            </w:pPr>
            <w:r w:rsidRPr="002C75D8">
              <w:rPr>
                <w:rFonts w:eastAsia="Times New Roman" w:cs="Times New Roman"/>
                <w:color w:val="000000"/>
                <w:sz w:val="20"/>
                <w:szCs w:val="20"/>
                <w:lang w:eastAsia="en-GB"/>
              </w:rPr>
              <w:t>1664</w:t>
            </w:r>
          </w:p>
        </w:tc>
      </w:tr>
      <w:tr w:rsidR="004B5FAD" w:rsidRPr="004826E1" w14:paraId="37748D73" w14:textId="6476F7C0" w:rsidTr="004341D3">
        <w:trPr>
          <w:trHeight w:val="325"/>
        </w:trPr>
        <w:tc>
          <w:tcPr>
            <w:tcW w:w="1021" w:type="pct"/>
            <w:tcBorders>
              <w:top w:val="nil"/>
              <w:left w:val="nil"/>
              <w:bottom w:val="nil"/>
              <w:right w:val="nil"/>
            </w:tcBorders>
            <w:shd w:val="clear" w:color="auto" w:fill="auto"/>
            <w:noWrap/>
            <w:vAlign w:val="center"/>
            <w:hideMark/>
          </w:tcPr>
          <w:p w14:paraId="15B30211" w14:textId="77777777" w:rsidR="004B5FAD" w:rsidRPr="002C75D8" w:rsidRDefault="004B5FAD" w:rsidP="009A6C4F">
            <w:pPr>
              <w:spacing w:after="0" w:line="240" w:lineRule="auto"/>
              <w:rPr>
                <w:rFonts w:eastAsia="Times New Roman" w:cs="Times New Roman"/>
                <w:color w:val="000000"/>
                <w:sz w:val="20"/>
                <w:szCs w:val="20"/>
                <w:lang w:eastAsia="en-GB"/>
              </w:rPr>
            </w:pPr>
            <w:r w:rsidRPr="002C75D8">
              <w:rPr>
                <w:rFonts w:eastAsia="Times New Roman" w:cs="Times New Roman"/>
                <w:color w:val="000000"/>
                <w:sz w:val="20"/>
                <w:szCs w:val="20"/>
                <w:lang w:eastAsia="en-GB"/>
              </w:rPr>
              <w:t>Odeda</w:t>
            </w:r>
          </w:p>
        </w:tc>
        <w:tc>
          <w:tcPr>
            <w:tcW w:w="1311" w:type="pct"/>
            <w:tcBorders>
              <w:top w:val="nil"/>
              <w:left w:val="nil"/>
              <w:bottom w:val="nil"/>
              <w:right w:val="nil"/>
            </w:tcBorders>
            <w:shd w:val="clear" w:color="auto" w:fill="auto"/>
            <w:noWrap/>
            <w:vAlign w:val="center"/>
            <w:hideMark/>
          </w:tcPr>
          <w:p w14:paraId="0F630EEF" w14:textId="5A9CE26A" w:rsidR="004B5FAD" w:rsidRPr="002C75D8" w:rsidRDefault="004B5FAD" w:rsidP="009A6C4F">
            <w:pPr>
              <w:spacing w:after="0" w:line="240" w:lineRule="auto"/>
              <w:jc w:val="center"/>
              <w:rPr>
                <w:rFonts w:eastAsia="Times New Roman" w:cs="Times New Roman"/>
                <w:color w:val="000000"/>
                <w:sz w:val="20"/>
                <w:szCs w:val="20"/>
                <w:lang w:eastAsia="en-GB"/>
              </w:rPr>
            </w:pPr>
            <w:r w:rsidRPr="002C75D8">
              <w:rPr>
                <w:rFonts w:eastAsia="Times New Roman" w:cs="Times New Roman"/>
                <w:color w:val="000000"/>
                <w:sz w:val="20"/>
                <w:szCs w:val="20"/>
                <w:lang w:eastAsia="en-GB"/>
              </w:rPr>
              <w:t>30050</w:t>
            </w:r>
          </w:p>
        </w:tc>
        <w:tc>
          <w:tcPr>
            <w:tcW w:w="820" w:type="pct"/>
            <w:tcBorders>
              <w:top w:val="nil"/>
              <w:left w:val="nil"/>
              <w:bottom w:val="nil"/>
              <w:right w:val="nil"/>
            </w:tcBorders>
            <w:shd w:val="clear" w:color="auto" w:fill="auto"/>
            <w:noWrap/>
            <w:vAlign w:val="center"/>
          </w:tcPr>
          <w:p w14:paraId="6640A89C" w14:textId="2141EE26" w:rsidR="004B5FAD" w:rsidRPr="002C75D8" w:rsidRDefault="003833E5" w:rsidP="009A6C4F">
            <w:pPr>
              <w:spacing w:after="0" w:line="240" w:lineRule="auto"/>
              <w:jc w:val="center"/>
              <w:rPr>
                <w:rFonts w:eastAsia="Times New Roman" w:cs="Times New Roman"/>
                <w:color w:val="000000"/>
                <w:sz w:val="20"/>
                <w:szCs w:val="20"/>
                <w:lang w:eastAsia="en-GB"/>
              </w:rPr>
            </w:pPr>
            <w:r w:rsidRPr="002C75D8">
              <w:rPr>
                <w:rFonts w:eastAsia="Times New Roman" w:cs="Times New Roman"/>
                <w:color w:val="000000"/>
                <w:sz w:val="20"/>
                <w:szCs w:val="20"/>
                <w:lang w:eastAsia="en-GB"/>
              </w:rPr>
              <w:t>8786</w:t>
            </w:r>
          </w:p>
        </w:tc>
        <w:tc>
          <w:tcPr>
            <w:tcW w:w="1072" w:type="pct"/>
            <w:tcBorders>
              <w:top w:val="nil"/>
              <w:left w:val="nil"/>
              <w:bottom w:val="nil"/>
              <w:right w:val="nil"/>
            </w:tcBorders>
            <w:vAlign w:val="center"/>
          </w:tcPr>
          <w:p w14:paraId="599154F1" w14:textId="4AEB28AB" w:rsidR="004B5FAD" w:rsidRPr="002C75D8" w:rsidRDefault="003833E5" w:rsidP="009A6C4F">
            <w:pPr>
              <w:spacing w:after="0" w:line="240" w:lineRule="auto"/>
              <w:jc w:val="center"/>
              <w:rPr>
                <w:rFonts w:eastAsia="Times New Roman" w:cs="Times New Roman"/>
                <w:color w:val="000000"/>
                <w:sz w:val="20"/>
                <w:szCs w:val="20"/>
                <w:lang w:eastAsia="en-GB"/>
              </w:rPr>
            </w:pPr>
            <w:r w:rsidRPr="002C75D8">
              <w:rPr>
                <w:rFonts w:eastAsia="Times New Roman" w:cs="Times New Roman"/>
                <w:color w:val="000000"/>
                <w:sz w:val="20"/>
                <w:szCs w:val="20"/>
                <w:lang w:eastAsia="en-GB"/>
              </w:rPr>
              <w:t>6590</w:t>
            </w:r>
          </w:p>
        </w:tc>
        <w:tc>
          <w:tcPr>
            <w:tcW w:w="776" w:type="pct"/>
            <w:tcBorders>
              <w:top w:val="nil"/>
              <w:left w:val="nil"/>
              <w:bottom w:val="nil"/>
              <w:right w:val="nil"/>
            </w:tcBorders>
            <w:vAlign w:val="center"/>
          </w:tcPr>
          <w:p w14:paraId="430B5EDD" w14:textId="44E29822" w:rsidR="004B5FAD" w:rsidRPr="002C75D8" w:rsidRDefault="003833E5" w:rsidP="009A6C4F">
            <w:pPr>
              <w:spacing w:after="0" w:line="240" w:lineRule="auto"/>
              <w:jc w:val="center"/>
              <w:rPr>
                <w:rFonts w:eastAsia="Times New Roman" w:cs="Times New Roman"/>
                <w:color w:val="000000"/>
                <w:sz w:val="20"/>
                <w:szCs w:val="20"/>
                <w:lang w:eastAsia="en-GB"/>
              </w:rPr>
            </w:pPr>
            <w:r w:rsidRPr="002C75D8">
              <w:rPr>
                <w:rFonts w:eastAsia="Times New Roman" w:cs="Times New Roman"/>
                <w:color w:val="000000"/>
                <w:sz w:val="20"/>
                <w:szCs w:val="20"/>
                <w:lang w:eastAsia="en-GB"/>
              </w:rPr>
              <w:t>4393</w:t>
            </w:r>
          </w:p>
        </w:tc>
      </w:tr>
      <w:tr w:rsidR="004B5FAD" w:rsidRPr="00394237" w14:paraId="290C9D09" w14:textId="26430B8B" w:rsidTr="004341D3">
        <w:trPr>
          <w:trHeight w:val="325"/>
        </w:trPr>
        <w:tc>
          <w:tcPr>
            <w:tcW w:w="1021" w:type="pct"/>
            <w:tcBorders>
              <w:top w:val="single" w:sz="4" w:space="0" w:color="auto"/>
              <w:left w:val="nil"/>
              <w:bottom w:val="single" w:sz="4" w:space="0" w:color="auto"/>
              <w:right w:val="nil"/>
            </w:tcBorders>
            <w:shd w:val="clear" w:color="auto" w:fill="auto"/>
            <w:noWrap/>
            <w:vAlign w:val="center"/>
            <w:hideMark/>
          </w:tcPr>
          <w:p w14:paraId="0D633DD6" w14:textId="77777777" w:rsidR="004B5FAD" w:rsidRPr="002C75D8" w:rsidRDefault="004B5FAD" w:rsidP="009A6C4F">
            <w:pPr>
              <w:spacing w:after="0" w:line="240" w:lineRule="auto"/>
              <w:rPr>
                <w:rFonts w:eastAsia="Times New Roman" w:cs="Times New Roman"/>
                <w:b/>
                <w:bCs/>
                <w:color w:val="000000"/>
                <w:sz w:val="20"/>
                <w:szCs w:val="20"/>
                <w:lang w:eastAsia="en-GB"/>
              </w:rPr>
            </w:pPr>
            <w:r w:rsidRPr="002C75D8">
              <w:rPr>
                <w:rFonts w:eastAsia="Times New Roman" w:cs="Times New Roman"/>
                <w:b/>
                <w:bCs/>
                <w:color w:val="000000"/>
                <w:sz w:val="20"/>
                <w:szCs w:val="20"/>
                <w:lang w:eastAsia="en-GB"/>
              </w:rPr>
              <w:t> Total</w:t>
            </w:r>
          </w:p>
        </w:tc>
        <w:tc>
          <w:tcPr>
            <w:tcW w:w="1311" w:type="pct"/>
            <w:tcBorders>
              <w:top w:val="single" w:sz="4" w:space="0" w:color="auto"/>
              <w:left w:val="nil"/>
              <w:bottom w:val="single" w:sz="4" w:space="0" w:color="auto"/>
              <w:right w:val="nil"/>
            </w:tcBorders>
            <w:shd w:val="clear" w:color="auto" w:fill="auto"/>
            <w:noWrap/>
            <w:vAlign w:val="center"/>
            <w:hideMark/>
          </w:tcPr>
          <w:p w14:paraId="3347F20A" w14:textId="69A80F66" w:rsidR="004B5FAD" w:rsidRPr="002C75D8" w:rsidRDefault="003833E5" w:rsidP="009A6C4F">
            <w:pPr>
              <w:spacing w:after="0" w:line="240" w:lineRule="auto"/>
              <w:jc w:val="center"/>
              <w:rPr>
                <w:rFonts w:eastAsia="Times New Roman" w:cs="Times New Roman"/>
                <w:b/>
                <w:bCs/>
                <w:color w:val="000000"/>
                <w:sz w:val="20"/>
                <w:szCs w:val="20"/>
                <w:lang w:eastAsia="en-GB"/>
              </w:rPr>
            </w:pPr>
            <w:r w:rsidRPr="002C75D8">
              <w:rPr>
                <w:rFonts w:eastAsia="Times New Roman" w:cs="Times New Roman"/>
                <w:b/>
                <w:bCs/>
                <w:color w:val="000000"/>
                <w:sz w:val="20"/>
                <w:szCs w:val="20"/>
                <w:lang w:eastAsia="en-GB"/>
              </w:rPr>
              <w:t>75380</w:t>
            </w:r>
          </w:p>
        </w:tc>
        <w:tc>
          <w:tcPr>
            <w:tcW w:w="820" w:type="pct"/>
            <w:tcBorders>
              <w:top w:val="single" w:sz="4" w:space="0" w:color="auto"/>
              <w:left w:val="nil"/>
              <w:bottom w:val="single" w:sz="4" w:space="0" w:color="auto"/>
              <w:right w:val="nil"/>
            </w:tcBorders>
            <w:shd w:val="clear" w:color="auto" w:fill="auto"/>
            <w:noWrap/>
            <w:vAlign w:val="center"/>
            <w:hideMark/>
          </w:tcPr>
          <w:p w14:paraId="6A1D456B" w14:textId="412F3AE1" w:rsidR="004B5FAD" w:rsidRPr="002C75D8" w:rsidRDefault="003833E5" w:rsidP="009A6C4F">
            <w:pPr>
              <w:spacing w:after="0" w:line="240" w:lineRule="auto"/>
              <w:jc w:val="center"/>
              <w:rPr>
                <w:rFonts w:eastAsia="Times New Roman" w:cs="Times New Roman"/>
                <w:b/>
                <w:bCs/>
                <w:color w:val="000000"/>
                <w:sz w:val="20"/>
                <w:szCs w:val="20"/>
                <w:lang w:eastAsia="en-GB"/>
              </w:rPr>
            </w:pPr>
            <w:r w:rsidRPr="002C75D8">
              <w:rPr>
                <w:rFonts w:eastAsia="Times New Roman" w:cs="Times New Roman"/>
                <w:b/>
                <w:bCs/>
                <w:color w:val="000000"/>
                <w:sz w:val="20"/>
                <w:szCs w:val="20"/>
                <w:lang w:eastAsia="en-GB"/>
              </w:rPr>
              <w:t>22040</w:t>
            </w:r>
          </w:p>
        </w:tc>
        <w:tc>
          <w:tcPr>
            <w:tcW w:w="1072" w:type="pct"/>
            <w:tcBorders>
              <w:top w:val="single" w:sz="4" w:space="0" w:color="auto"/>
              <w:left w:val="nil"/>
              <w:bottom w:val="single" w:sz="4" w:space="0" w:color="auto"/>
              <w:right w:val="nil"/>
            </w:tcBorders>
            <w:vAlign w:val="center"/>
          </w:tcPr>
          <w:p w14:paraId="7FFD0743" w14:textId="4859FB54" w:rsidR="004B5FAD" w:rsidRPr="002C75D8" w:rsidRDefault="00446176" w:rsidP="009A6C4F">
            <w:pPr>
              <w:spacing w:after="0" w:line="240" w:lineRule="auto"/>
              <w:jc w:val="center"/>
              <w:rPr>
                <w:rFonts w:eastAsia="Times New Roman" w:cs="Times New Roman"/>
                <w:b/>
                <w:bCs/>
                <w:color w:val="000000"/>
                <w:sz w:val="20"/>
                <w:szCs w:val="20"/>
                <w:lang w:eastAsia="en-GB"/>
              </w:rPr>
            </w:pPr>
            <w:r w:rsidRPr="002C75D8">
              <w:rPr>
                <w:rFonts w:eastAsia="Times New Roman" w:cs="Times New Roman"/>
                <w:b/>
                <w:bCs/>
                <w:color w:val="000000"/>
                <w:sz w:val="20"/>
                <w:szCs w:val="20"/>
                <w:lang w:eastAsia="en-GB"/>
              </w:rPr>
              <w:t>16530</w:t>
            </w:r>
          </w:p>
        </w:tc>
        <w:tc>
          <w:tcPr>
            <w:tcW w:w="776" w:type="pct"/>
            <w:tcBorders>
              <w:top w:val="single" w:sz="4" w:space="0" w:color="auto"/>
              <w:left w:val="nil"/>
              <w:bottom w:val="single" w:sz="4" w:space="0" w:color="auto"/>
              <w:right w:val="nil"/>
            </w:tcBorders>
            <w:vAlign w:val="center"/>
          </w:tcPr>
          <w:p w14:paraId="751EA35E" w14:textId="6164EF17" w:rsidR="004B5FAD" w:rsidRPr="002C75D8" w:rsidRDefault="003833E5" w:rsidP="009A6C4F">
            <w:pPr>
              <w:spacing w:after="0" w:line="240" w:lineRule="auto"/>
              <w:jc w:val="center"/>
              <w:rPr>
                <w:rFonts w:eastAsia="Times New Roman" w:cs="Times New Roman"/>
                <w:b/>
                <w:bCs/>
                <w:color w:val="000000"/>
                <w:sz w:val="20"/>
                <w:szCs w:val="20"/>
                <w:lang w:eastAsia="en-GB"/>
              </w:rPr>
            </w:pPr>
            <w:r w:rsidRPr="002C75D8">
              <w:rPr>
                <w:rFonts w:eastAsia="Times New Roman" w:cs="Times New Roman"/>
                <w:b/>
                <w:bCs/>
                <w:color w:val="000000"/>
                <w:sz w:val="20"/>
                <w:szCs w:val="20"/>
                <w:lang w:eastAsia="en-GB"/>
              </w:rPr>
              <w:t>11020</w:t>
            </w:r>
          </w:p>
        </w:tc>
      </w:tr>
    </w:tbl>
    <w:p w14:paraId="25E672B4" w14:textId="77777777" w:rsidR="00AB4792" w:rsidRPr="00392C17" w:rsidRDefault="00AB4792" w:rsidP="00AB4792">
      <w:pPr>
        <w:jc w:val="both"/>
        <w:rPr>
          <w:rFonts w:cs="Times New Roman"/>
          <w:b/>
          <w:bCs/>
          <w:szCs w:val="24"/>
        </w:rPr>
      </w:pPr>
      <w:r w:rsidRPr="00392C17">
        <w:rPr>
          <w:rFonts w:cs="Times New Roman"/>
          <w:b/>
          <w:bCs/>
          <w:szCs w:val="24"/>
        </w:rPr>
        <w:lastRenderedPageBreak/>
        <w:t>5</w:t>
      </w:r>
      <w:r>
        <w:rPr>
          <w:rFonts w:cs="Times New Roman"/>
          <w:b/>
          <w:bCs/>
          <w:szCs w:val="24"/>
        </w:rPr>
        <w:t>.0</w:t>
      </w:r>
      <w:r w:rsidRPr="00392C17">
        <w:rPr>
          <w:rFonts w:cs="Times New Roman"/>
          <w:b/>
          <w:bCs/>
          <w:szCs w:val="24"/>
        </w:rPr>
        <w:tab/>
        <w:t>Conclusion and Recommendation</w:t>
      </w:r>
      <w:r>
        <w:rPr>
          <w:rFonts w:cs="Times New Roman"/>
          <w:b/>
          <w:bCs/>
          <w:szCs w:val="24"/>
        </w:rPr>
        <w:t>s</w:t>
      </w:r>
    </w:p>
    <w:p w14:paraId="0E0E3A36" w14:textId="77777777" w:rsidR="00712A23" w:rsidRDefault="00AB4792" w:rsidP="00AB4792">
      <w:pPr>
        <w:autoSpaceDE w:val="0"/>
        <w:autoSpaceDN w:val="0"/>
        <w:adjustRightInd w:val="0"/>
        <w:spacing w:after="0" w:line="240" w:lineRule="auto"/>
        <w:jc w:val="both"/>
        <w:rPr>
          <w:rFonts w:cs="Times New Roman"/>
          <w:color w:val="000000"/>
          <w:szCs w:val="24"/>
        </w:rPr>
      </w:pPr>
      <w:r w:rsidRPr="00904576">
        <w:rPr>
          <w:rFonts w:cs="Times New Roman"/>
          <w:color w:val="000000"/>
          <w:szCs w:val="24"/>
        </w:rPr>
        <w:t xml:space="preserve">The results have shown that </w:t>
      </w:r>
      <w:r>
        <w:rPr>
          <w:rFonts w:cs="Times New Roman"/>
          <w:color w:val="000000"/>
          <w:szCs w:val="24"/>
        </w:rPr>
        <w:t xml:space="preserve">GIS and remote sensing data can provide the requisite technology needed to identify potential sites in a </w:t>
      </w:r>
      <w:r w:rsidR="00712A23">
        <w:rPr>
          <w:rFonts w:cs="Times New Roman"/>
          <w:color w:val="000000"/>
          <w:szCs w:val="24"/>
        </w:rPr>
        <w:t>cost-effective manner</w:t>
      </w:r>
      <w:r>
        <w:rPr>
          <w:rFonts w:cs="Times New Roman"/>
          <w:color w:val="000000"/>
          <w:szCs w:val="24"/>
        </w:rPr>
        <w:t xml:space="preserve"> and within a reasonable period of time. This is a much better approach to the traditional water resources assessment approach using discharged data at outlet of watershed. Therefore,</w:t>
      </w:r>
      <w:r w:rsidRPr="00904576">
        <w:rPr>
          <w:rFonts w:cs="Times New Roman"/>
          <w:color w:val="000000"/>
          <w:szCs w:val="24"/>
        </w:rPr>
        <w:t xml:space="preserve"> spatial identiﬁcation and quantiﬁcation of small-scale hydro</w:t>
      </w:r>
      <w:r>
        <w:rPr>
          <w:rFonts w:cs="Times New Roman"/>
          <w:color w:val="000000"/>
          <w:szCs w:val="24"/>
        </w:rPr>
        <w:t>power</w:t>
      </w:r>
      <w:r w:rsidRPr="00904576">
        <w:rPr>
          <w:rFonts w:cs="Times New Roman"/>
          <w:color w:val="000000"/>
          <w:szCs w:val="24"/>
        </w:rPr>
        <w:t xml:space="preserve"> potential is expected to be an important addition to the ﬁeld of spatial electriﬁcation planning. </w:t>
      </w:r>
      <w:r>
        <w:rPr>
          <w:rFonts w:cs="Times New Roman"/>
          <w:color w:val="000000"/>
          <w:szCs w:val="24"/>
        </w:rPr>
        <w:t>The available small hydropower potentials estimated are enough to stimulate efforts towards identifying small hydropower potentials in the country with a view to harnessing same for electrification</w:t>
      </w:r>
      <w:r w:rsidR="00712A23">
        <w:rPr>
          <w:rFonts w:cs="Times New Roman"/>
          <w:color w:val="000000"/>
          <w:szCs w:val="24"/>
        </w:rPr>
        <w:t xml:space="preserve">, particularly in rural areas off the national grid. </w:t>
      </w:r>
      <w:r>
        <w:rPr>
          <w:rFonts w:cs="Times New Roman"/>
          <w:color w:val="000000"/>
          <w:szCs w:val="24"/>
        </w:rPr>
        <w:t xml:space="preserve"> </w:t>
      </w:r>
      <w:r w:rsidR="00712A23">
        <w:rPr>
          <w:rFonts w:cs="Times New Roman"/>
          <w:color w:val="000000"/>
          <w:szCs w:val="24"/>
        </w:rPr>
        <w:t xml:space="preserve">These will ensure equitable provision of electricity all irrespective of location and level of development. </w:t>
      </w:r>
      <w:r>
        <w:rPr>
          <w:rFonts w:cs="Times New Roman"/>
          <w:color w:val="000000"/>
          <w:szCs w:val="24"/>
        </w:rPr>
        <w:t>Small hydropower has</w:t>
      </w:r>
      <w:r w:rsidR="00712A23">
        <w:rPr>
          <w:rFonts w:cs="Times New Roman"/>
          <w:color w:val="000000"/>
          <w:szCs w:val="24"/>
        </w:rPr>
        <w:t xml:space="preserve"> become</w:t>
      </w:r>
      <w:r>
        <w:rPr>
          <w:rFonts w:cs="Times New Roman"/>
          <w:color w:val="000000"/>
          <w:szCs w:val="24"/>
        </w:rPr>
        <w:t xml:space="preserve"> more important than ever in many countries of the world including China, Germany, Spain, and India among others particularly with its attendant low carbon footprint.  </w:t>
      </w:r>
    </w:p>
    <w:p w14:paraId="58A688EA" w14:textId="77777777" w:rsidR="00712A23" w:rsidRDefault="00712A23" w:rsidP="00AB4792">
      <w:pPr>
        <w:autoSpaceDE w:val="0"/>
        <w:autoSpaceDN w:val="0"/>
        <w:adjustRightInd w:val="0"/>
        <w:spacing w:after="0" w:line="240" w:lineRule="auto"/>
        <w:jc w:val="both"/>
        <w:rPr>
          <w:rFonts w:cs="Times New Roman"/>
          <w:color w:val="000000"/>
          <w:szCs w:val="24"/>
        </w:rPr>
      </w:pPr>
    </w:p>
    <w:p w14:paraId="14CB3C2F" w14:textId="6670A96E" w:rsidR="00AB4792" w:rsidRDefault="00BE12A8" w:rsidP="00AB4792">
      <w:pPr>
        <w:autoSpaceDE w:val="0"/>
        <w:autoSpaceDN w:val="0"/>
        <w:adjustRightInd w:val="0"/>
        <w:spacing w:after="0" w:line="240" w:lineRule="auto"/>
        <w:jc w:val="both"/>
      </w:pPr>
      <w:r>
        <w:rPr>
          <w:rFonts w:cs="Times New Roman"/>
          <w:color w:val="000000"/>
          <w:szCs w:val="24"/>
        </w:rPr>
        <w:t>It is also evident that small hydropower can be used to reduce the level of energy poverty for a minimum of 11020 households</w:t>
      </w:r>
      <w:r w:rsidR="005D7B40">
        <w:rPr>
          <w:rFonts w:cs="Times New Roman"/>
          <w:color w:val="000000"/>
          <w:szCs w:val="24"/>
        </w:rPr>
        <w:t xml:space="preserve"> as well as reducing the </w:t>
      </w:r>
      <w:r>
        <w:rPr>
          <w:rFonts w:cs="Times New Roman"/>
          <w:color w:val="000000"/>
          <w:szCs w:val="24"/>
        </w:rPr>
        <w:t xml:space="preserve">carbon footprint </w:t>
      </w:r>
      <w:r w:rsidR="005D7B40">
        <w:rPr>
          <w:rFonts w:cs="Times New Roman"/>
          <w:color w:val="000000"/>
          <w:szCs w:val="24"/>
        </w:rPr>
        <w:t xml:space="preserve">of the communities. Harnessing the small hydropower potential across the country provides a huge prospect for the attainment of SDGs 7 and 13 and facilitate the achievement </w:t>
      </w:r>
      <w:r w:rsidR="00AB4792">
        <w:rPr>
          <w:rFonts w:cs="Times New Roman"/>
          <w:color w:val="000000"/>
          <w:szCs w:val="24"/>
        </w:rPr>
        <w:t xml:space="preserve">in education, health, and production, thereby leading to increase wellbeing of the population and higher gross domestic product for the country. </w:t>
      </w:r>
      <w:r w:rsidR="005D7B40">
        <w:rPr>
          <w:rFonts w:cs="Times New Roman"/>
          <w:color w:val="000000"/>
          <w:szCs w:val="24"/>
        </w:rPr>
        <w:t xml:space="preserve">This study therefore concludes that achieving inclusive energy access in Ogun State and the country at large requires </w:t>
      </w:r>
      <w:r w:rsidR="009427AB">
        <w:rPr>
          <w:rFonts w:cs="Times New Roman"/>
          <w:color w:val="000000"/>
          <w:szCs w:val="24"/>
        </w:rPr>
        <w:t>the promotion of energy mix through on-grid and off-grid approach of which small hydropower is one. Hence, energy democratisation and decentralisation must be pursued rigorously to provide the requisite environment for the promotion of off-grid energy systems, particularly SHP.</w:t>
      </w:r>
      <w:r w:rsidR="005D7B40">
        <w:rPr>
          <w:rFonts w:cs="Times New Roman"/>
          <w:color w:val="000000"/>
          <w:szCs w:val="24"/>
        </w:rPr>
        <w:t xml:space="preserve"> </w:t>
      </w:r>
      <w:r w:rsidR="00AB4792">
        <w:rPr>
          <w:rFonts w:cs="Times New Roman"/>
          <w:color w:val="000000"/>
          <w:szCs w:val="24"/>
        </w:rPr>
        <w:t>The government must also take advantage of the technological advancement, particularly in GIS and remote sensing for small hydropower assessment in order to facilitate the identification and estimation of small hydropower potentials in a cost effective and sustainable manner.</w:t>
      </w:r>
    </w:p>
    <w:p w14:paraId="1C0F5DFD" w14:textId="14956318" w:rsidR="001C08B3" w:rsidRDefault="001C08B3" w:rsidP="005F01BE"/>
    <w:p w14:paraId="0AA087B9" w14:textId="77777777" w:rsidR="002C75D8" w:rsidRPr="003A3033" w:rsidRDefault="002C75D8" w:rsidP="002C75D8">
      <w:pPr>
        <w:jc w:val="both"/>
        <w:rPr>
          <w:rFonts w:cs="Times New Roman"/>
          <w:b/>
          <w:bCs/>
          <w:color w:val="222222"/>
          <w:szCs w:val="24"/>
          <w:shd w:val="clear" w:color="auto" w:fill="FFFFFF"/>
        </w:rPr>
      </w:pPr>
      <w:r w:rsidRPr="003A3033">
        <w:rPr>
          <w:rFonts w:cs="Times New Roman"/>
          <w:b/>
          <w:bCs/>
          <w:color w:val="222222"/>
          <w:szCs w:val="24"/>
          <w:shd w:val="clear" w:color="auto" w:fill="FFFFFF"/>
        </w:rPr>
        <w:t>References</w:t>
      </w:r>
    </w:p>
    <w:p w14:paraId="4B837C1A" w14:textId="77777777" w:rsidR="002C75D8" w:rsidRPr="002E7BE8" w:rsidRDefault="002C75D8" w:rsidP="002C75D8">
      <w:pPr>
        <w:jc w:val="both"/>
        <w:rPr>
          <w:rFonts w:cs="Times New Roman"/>
          <w:color w:val="222222"/>
          <w:szCs w:val="24"/>
          <w:shd w:val="clear" w:color="auto" w:fill="FFFFFF"/>
        </w:rPr>
      </w:pPr>
      <w:r w:rsidRPr="002E7BE8">
        <w:rPr>
          <w:rFonts w:cs="Times New Roman"/>
          <w:color w:val="222222"/>
          <w:szCs w:val="24"/>
          <w:shd w:val="clear" w:color="auto" w:fill="FFFFFF"/>
        </w:rPr>
        <w:t xml:space="preserve">Adedeji, A. A. (2016). </w:t>
      </w:r>
      <w:r w:rsidRPr="002E7BE8">
        <w:rPr>
          <w:rFonts w:cs="Times New Roman"/>
          <w:i/>
          <w:iCs/>
          <w:color w:val="222222"/>
          <w:szCs w:val="24"/>
          <w:shd w:val="clear" w:color="auto" w:fill="FFFFFF"/>
        </w:rPr>
        <w:t>Spatial Exploration and Analysis of Electricity Poverty: A Case Study of Ibadan, Southwestern, Nigeria</w:t>
      </w:r>
      <w:r w:rsidRPr="002E7BE8">
        <w:rPr>
          <w:rFonts w:cs="Times New Roman"/>
          <w:color w:val="222222"/>
          <w:szCs w:val="24"/>
          <w:shd w:val="clear" w:color="auto" w:fill="FFFFFF"/>
        </w:rPr>
        <w:t>. University of Leicester.</w:t>
      </w:r>
    </w:p>
    <w:p w14:paraId="0E3CDE9F" w14:textId="77777777" w:rsidR="002C75D8" w:rsidRPr="002E7BE8" w:rsidRDefault="002C75D8" w:rsidP="002C75D8">
      <w:pPr>
        <w:jc w:val="both"/>
        <w:rPr>
          <w:rFonts w:cs="Times New Roman"/>
          <w:color w:val="222222"/>
          <w:szCs w:val="24"/>
          <w:shd w:val="clear" w:color="auto" w:fill="FFFFFF"/>
        </w:rPr>
      </w:pPr>
      <w:r w:rsidRPr="002E7BE8">
        <w:rPr>
          <w:rFonts w:cs="Times New Roman"/>
          <w:color w:val="222222"/>
          <w:szCs w:val="24"/>
          <w:shd w:val="clear" w:color="auto" w:fill="FFFFFF"/>
        </w:rPr>
        <w:t>Azodo, A. P. (2014). Electric power supply, main source and backing: A survey of residential utilization features. </w:t>
      </w:r>
      <w:r w:rsidRPr="002E7BE8">
        <w:rPr>
          <w:rFonts w:cs="Times New Roman"/>
          <w:i/>
          <w:iCs/>
          <w:color w:val="222222"/>
          <w:szCs w:val="24"/>
          <w:shd w:val="clear" w:color="auto" w:fill="FFFFFF"/>
        </w:rPr>
        <w:t>International Journal of Research Studies in Management</w:t>
      </w:r>
      <w:r w:rsidRPr="002E7BE8">
        <w:rPr>
          <w:rFonts w:cs="Times New Roman"/>
          <w:color w:val="222222"/>
          <w:szCs w:val="24"/>
          <w:shd w:val="clear" w:color="auto" w:fill="FFFFFF"/>
        </w:rPr>
        <w:t>, </w:t>
      </w:r>
      <w:r w:rsidRPr="002E7BE8">
        <w:rPr>
          <w:rFonts w:cs="Times New Roman"/>
          <w:i/>
          <w:iCs/>
          <w:color w:val="222222"/>
          <w:szCs w:val="24"/>
          <w:shd w:val="clear" w:color="auto" w:fill="FFFFFF"/>
        </w:rPr>
        <w:t>3</w:t>
      </w:r>
      <w:r w:rsidRPr="002E7BE8">
        <w:rPr>
          <w:rFonts w:cs="Times New Roman"/>
          <w:color w:val="222222"/>
          <w:szCs w:val="24"/>
          <w:shd w:val="clear" w:color="auto" w:fill="FFFFFF"/>
        </w:rPr>
        <w:t xml:space="preserve">(2), 87-102. </w:t>
      </w:r>
    </w:p>
    <w:p w14:paraId="50351FD3" w14:textId="77777777" w:rsidR="002C75D8" w:rsidRPr="003A3033" w:rsidRDefault="002C75D8" w:rsidP="002C75D8">
      <w:pPr>
        <w:jc w:val="both"/>
        <w:rPr>
          <w:rFonts w:cs="Times New Roman"/>
          <w:color w:val="222222"/>
          <w:szCs w:val="24"/>
          <w:shd w:val="clear" w:color="auto" w:fill="FFFFFF"/>
        </w:rPr>
      </w:pPr>
      <w:r w:rsidRPr="003A3033">
        <w:rPr>
          <w:rFonts w:cs="Times New Roman"/>
          <w:color w:val="222222"/>
          <w:szCs w:val="24"/>
          <w:shd w:val="clear" w:color="auto" w:fill="FFFFFF"/>
        </w:rPr>
        <w:t>Brecha, R. (2019). Electricity access threshold for meeting non-energy SDG targets. </w:t>
      </w:r>
      <w:r w:rsidRPr="003A3033">
        <w:rPr>
          <w:rFonts w:cs="Times New Roman"/>
          <w:i/>
          <w:iCs/>
          <w:color w:val="222222"/>
          <w:szCs w:val="24"/>
          <w:shd w:val="clear" w:color="auto" w:fill="FFFFFF"/>
        </w:rPr>
        <w:t>European Journal of Sustainable Development</w:t>
      </w:r>
      <w:r w:rsidRPr="003A3033">
        <w:rPr>
          <w:rFonts w:cs="Times New Roman"/>
          <w:color w:val="222222"/>
          <w:szCs w:val="24"/>
          <w:shd w:val="clear" w:color="auto" w:fill="FFFFFF"/>
        </w:rPr>
        <w:t>, </w:t>
      </w:r>
      <w:r w:rsidRPr="003A3033">
        <w:rPr>
          <w:rFonts w:cs="Times New Roman"/>
          <w:i/>
          <w:iCs/>
          <w:color w:val="222222"/>
          <w:szCs w:val="24"/>
          <w:shd w:val="clear" w:color="auto" w:fill="FFFFFF"/>
        </w:rPr>
        <w:t>8</w:t>
      </w:r>
      <w:r w:rsidRPr="003A3033">
        <w:rPr>
          <w:rFonts w:cs="Times New Roman"/>
          <w:color w:val="222222"/>
          <w:szCs w:val="24"/>
          <w:shd w:val="clear" w:color="auto" w:fill="FFFFFF"/>
        </w:rPr>
        <w:t>(4), 90-90.</w:t>
      </w:r>
    </w:p>
    <w:p w14:paraId="2112C5FC" w14:textId="77777777" w:rsidR="002C75D8" w:rsidRPr="00BE5E0D" w:rsidRDefault="002C75D8" w:rsidP="002C75D8">
      <w:pPr>
        <w:jc w:val="both"/>
        <w:rPr>
          <w:rFonts w:cs="Times New Roman"/>
          <w:color w:val="222222"/>
          <w:szCs w:val="24"/>
          <w:shd w:val="clear" w:color="auto" w:fill="FFFFFF"/>
        </w:rPr>
      </w:pPr>
      <w:r w:rsidRPr="00BE5E0D">
        <w:rPr>
          <w:rFonts w:cs="Times New Roman"/>
          <w:color w:val="222222"/>
          <w:szCs w:val="24"/>
          <w:shd w:val="clear" w:color="auto" w:fill="FFFFFF"/>
        </w:rPr>
        <w:t>Dieulin, C</w:t>
      </w:r>
      <w:r>
        <w:rPr>
          <w:rFonts w:cs="Times New Roman"/>
          <w:color w:val="222222"/>
          <w:szCs w:val="24"/>
          <w:shd w:val="clear" w:color="auto" w:fill="FFFFFF"/>
        </w:rPr>
        <w:t>.,</w:t>
      </w:r>
      <w:r w:rsidRPr="00BE5E0D">
        <w:rPr>
          <w:rFonts w:cs="Times New Roman"/>
          <w:color w:val="222222"/>
          <w:szCs w:val="24"/>
          <w:shd w:val="clear" w:color="auto" w:fill="FFFFFF"/>
        </w:rPr>
        <w:t xml:space="preserve"> Mahe, G</w:t>
      </w:r>
      <w:r>
        <w:rPr>
          <w:rFonts w:cs="Times New Roman"/>
          <w:color w:val="222222"/>
          <w:szCs w:val="24"/>
          <w:shd w:val="clear" w:color="auto" w:fill="FFFFFF"/>
        </w:rPr>
        <w:t>.,</w:t>
      </w:r>
      <w:r w:rsidRPr="00BE5E0D">
        <w:rPr>
          <w:rFonts w:cs="Times New Roman"/>
          <w:color w:val="222222"/>
          <w:szCs w:val="24"/>
          <w:shd w:val="clear" w:color="auto" w:fill="FFFFFF"/>
        </w:rPr>
        <w:t xml:space="preserve"> &amp; Paturel, J-E</w:t>
      </w:r>
      <w:r>
        <w:rPr>
          <w:rFonts w:cs="Times New Roman"/>
          <w:color w:val="222222"/>
          <w:szCs w:val="24"/>
          <w:shd w:val="clear" w:color="auto" w:fill="FFFFFF"/>
        </w:rPr>
        <w:t>.,</w:t>
      </w:r>
      <w:r w:rsidRPr="00BE5E0D">
        <w:rPr>
          <w:rFonts w:cs="Times New Roman"/>
          <w:color w:val="222222"/>
          <w:szCs w:val="24"/>
          <w:shd w:val="clear" w:color="auto" w:fill="FFFFFF"/>
        </w:rPr>
        <w:t xml:space="preserve"> Soundouss, E</w:t>
      </w:r>
      <w:r>
        <w:rPr>
          <w:rFonts w:cs="Times New Roman"/>
          <w:color w:val="222222"/>
          <w:szCs w:val="24"/>
          <w:shd w:val="clear" w:color="auto" w:fill="FFFFFF"/>
        </w:rPr>
        <w:t>.,</w:t>
      </w:r>
      <w:r w:rsidRPr="00BE5E0D">
        <w:rPr>
          <w:rFonts w:cs="Times New Roman"/>
          <w:color w:val="222222"/>
          <w:szCs w:val="24"/>
          <w:shd w:val="clear" w:color="auto" w:fill="FFFFFF"/>
        </w:rPr>
        <w:t xml:space="preserve"> &amp; Rouché, N</w:t>
      </w:r>
      <w:r>
        <w:rPr>
          <w:rFonts w:cs="Times New Roman"/>
          <w:color w:val="222222"/>
          <w:szCs w:val="24"/>
          <w:shd w:val="clear" w:color="auto" w:fill="FFFFFF"/>
        </w:rPr>
        <w:t>.,</w:t>
      </w:r>
      <w:r w:rsidRPr="00BE5E0D">
        <w:rPr>
          <w:rFonts w:cs="Times New Roman"/>
          <w:color w:val="222222"/>
          <w:szCs w:val="24"/>
          <w:shd w:val="clear" w:color="auto" w:fill="FFFFFF"/>
        </w:rPr>
        <w:t xml:space="preserve"> &amp; El</w:t>
      </w:r>
      <w:r>
        <w:rPr>
          <w:rFonts w:cs="Times New Roman"/>
          <w:color w:val="222222"/>
          <w:szCs w:val="24"/>
          <w:shd w:val="clear" w:color="auto" w:fill="FFFFFF"/>
        </w:rPr>
        <w:t>-</w:t>
      </w:r>
      <w:r w:rsidRPr="00BE5E0D">
        <w:rPr>
          <w:rFonts w:cs="Times New Roman"/>
          <w:color w:val="222222"/>
          <w:szCs w:val="24"/>
          <w:shd w:val="clear" w:color="auto" w:fill="FFFFFF"/>
        </w:rPr>
        <w:t>Mansouri, B. (2017). Monthly rainfall gridded dataset for Africa for the period 1990-1999 at the half a square degree, interpolation Inverse Distance Weighted.</w:t>
      </w:r>
    </w:p>
    <w:p w14:paraId="68421056" w14:textId="77777777" w:rsidR="002C75D8" w:rsidRPr="00276065" w:rsidRDefault="002C75D8" w:rsidP="002C75D8">
      <w:pPr>
        <w:jc w:val="both"/>
        <w:rPr>
          <w:rFonts w:cs="Times New Roman"/>
          <w:color w:val="222222"/>
          <w:szCs w:val="24"/>
          <w:shd w:val="clear" w:color="auto" w:fill="FFFFFF"/>
        </w:rPr>
      </w:pPr>
      <w:r w:rsidRPr="00276065">
        <w:rPr>
          <w:rFonts w:cs="Times New Roman"/>
          <w:color w:val="222222"/>
          <w:szCs w:val="24"/>
          <w:shd w:val="clear" w:color="auto" w:fill="FFFFFF"/>
        </w:rPr>
        <w:t>Energy Commission of Nigeria (ECN) (2004). Guide book on Small Hydro power Development in Nigeria; Planning, Policy and Financing issues</w:t>
      </w:r>
    </w:p>
    <w:p w14:paraId="4979B17F" w14:textId="77777777" w:rsidR="002C75D8" w:rsidRPr="00CE1040" w:rsidRDefault="002C75D8" w:rsidP="002C75D8">
      <w:pPr>
        <w:jc w:val="both"/>
        <w:rPr>
          <w:rFonts w:cs="Times New Roman"/>
          <w:color w:val="222222"/>
          <w:szCs w:val="24"/>
          <w:shd w:val="clear" w:color="auto" w:fill="FFFFFF"/>
        </w:rPr>
      </w:pPr>
      <w:r w:rsidRPr="00CE1040">
        <w:rPr>
          <w:rFonts w:cs="Times New Roman"/>
          <w:color w:val="222222"/>
          <w:szCs w:val="24"/>
          <w:shd w:val="clear" w:color="auto" w:fill="FFFFFF"/>
        </w:rPr>
        <w:lastRenderedPageBreak/>
        <w:t>Eshra, N. M., Zobaa, A. F., &amp; Aleem, S. H. A. (2021). Assessment of mini and micro hydropower potential in Egypt: Multi-criteria analysis. </w:t>
      </w:r>
      <w:r w:rsidRPr="00CE1040">
        <w:rPr>
          <w:rFonts w:cs="Times New Roman"/>
          <w:i/>
          <w:iCs/>
          <w:color w:val="222222"/>
          <w:szCs w:val="24"/>
          <w:shd w:val="clear" w:color="auto" w:fill="FFFFFF"/>
        </w:rPr>
        <w:t>Energy Reports</w:t>
      </w:r>
      <w:r w:rsidRPr="00CE1040">
        <w:rPr>
          <w:rFonts w:cs="Times New Roman"/>
          <w:color w:val="222222"/>
          <w:szCs w:val="24"/>
          <w:shd w:val="clear" w:color="auto" w:fill="FFFFFF"/>
        </w:rPr>
        <w:t>, </w:t>
      </w:r>
      <w:r w:rsidRPr="00CE1040">
        <w:rPr>
          <w:rFonts w:cs="Times New Roman"/>
          <w:i/>
          <w:iCs/>
          <w:color w:val="222222"/>
          <w:szCs w:val="24"/>
          <w:shd w:val="clear" w:color="auto" w:fill="FFFFFF"/>
        </w:rPr>
        <w:t>7</w:t>
      </w:r>
      <w:r w:rsidRPr="00CE1040">
        <w:rPr>
          <w:rFonts w:cs="Times New Roman"/>
          <w:color w:val="222222"/>
          <w:szCs w:val="24"/>
          <w:shd w:val="clear" w:color="auto" w:fill="FFFFFF"/>
        </w:rPr>
        <w:t>, 81-94.</w:t>
      </w:r>
    </w:p>
    <w:p w14:paraId="5C9B3172" w14:textId="77777777" w:rsidR="002C75D8" w:rsidRPr="00CE1040" w:rsidRDefault="002C75D8" w:rsidP="002C75D8">
      <w:pPr>
        <w:jc w:val="both"/>
        <w:rPr>
          <w:rFonts w:cs="Times New Roman"/>
          <w:color w:val="222222"/>
          <w:szCs w:val="24"/>
          <w:shd w:val="clear" w:color="auto" w:fill="FFFFFF"/>
        </w:rPr>
      </w:pPr>
      <w:r w:rsidRPr="00CE1040">
        <w:rPr>
          <w:rFonts w:cs="Times New Roman"/>
          <w:color w:val="222222"/>
          <w:szCs w:val="24"/>
          <w:shd w:val="clear" w:color="auto" w:fill="FFFFFF"/>
        </w:rPr>
        <w:t>Ghorbani, M. A., Deo, R. C., Kim, S., Hasanpour Kashani, M., Karimi, V., &amp; Izadkhah, M. (2020). Development and evaluation of the cascade correlation neural network and the random forest models for river stage and river flow prediction in Australia. </w:t>
      </w:r>
      <w:r w:rsidRPr="00CE1040">
        <w:rPr>
          <w:rFonts w:cs="Times New Roman"/>
          <w:i/>
          <w:iCs/>
          <w:color w:val="222222"/>
          <w:szCs w:val="24"/>
          <w:shd w:val="clear" w:color="auto" w:fill="FFFFFF"/>
        </w:rPr>
        <w:t>Soft Computing</w:t>
      </w:r>
      <w:r w:rsidRPr="00CE1040">
        <w:rPr>
          <w:rFonts w:cs="Times New Roman"/>
          <w:color w:val="222222"/>
          <w:szCs w:val="24"/>
          <w:shd w:val="clear" w:color="auto" w:fill="FFFFFF"/>
        </w:rPr>
        <w:t>, </w:t>
      </w:r>
      <w:r w:rsidRPr="00CE1040">
        <w:rPr>
          <w:rFonts w:cs="Times New Roman"/>
          <w:i/>
          <w:iCs/>
          <w:color w:val="222222"/>
          <w:szCs w:val="24"/>
          <w:shd w:val="clear" w:color="auto" w:fill="FFFFFF"/>
        </w:rPr>
        <w:t>24</w:t>
      </w:r>
      <w:r w:rsidRPr="00CE1040">
        <w:rPr>
          <w:rFonts w:cs="Times New Roman"/>
          <w:color w:val="222222"/>
          <w:szCs w:val="24"/>
          <w:shd w:val="clear" w:color="auto" w:fill="FFFFFF"/>
        </w:rPr>
        <w:t xml:space="preserve">(16), 12079-12090. </w:t>
      </w:r>
    </w:p>
    <w:p w14:paraId="48C4DA39" w14:textId="77777777" w:rsidR="002C75D8" w:rsidRPr="00CE1040" w:rsidRDefault="002C75D8" w:rsidP="002C75D8">
      <w:pPr>
        <w:jc w:val="both"/>
        <w:rPr>
          <w:rFonts w:cs="Times New Roman"/>
          <w:color w:val="222222"/>
          <w:szCs w:val="24"/>
          <w:shd w:val="clear" w:color="auto" w:fill="FFFFFF"/>
        </w:rPr>
      </w:pPr>
      <w:r w:rsidRPr="00CE1040">
        <w:rPr>
          <w:rFonts w:cs="Times New Roman"/>
          <w:color w:val="222222"/>
          <w:szCs w:val="24"/>
          <w:shd w:val="clear" w:color="auto" w:fill="FFFFFF"/>
        </w:rPr>
        <w:t>Goyal, M. K., Singh, V., &amp; Meena, A. H. (2015). Geospatial and hydrological modeling to assess hydropower potential zones and site location over rainfall dependent Inland catchment. </w:t>
      </w:r>
      <w:r w:rsidRPr="00CE1040">
        <w:rPr>
          <w:rFonts w:cs="Times New Roman"/>
          <w:i/>
          <w:iCs/>
          <w:color w:val="222222"/>
          <w:szCs w:val="24"/>
          <w:shd w:val="clear" w:color="auto" w:fill="FFFFFF"/>
        </w:rPr>
        <w:t>Water Resources Management</w:t>
      </w:r>
      <w:r w:rsidRPr="00CE1040">
        <w:rPr>
          <w:rFonts w:cs="Times New Roman"/>
          <w:color w:val="222222"/>
          <w:szCs w:val="24"/>
          <w:shd w:val="clear" w:color="auto" w:fill="FFFFFF"/>
        </w:rPr>
        <w:t>, </w:t>
      </w:r>
      <w:r w:rsidRPr="00CE1040">
        <w:rPr>
          <w:rFonts w:cs="Times New Roman"/>
          <w:i/>
          <w:iCs/>
          <w:color w:val="222222"/>
          <w:szCs w:val="24"/>
          <w:shd w:val="clear" w:color="auto" w:fill="FFFFFF"/>
        </w:rPr>
        <w:t>29</w:t>
      </w:r>
      <w:r w:rsidRPr="00CE1040">
        <w:rPr>
          <w:rFonts w:cs="Times New Roman"/>
          <w:color w:val="222222"/>
          <w:szCs w:val="24"/>
          <w:shd w:val="clear" w:color="auto" w:fill="FFFFFF"/>
        </w:rPr>
        <w:t>(8), 2875-2894.</w:t>
      </w:r>
    </w:p>
    <w:p w14:paraId="42F4A78E" w14:textId="77777777" w:rsidR="002C75D8" w:rsidRPr="00CE1040" w:rsidRDefault="002C75D8" w:rsidP="002C75D8">
      <w:pPr>
        <w:jc w:val="both"/>
        <w:rPr>
          <w:rFonts w:cs="Times New Roman"/>
          <w:szCs w:val="24"/>
        </w:rPr>
      </w:pPr>
      <w:r w:rsidRPr="00CE1040">
        <w:rPr>
          <w:rFonts w:cs="Times New Roman"/>
          <w:color w:val="222222"/>
          <w:szCs w:val="24"/>
          <w:shd w:val="clear" w:color="auto" w:fill="FFFFFF"/>
        </w:rPr>
        <w:t>Hatata, A. Y., El-Saadawi, M. M., &amp; Saad, S. (2019). A feasibility study of small hydro power for selected locations in Egypt. </w:t>
      </w:r>
      <w:r w:rsidRPr="00CE1040">
        <w:rPr>
          <w:rFonts w:cs="Times New Roman"/>
          <w:i/>
          <w:iCs/>
          <w:color w:val="222222"/>
          <w:szCs w:val="24"/>
          <w:shd w:val="clear" w:color="auto" w:fill="FFFFFF"/>
        </w:rPr>
        <w:t>Energy Strategy Reviews</w:t>
      </w:r>
      <w:r w:rsidRPr="00CE1040">
        <w:rPr>
          <w:rFonts w:cs="Times New Roman"/>
          <w:color w:val="222222"/>
          <w:szCs w:val="24"/>
          <w:shd w:val="clear" w:color="auto" w:fill="FFFFFF"/>
        </w:rPr>
        <w:t>, </w:t>
      </w:r>
      <w:r w:rsidRPr="00CE1040">
        <w:rPr>
          <w:rFonts w:cs="Times New Roman"/>
          <w:i/>
          <w:iCs/>
          <w:color w:val="222222"/>
          <w:szCs w:val="24"/>
          <w:shd w:val="clear" w:color="auto" w:fill="FFFFFF"/>
        </w:rPr>
        <w:t>24</w:t>
      </w:r>
      <w:r w:rsidRPr="00CE1040">
        <w:rPr>
          <w:rFonts w:cs="Times New Roman"/>
          <w:color w:val="222222"/>
          <w:szCs w:val="24"/>
          <w:shd w:val="clear" w:color="auto" w:fill="FFFFFF"/>
        </w:rPr>
        <w:t>, 300-313.</w:t>
      </w:r>
    </w:p>
    <w:p w14:paraId="3ECCCD2D" w14:textId="77777777" w:rsidR="002C75D8" w:rsidRPr="00CE1040" w:rsidRDefault="002C75D8" w:rsidP="002C75D8">
      <w:pPr>
        <w:jc w:val="both"/>
        <w:rPr>
          <w:rFonts w:cs="Times New Roman"/>
          <w:color w:val="222222"/>
          <w:szCs w:val="24"/>
          <w:shd w:val="clear" w:color="auto" w:fill="FFFFFF"/>
        </w:rPr>
      </w:pPr>
      <w:r w:rsidRPr="00CE1040">
        <w:rPr>
          <w:rFonts w:cs="Times New Roman"/>
          <w:color w:val="222222"/>
          <w:szCs w:val="24"/>
          <w:shd w:val="clear" w:color="auto" w:fill="FFFFFF"/>
        </w:rPr>
        <w:t>Ibadan Electricity Distribution Company (IBEDC), (2017). Ibadan Electricity Distribution Company Annual report. Ibadan: IBEDC</w:t>
      </w:r>
    </w:p>
    <w:p w14:paraId="51E801FA" w14:textId="77777777" w:rsidR="002C75D8" w:rsidRPr="002E7BE8" w:rsidRDefault="002C75D8" w:rsidP="002C75D8">
      <w:pPr>
        <w:jc w:val="both"/>
        <w:rPr>
          <w:rFonts w:cs="Times New Roman"/>
          <w:color w:val="222222"/>
          <w:szCs w:val="24"/>
          <w:shd w:val="clear" w:color="auto" w:fill="FFFFFF"/>
        </w:rPr>
      </w:pPr>
      <w:r w:rsidRPr="002E7BE8">
        <w:rPr>
          <w:rFonts w:cs="Times New Roman"/>
          <w:color w:val="222222"/>
          <w:szCs w:val="24"/>
          <w:shd w:val="clear" w:color="auto" w:fill="FFFFFF"/>
        </w:rPr>
        <w:t xml:space="preserve">International Energy Agency (IEA). (2016). World Energy Outlook 2016: Executive Summary. </w:t>
      </w:r>
      <w:r w:rsidRPr="002E7BE8">
        <w:rPr>
          <w:rFonts w:cs="Times New Roman"/>
          <w:i/>
          <w:iCs/>
          <w:color w:val="222222"/>
          <w:szCs w:val="24"/>
          <w:shd w:val="clear" w:color="auto" w:fill="FFFFFF"/>
        </w:rPr>
        <w:t>World Energy Outlook</w:t>
      </w:r>
      <w:r w:rsidRPr="002E7BE8">
        <w:rPr>
          <w:rFonts w:cs="Times New Roman"/>
          <w:color w:val="222222"/>
          <w:szCs w:val="24"/>
          <w:shd w:val="clear" w:color="auto" w:fill="FFFFFF"/>
        </w:rPr>
        <w:t>, 1–8.</w:t>
      </w:r>
    </w:p>
    <w:p w14:paraId="4CA0AA5D" w14:textId="77777777" w:rsidR="002C75D8" w:rsidRPr="003A3033" w:rsidRDefault="002C75D8" w:rsidP="002C75D8">
      <w:pPr>
        <w:jc w:val="both"/>
        <w:rPr>
          <w:rFonts w:cs="Times New Roman"/>
          <w:color w:val="222222"/>
          <w:szCs w:val="24"/>
          <w:shd w:val="clear" w:color="auto" w:fill="FFFFFF"/>
        </w:rPr>
      </w:pPr>
      <w:r w:rsidRPr="003A3033">
        <w:rPr>
          <w:rFonts w:cs="Times New Roman"/>
          <w:color w:val="222222"/>
          <w:szCs w:val="24"/>
          <w:shd w:val="clear" w:color="auto" w:fill="FFFFFF"/>
        </w:rPr>
        <w:t xml:space="preserve">International Energy Agency (IEA). (2015). World Energy Outlook 2015: Methodology for Energy Access Analysis, 8. </w:t>
      </w:r>
      <w:hyperlink r:id="rId15" w:history="1">
        <w:r w:rsidRPr="003A3033">
          <w:rPr>
            <w:rStyle w:val="Hyperlink"/>
            <w:rFonts w:cs="Times New Roman"/>
            <w:szCs w:val="24"/>
            <w:shd w:val="clear" w:color="auto" w:fill="FFFFFF"/>
          </w:rPr>
          <w:t>https://doi.org/10.1787/weo-2014-en</w:t>
        </w:r>
      </w:hyperlink>
      <w:r w:rsidRPr="003A3033">
        <w:rPr>
          <w:rFonts w:cs="Times New Roman"/>
          <w:color w:val="222222"/>
          <w:szCs w:val="24"/>
          <w:shd w:val="clear" w:color="auto" w:fill="FFFFFF"/>
        </w:rPr>
        <w:t>.</w:t>
      </w:r>
    </w:p>
    <w:p w14:paraId="4AB483C2" w14:textId="77777777" w:rsidR="002C75D8" w:rsidRPr="002E7BE8" w:rsidRDefault="002C75D8" w:rsidP="002C75D8">
      <w:pPr>
        <w:jc w:val="both"/>
        <w:rPr>
          <w:rFonts w:cs="Times New Roman"/>
          <w:color w:val="222222"/>
          <w:szCs w:val="24"/>
          <w:shd w:val="clear" w:color="auto" w:fill="FFFFFF"/>
        </w:rPr>
      </w:pPr>
      <w:r w:rsidRPr="002E7BE8">
        <w:rPr>
          <w:rFonts w:cs="Times New Roman"/>
          <w:color w:val="222222"/>
          <w:szCs w:val="24"/>
          <w:shd w:val="clear" w:color="auto" w:fill="FFFFFF"/>
        </w:rPr>
        <w:t xml:space="preserve">International Energy Agency (IEA) (2014). </w:t>
      </w:r>
      <w:r w:rsidRPr="002E7BE8">
        <w:rPr>
          <w:rFonts w:cs="Times New Roman"/>
          <w:i/>
          <w:color w:val="222222"/>
          <w:szCs w:val="24"/>
          <w:shd w:val="clear" w:color="auto" w:fill="FFFFFF"/>
        </w:rPr>
        <w:t>The World Energy Outlook 2014: Outlook for African Energy to 2040.</w:t>
      </w:r>
      <w:r w:rsidRPr="002E7BE8">
        <w:rPr>
          <w:rFonts w:cs="Times New Roman"/>
          <w:color w:val="222222"/>
          <w:szCs w:val="24"/>
          <w:shd w:val="clear" w:color="auto" w:fill="FFFFFF"/>
        </w:rPr>
        <w:t xml:space="preserve"> International Energy Agency: Paris, France.</w:t>
      </w:r>
    </w:p>
    <w:p w14:paraId="0A2F7861" w14:textId="77777777" w:rsidR="002C75D8" w:rsidRPr="00276065" w:rsidRDefault="002C75D8" w:rsidP="002C75D8">
      <w:pPr>
        <w:jc w:val="both"/>
        <w:rPr>
          <w:rFonts w:cs="Times New Roman"/>
          <w:color w:val="222222"/>
          <w:szCs w:val="24"/>
          <w:shd w:val="clear" w:color="auto" w:fill="FFFFFF"/>
        </w:rPr>
      </w:pPr>
      <w:r w:rsidRPr="00276065">
        <w:rPr>
          <w:rFonts w:cs="Times New Roman"/>
          <w:color w:val="222222"/>
          <w:szCs w:val="24"/>
          <w:shd w:val="clear" w:color="auto" w:fill="FFFFFF"/>
        </w:rPr>
        <w:t>Ita, E. O., Sado, E. K., Balogun, J. K., Pandogari, A., &amp; Ibitoye, B. (1985). Inventory survey of Nigeria inland waters and their fishery resources. Part 1. A preliminary checklist of inland water bodies in Nigeria with special reference to ponds, lakes, reservoirs and major rivers.</w:t>
      </w:r>
    </w:p>
    <w:p w14:paraId="5A29DEFA" w14:textId="77777777" w:rsidR="002C75D8" w:rsidRPr="00CE1040" w:rsidRDefault="002C75D8" w:rsidP="002C75D8">
      <w:pPr>
        <w:jc w:val="both"/>
        <w:rPr>
          <w:rFonts w:cs="Times New Roman"/>
          <w:color w:val="222222"/>
          <w:szCs w:val="24"/>
          <w:shd w:val="clear" w:color="auto" w:fill="FFFFFF"/>
        </w:rPr>
      </w:pPr>
      <w:r w:rsidRPr="00CE1040">
        <w:rPr>
          <w:rFonts w:cs="Times New Roman"/>
          <w:color w:val="222222"/>
          <w:szCs w:val="24"/>
          <w:shd w:val="clear" w:color="auto" w:fill="FFFFFF"/>
        </w:rPr>
        <w:t>Khare, V., Khare, C., Nema, S., &amp; Baredar, P. (2019). Introduction to energy sources. </w:t>
      </w:r>
      <w:r w:rsidRPr="00CE1040">
        <w:rPr>
          <w:rFonts w:cs="Times New Roman"/>
          <w:i/>
          <w:iCs/>
          <w:color w:val="222222"/>
          <w:szCs w:val="24"/>
          <w:shd w:val="clear" w:color="auto" w:fill="FFFFFF"/>
        </w:rPr>
        <w:t>Tidal energy systems. Elsevier, Amsterdam</w:t>
      </w:r>
      <w:r w:rsidRPr="00CE1040">
        <w:rPr>
          <w:rFonts w:cs="Times New Roman"/>
          <w:color w:val="222222"/>
          <w:szCs w:val="24"/>
          <w:shd w:val="clear" w:color="auto" w:fill="FFFFFF"/>
        </w:rPr>
        <w:t>, 1-39.</w:t>
      </w:r>
    </w:p>
    <w:p w14:paraId="135C1070" w14:textId="77777777" w:rsidR="002C75D8" w:rsidRPr="00CE1040" w:rsidRDefault="002C75D8" w:rsidP="002C75D8">
      <w:pPr>
        <w:jc w:val="both"/>
        <w:rPr>
          <w:rFonts w:cs="Times New Roman"/>
          <w:szCs w:val="24"/>
        </w:rPr>
      </w:pPr>
      <w:r w:rsidRPr="00CE1040">
        <w:rPr>
          <w:rFonts w:cs="Times New Roman"/>
          <w:szCs w:val="24"/>
        </w:rPr>
        <w:t xml:space="preserve">Kusre BC, Baruah DC, Bordoloi PK, Patra SC. (2010). Assessment of hydropower potential using GIS and hydrological modeling technique in Kopili River basin in Assam (India). </w:t>
      </w:r>
      <w:r w:rsidRPr="00CE1040">
        <w:rPr>
          <w:rFonts w:cs="Times New Roman"/>
          <w:i/>
          <w:iCs/>
          <w:szCs w:val="24"/>
        </w:rPr>
        <w:t>Applied Energy</w:t>
      </w:r>
      <w:r w:rsidRPr="00CE1040">
        <w:rPr>
          <w:rFonts w:cs="Times New Roman"/>
          <w:szCs w:val="24"/>
        </w:rPr>
        <w:t xml:space="preserve"> 87: 298–309. DOI: 10.1016/j.apenergy.2009.07.019</w:t>
      </w:r>
    </w:p>
    <w:p w14:paraId="4DEF5694" w14:textId="77777777" w:rsidR="002C75D8" w:rsidRPr="00CE1040" w:rsidRDefault="002C75D8" w:rsidP="002C75D8">
      <w:pPr>
        <w:jc w:val="both"/>
        <w:rPr>
          <w:rFonts w:cs="Times New Roman"/>
          <w:szCs w:val="24"/>
        </w:rPr>
      </w:pPr>
      <w:r w:rsidRPr="00CE1040">
        <w:rPr>
          <w:rFonts w:cs="Times New Roman"/>
          <w:szCs w:val="24"/>
        </w:rPr>
        <w:t>Memarian, H., Balasundram, S. K., Abbaspour, K. C., Talib, J. B., Boon Sung, C. T., &amp; Sood, A. M. (2014). SWAT-based hydrological modelling of tropical land-use scenarios. </w:t>
      </w:r>
      <w:r w:rsidRPr="00CE1040">
        <w:rPr>
          <w:rFonts w:cs="Times New Roman"/>
          <w:i/>
          <w:iCs/>
          <w:szCs w:val="24"/>
        </w:rPr>
        <w:t>Hydrological sciences journal</w:t>
      </w:r>
      <w:r w:rsidRPr="00CE1040">
        <w:rPr>
          <w:rFonts w:cs="Times New Roman"/>
          <w:szCs w:val="24"/>
        </w:rPr>
        <w:t>, </w:t>
      </w:r>
      <w:r w:rsidRPr="00CE1040">
        <w:rPr>
          <w:rFonts w:cs="Times New Roman"/>
          <w:i/>
          <w:iCs/>
          <w:szCs w:val="24"/>
        </w:rPr>
        <w:t>59</w:t>
      </w:r>
      <w:r w:rsidRPr="00CE1040">
        <w:rPr>
          <w:rFonts w:cs="Times New Roman"/>
          <w:szCs w:val="24"/>
        </w:rPr>
        <w:t>(10), 1808-1829.</w:t>
      </w:r>
    </w:p>
    <w:p w14:paraId="71D946F3" w14:textId="77777777" w:rsidR="002C75D8" w:rsidRPr="00CE1040" w:rsidRDefault="002C75D8" w:rsidP="002C75D8">
      <w:pPr>
        <w:jc w:val="both"/>
        <w:rPr>
          <w:rFonts w:cs="Times New Roman"/>
          <w:szCs w:val="24"/>
        </w:rPr>
      </w:pPr>
      <w:r w:rsidRPr="00CE1040">
        <w:rPr>
          <w:rFonts w:cs="Times New Roman"/>
          <w:szCs w:val="24"/>
        </w:rPr>
        <w:t>Morales, S., Corredor, L., Paba, J., &amp; Pacheco, L. (2014). Stages in the development of a small hydropower project: Context and implementation basic criteria. </w:t>
      </w:r>
      <w:r w:rsidRPr="00CE1040">
        <w:rPr>
          <w:rFonts w:cs="Times New Roman"/>
          <w:i/>
          <w:iCs/>
          <w:szCs w:val="24"/>
        </w:rPr>
        <w:t>Dyna</w:t>
      </w:r>
      <w:r w:rsidRPr="00CE1040">
        <w:rPr>
          <w:rFonts w:cs="Times New Roman"/>
          <w:szCs w:val="24"/>
        </w:rPr>
        <w:t>, </w:t>
      </w:r>
      <w:r w:rsidRPr="00CE1040">
        <w:rPr>
          <w:rFonts w:cs="Times New Roman"/>
          <w:i/>
          <w:iCs/>
          <w:szCs w:val="24"/>
        </w:rPr>
        <w:t>81</w:t>
      </w:r>
      <w:r w:rsidRPr="00CE1040">
        <w:rPr>
          <w:rFonts w:cs="Times New Roman"/>
          <w:szCs w:val="24"/>
        </w:rPr>
        <w:t>(184), 178-185.</w:t>
      </w:r>
    </w:p>
    <w:p w14:paraId="3783DAA7" w14:textId="77777777" w:rsidR="002C75D8" w:rsidRPr="00CE1040" w:rsidRDefault="002C75D8" w:rsidP="002C75D8">
      <w:pPr>
        <w:jc w:val="both"/>
        <w:rPr>
          <w:rFonts w:cs="Times New Roman"/>
          <w:szCs w:val="24"/>
        </w:rPr>
      </w:pPr>
      <w:r w:rsidRPr="00CE1040">
        <w:rPr>
          <w:rFonts w:cs="Times New Roman"/>
          <w:szCs w:val="24"/>
        </w:rPr>
        <w:t>Moss, T., Bazilian, M., Blimpo, M., Culver, L., Kincer, J., Mahadavan, M., ... &amp; Webber, M. (2020). The Modern Energy Minimum: The case for a new global electricity consumption threshold. </w:t>
      </w:r>
      <w:r w:rsidRPr="00CE1040">
        <w:rPr>
          <w:rFonts w:cs="Times New Roman"/>
          <w:i/>
          <w:iCs/>
          <w:szCs w:val="24"/>
        </w:rPr>
        <w:t>Energy for Growth Hub</w:t>
      </w:r>
      <w:r w:rsidRPr="00CE1040">
        <w:rPr>
          <w:rFonts w:cs="Times New Roman"/>
          <w:szCs w:val="24"/>
        </w:rPr>
        <w:t>.</w:t>
      </w:r>
    </w:p>
    <w:p w14:paraId="5868149B" w14:textId="77777777" w:rsidR="002C75D8" w:rsidRPr="00CE1040" w:rsidRDefault="002C75D8" w:rsidP="002C75D8">
      <w:pPr>
        <w:jc w:val="both"/>
        <w:rPr>
          <w:rFonts w:cs="Times New Roman"/>
          <w:szCs w:val="24"/>
        </w:rPr>
      </w:pPr>
      <w:r w:rsidRPr="00CE1040">
        <w:rPr>
          <w:rFonts w:cs="Times New Roman"/>
          <w:szCs w:val="24"/>
        </w:rPr>
        <w:t>Omani, N., Srinivasan, R., Karthikeyan, R., &amp; Smith, P. K. (2017). Hydrological modeling of highly glacierized basins (Andes, Alps, and Central Asia). </w:t>
      </w:r>
      <w:r w:rsidRPr="00CE1040">
        <w:rPr>
          <w:rFonts w:cs="Times New Roman"/>
          <w:i/>
          <w:iCs/>
          <w:szCs w:val="24"/>
        </w:rPr>
        <w:t>Water</w:t>
      </w:r>
      <w:r w:rsidRPr="00CE1040">
        <w:rPr>
          <w:rFonts w:cs="Times New Roman"/>
          <w:szCs w:val="24"/>
        </w:rPr>
        <w:t>, </w:t>
      </w:r>
      <w:r w:rsidRPr="00CE1040">
        <w:rPr>
          <w:rFonts w:cs="Times New Roman"/>
          <w:i/>
          <w:iCs/>
          <w:szCs w:val="24"/>
        </w:rPr>
        <w:t>9</w:t>
      </w:r>
      <w:r w:rsidRPr="00CE1040">
        <w:rPr>
          <w:rFonts w:cs="Times New Roman"/>
          <w:szCs w:val="24"/>
        </w:rPr>
        <w:t>(2), 111.</w:t>
      </w:r>
    </w:p>
    <w:p w14:paraId="2BEB5347" w14:textId="77777777" w:rsidR="002C75D8" w:rsidRPr="00CE1040" w:rsidRDefault="002C75D8" w:rsidP="002C75D8">
      <w:pPr>
        <w:jc w:val="both"/>
        <w:rPr>
          <w:rFonts w:cs="Times New Roman"/>
          <w:szCs w:val="24"/>
        </w:rPr>
      </w:pPr>
      <w:r w:rsidRPr="00CE1040">
        <w:rPr>
          <w:rFonts w:cs="Times New Roman"/>
          <w:szCs w:val="24"/>
        </w:rPr>
        <w:lastRenderedPageBreak/>
        <w:t>Paish, O. (2002). Small hydro power: technology and current status. </w:t>
      </w:r>
      <w:r w:rsidRPr="00CE1040">
        <w:rPr>
          <w:rFonts w:cs="Times New Roman"/>
          <w:i/>
          <w:iCs/>
          <w:szCs w:val="24"/>
        </w:rPr>
        <w:t>Renewable and sustainable energy reviews</w:t>
      </w:r>
      <w:r w:rsidRPr="00CE1040">
        <w:rPr>
          <w:rFonts w:cs="Times New Roman"/>
          <w:szCs w:val="24"/>
        </w:rPr>
        <w:t>, </w:t>
      </w:r>
      <w:r w:rsidRPr="00CE1040">
        <w:rPr>
          <w:rFonts w:cs="Times New Roman"/>
          <w:i/>
          <w:iCs/>
          <w:szCs w:val="24"/>
        </w:rPr>
        <w:t>6</w:t>
      </w:r>
      <w:r w:rsidRPr="00CE1040">
        <w:rPr>
          <w:rFonts w:cs="Times New Roman"/>
          <w:szCs w:val="24"/>
        </w:rPr>
        <w:t>(6), 537-556.</w:t>
      </w:r>
    </w:p>
    <w:p w14:paraId="7DE6A3E1" w14:textId="77777777" w:rsidR="002C75D8" w:rsidRPr="00CE1040" w:rsidRDefault="002C75D8" w:rsidP="002C75D8">
      <w:pPr>
        <w:jc w:val="both"/>
        <w:rPr>
          <w:rFonts w:cs="Times New Roman"/>
          <w:szCs w:val="24"/>
        </w:rPr>
      </w:pPr>
      <w:r w:rsidRPr="00CE1040">
        <w:rPr>
          <w:rFonts w:cs="Times New Roman"/>
          <w:szCs w:val="24"/>
        </w:rPr>
        <w:t>Pandey, A., Lalrempuia, D., &amp; Jain, S. K. (2015). Assessment of hydropower potential using spatial technology and SWAT modelling in the Mat River, southern Mizoram, India. </w:t>
      </w:r>
      <w:r w:rsidRPr="00CE1040">
        <w:rPr>
          <w:rFonts w:cs="Times New Roman"/>
          <w:i/>
          <w:iCs/>
          <w:szCs w:val="24"/>
        </w:rPr>
        <w:t>Hydrological Sciences Journal</w:t>
      </w:r>
      <w:r w:rsidRPr="00CE1040">
        <w:rPr>
          <w:rFonts w:cs="Times New Roman"/>
          <w:szCs w:val="24"/>
        </w:rPr>
        <w:t>, </w:t>
      </w:r>
      <w:r w:rsidRPr="00CE1040">
        <w:rPr>
          <w:rFonts w:cs="Times New Roman"/>
          <w:i/>
          <w:iCs/>
          <w:szCs w:val="24"/>
        </w:rPr>
        <w:t>60</w:t>
      </w:r>
      <w:r w:rsidRPr="00CE1040">
        <w:rPr>
          <w:rFonts w:cs="Times New Roman"/>
          <w:szCs w:val="24"/>
        </w:rPr>
        <w:t>(10), 1651-1665.</w:t>
      </w:r>
    </w:p>
    <w:p w14:paraId="7D6619C6" w14:textId="4CA7F567" w:rsidR="00CE1D3D" w:rsidRDefault="00CE1D3D" w:rsidP="002C75D8">
      <w:pPr>
        <w:jc w:val="both"/>
        <w:rPr>
          <w:rFonts w:cs="Times New Roman"/>
          <w:szCs w:val="24"/>
        </w:rPr>
      </w:pPr>
      <w:r w:rsidRPr="00CE1D3D">
        <w:rPr>
          <w:rFonts w:cs="Times New Roman"/>
          <w:szCs w:val="24"/>
        </w:rPr>
        <w:t xml:space="preserve">Poor People’s Energy Outlook (PPEO) </w:t>
      </w:r>
      <w:r>
        <w:rPr>
          <w:rFonts w:cs="Times New Roman"/>
          <w:szCs w:val="24"/>
        </w:rPr>
        <w:t>(</w:t>
      </w:r>
      <w:r w:rsidRPr="00CE1D3D">
        <w:rPr>
          <w:rFonts w:cs="Times New Roman"/>
          <w:szCs w:val="24"/>
        </w:rPr>
        <w:t>2017</w:t>
      </w:r>
      <w:r>
        <w:rPr>
          <w:rFonts w:cs="Times New Roman"/>
          <w:szCs w:val="24"/>
        </w:rPr>
        <w:t>).</w:t>
      </w:r>
      <w:r w:rsidRPr="00CE1D3D">
        <w:rPr>
          <w:rFonts w:cs="Times New Roman"/>
          <w:szCs w:val="24"/>
        </w:rPr>
        <w:t xml:space="preserve"> </w:t>
      </w:r>
      <w:r w:rsidRPr="00CE1D3D">
        <w:rPr>
          <w:rFonts w:cs="Times New Roman"/>
          <w:i/>
          <w:iCs/>
          <w:szCs w:val="24"/>
        </w:rPr>
        <w:t>Financing National Energy Access: A Bottom Up Approach</w:t>
      </w:r>
      <w:r>
        <w:rPr>
          <w:rFonts w:cs="Times New Roman"/>
          <w:szCs w:val="24"/>
        </w:rPr>
        <w:t xml:space="preserve">. </w:t>
      </w:r>
      <w:r w:rsidRPr="00CE1D3D">
        <w:rPr>
          <w:rFonts w:cs="Times New Roman"/>
          <w:szCs w:val="24"/>
        </w:rPr>
        <w:t>Practical Action Publishing</w:t>
      </w:r>
      <w:r>
        <w:rPr>
          <w:rFonts w:cs="Times New Roman"/>
          <w:szCs w:val="24"/>
        </w:rPr>
        <w:t>:</w:t>
      </w:r>
      <w:r w:rsidRPr="00CE1D3D">
        <w:rPr>
          <w:rFonts w:cs="Times New Roman"/>
          <w:szCs w:val="24"/>
        </w:rPr>
        <w:t> Rugby, Warwickshire, United Kingdom</w:t>
      </w:r>
    </w:p>
    <w:p w14:paraId="1429EDD2" w14:textId="2C48BC21" w:rsidR="002C75D8" w:rsidRPr="00CE1040" w:rsidRDefault="002C75D8" w:rsidP="002C75D8">
      <w:pPr>
        <w:jc w:val="both"/>
        <w:rPr>
          <w:rFonts w:cs="Times New Roman"/>
          <w:szCs w:val="24"/>
        </w:rPr>
      </w:pPr>
      <w:r w:rsidRPr="00CE1040">
        <w:rPr>
          <w:rFonts w:cs="Times New Roman"/>
          <w:szCs w:val="24"/>
        </w:rPr>
        <w:t>Sammartano, V., Liuzzo, L., &amp; Freni, G. (2019). Identification of potential locations for run-of-river hydropower plants using a GIS-based procedure. </w:t>
      </w:r>
      <w:r w:rsidRPr="00CE1040">
        <w:rPr>
          <w:rFonts w:cs="Times New Roman"/>
          <w:i/>
          <w:iCs/>
          <w:szCs w:val="24"/>
        </w:rPr>
        <w:t>Energies</w:t>
      </w:r>
      <w:r w:rsidRPr="00CE1040">
        <w:rPr>
          <w:rFonts w:cs="Times New Roman"/>
          <w:szCs w:val="24"/>
        </w:rPr>
        <w:t>, </w:t>
      </w:r>
      <w:r w:rsidRPr="00CE1040">
        <w:rPr>
          <w:rFonts w:cs="Times New Roman"/>
          <w:i/>
          <w:iCs/>
          <w:szCs w:val="24"/>
        </w:rPr>
        <w:t>12</w:t>
      </w:r>
      <w:r w:rsidRPr="00CE1040">
        <w:rPr>
          <w:rFonts w:cs="Times New Roman"/>
          <w:szCs w:val="24"/>
        </w:rPr>
        <w:t>(18), 3446.</w:t>
      </w:r>
    </w:p>
    <w:p w14:paraId="2795472A" w14:textId="77777777" w:rsidR="002C75D8" w:rsidRPr="00CE1040" w:rsidRDefault="002C75D8" w:rsidP="002C75D8">
      <w:pPr>
        <w:jc w:val="both"/>
        <w:rPr>
          <w:rFonts w:cs="Times New Roman"/>
          <w:szCs w:val="24"/>
        </w:rPr>
      </w:pPr>
      <w:r w:rsidRPr="00CE1040">
        <w:rPr>
          <w:rFonts w:cs="Times New Roman"/>
          <w:szCs w:val="24"/>
        </w:rPr>
        <w:t>Stehr, A., Debels, P., Romero, F., &amp; Alcayaga, H. (2008). Hydrological modelling with SWAT under conditions of limited data availability: evaluation of results from a Chilean case study. </w:t>
      </w:r>
      <w:r w:rsidRPr="00CE1040">
        <w:rPr>
          <w:rFonts w:cs="Times New Roman"/>
          <w:i/>
          <w:iCs/>
          <w:szCs w:val="24"/>
        </w:rPr>
        <w:t>Hydrological sciences journal</w:t>
      </w:r>
      <w:r w:rsidRPr="00CE1040">
        <w:rPr>
          <w:rFonts w:cs="Times New Roman"/>
          <w:szCs w:val="24"/>
        </w:rPr>
        <w:t>, </w:t>
      </w:r>
      <w:r w:rsidRPr="00CE1040">
        <w:rPr>
          <w:rFonts w:cs="Times New Roman"/>
          <w:i/>
          <w:iCs/>
          <w:szCs w:val="24"/>
        </w:rPr>
        <w:t>53</w:t>
      </w:r>
      <w:r w:rsidRPr="00CE1040">
        <w:rPr>
          <w:rFonts w:cs="Times New Roman"/>
          <w:szCs w:val="24"/>
        </w:rPr>
        <w:t>(3), 588-601.</w:t>
      </w:r>
    </w:p>
    <w:p w14:paraId="24D7E0BD" w14:textId="77777777" w:rsidR="002C75D8" w:rsidRPr="002E7BE8" w:rsidRDefault="002C75D8" w:rsidP="002C75D8">
      <w:pPr>
        <w:jc w:val="both"/>
        <w:rPr>
          <w:rFonts w:cs="Times New Roman"/>
          <w:szCs w:val="24"/>
        </w:rPr>
      </w:pPr>
      <w:r w:rsidRPr="002E7BE8">
        <w:rPr>
          <w:rFonts w:cs="Times New Roman"/>
          <w:szCs w:val="24"/>
        </w:rPr>
        <w:t>Yadoo, A., &amp; Cruickshank, H. (2012). The role for low carbon electrification technologies in poverty reduction and climate change strategies: A focus on renewable energy mini-grids with case studies in Nepal, Peru and Kenya. </w:t>
      </w:r>
      <w:r w:rsidRPr="002E7BE8">
        <w:rPr>
          <w:rFonts w:cs="Times New Roman"/>
          <w:i/>
          <w:iCs/>
          <w:szCs w:val="24"/>
        </w:rPr>
        <w:t>Energy Policy</w:t>
      </w:r>
      <w:r w:rsidRPr="002E7BE8">
        <w:rPr>
          <w:rFonts w:cs="Times New Roman"/>
          <w:szCs w:val="24"/>
        </w:rPr>
        <w:t>, </w:t>
      </w:r>
      <w:r w:rsidRPr="002E7BE8">
        <w:rPr>
          <w:rFonts w:cs="Times New Roman"/>
          <w:i/>
          <w:iCs/>
          <w:szCs w:val="24"/>
        </w:rPr>
        <w:t>42</w:t>
      </w:r>
      <w:r w:rsidRPr="002E7BE8">
        <w:rPr>
          <w:rFonts w:cs="Times New Roman"/>
          <w:szCs w:val="24"/>
        </w:rPr>
        <w:t>, 591-602.</w:t>
      </w:r>
    </w:p>
    <w:p w14:paraId="42073B54" w14:textId="0B20C4B2" w:rsidR="001C08B3" w:rsidRDefault="001C08B3" w:rsidP="005F01BE"/>
    <w:p w14:paraId="03268B14" w14:textId="78B22A65" w:rsidR="009427AB" w:rsidRDefault="009427AB" w:rsidP="005F01BE"/>
    <w:p w14:paraId="6611645F" w14:textId="44446ED9" w:rsidR="009427AB" w:rsidRDefault="009427AB" w:rsidP="005F01BE"/>
    <w:p w14:paraId="105D489C" w14:textId="65B750FA" w:rsidR="009427AB" w:rsidRDefault="009427AB" w:rsidP="005F01BE"/>
    <w:p w14:paraId="44AA6B86" w14:textId="58EBD250" w:rsidR="009427AB" w:rsidRDefault="009427AB" w:rsidP="005F01BE"/>
    <w:p w14:paraId="69F030B6" w14:textId="3E89944D" w:rsidR="009427AB" w:rsidRDefault="009427AB" w:rsidP="005F01BE"/>
    <w:p w14:paraId="6D320D91" w14:textId="77777777" w:rsidR="009427AB" w:rsidRDefault="009427AB" w:rsidP="009427AB">
      <w:pPr>
        <w:autoSpaceDE w:val="0"/>
        <w:autoSpaceDN w:val="0"/>
        <w:adjustRightInd w:val="0"/>
        <w:spacing w:after="0" w:line="240" w:lineRule="auto"/>
        <w:jc w:val="both"/>
        <w:rPr>
          <w:rFonts w:cs="Times New Roman"/>
          <w:color w:val="000000"/>
          <w:szCs w:val="24"/>
        </w:rPr>
      </w:pPr>
    </w:p>
    <w:sectPr w:rsidR="009427AB" w:rsidSect="00EF51BC">
      <w:footerReference w:type="default" r:id="rId16"/>
      <w:pgSz w:w="11909" w:h="16834" w:code="9"/>
      <w:pgMar w:top="1440" w:right="1440" w:bottom="1440" w:left="198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DD4E9" w14:textId="77777777" w:rsidR="000A226F" w:rsidRDefault="000A226F" w:rsidP="004B5FAD">
      <w:pPr>
        <w:spacing w:after="0" w:line="240" w:lineRule="auto"/>
      </w:pPr>
      <w:r>
        <w:separator/>
      </w:r>
    </w:p>
  </w:endnote>
  <w:endnote w:type="continuationSeparator" w:id="0">
    <w:p w14:paraId="0E875FB9" w14:textId="77777777" w:rsidR="000A226F" w:rsidRDefault="000A226F" w:rsidP="004B5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LTPro-Condensed">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9863058"/>
      <w:docPartObj>
        <w:docPartGallery w:val="Page Numbers (Bottom of Page)"/>
        <w:docPartUnique/>
      </w:docPartObj>
    </w:sdtPr>
    <w:sdtEndPr>
      <w:rPr>
        <w:noProof/>
      </w:rPr>
    </w:sdtEndPr>
    <w:sdtContent>
      <w:p w14:paraId="5FE71ECB" w14:textId="7EFD94CD" w:rsidR="00CE1D3D" w:rsidRDefault="00CE1D3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3A5666" w14:textId="77777777" w:rsidR="00CE1D3D" w:rsidRDefault="00CE1D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E476F" w14:textId="77777777" w:rsidR="000A226F" w:rsidRDefault="000A226F" w:rsidP="004B5FAD">
      <w:pPr>
        <w:spacing w:after="0" w:line="240" w:lineRule="auto"/>
      </w:pPr>
      <w:r>
        <w:separator/>
      </w:r>
    </w:p>
  </w:footnote>
  <w:footnote w:type="continuationSeparator" w:id="0">
    <w:p w14:paraId="38B922F6" w14:textId="77777777" w:rsidR="000A226F" w:rsidRDefault="000A226F" w:rsidP="004B5F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564E4"/>
    <w:multiLevelType w:val="hybridMultilevel"/>
    <w:tmpl w:val="CA0CC2EA"/>
    <w:lvl w:ilvl="0" w:tplc="7840CBE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65203BD"/>
    <w:multiLevelType w:val="multilevel"/>
    <w:tmpl w:val="1B5A96C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363940566">
    <w:abstractNumId w:val="0"/>
  </w:num>
  <w:num w:numId="2" w16cid:durableId="14108110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CwNDU2MjOytDQ0MzZS0lEKTi0uzszPAykwNKoFAI71jlwtAAAA"/>
  </w:docVars>
  <w:rsids>
    <w:rsidRoot w:val="00282B49"/>
    <w:rsid w:val="0000145C"/>
    <w:rsid w:val="000174CC"/>
    <w:rsid w:val="00031A99"/>
    <w:rsid w:val="00054AA2"/>
    <w:rsid w:val="000A226F"/>
    <w:rsid w:val="000B4045"/>
    <w:rsid w:val="000C26D4"/>
    <w:rsid w:val="000F198A"/>
    <w:rsid w:val="001016DD"/>
    <w:rsid w:val="00101AED"/>
    <w:rsid w:val="0010328B"/>
    <w:rsid w:val="0010564F"/>
    <w:rsid w:val="00161568"/>
    <w:rsid w:val="001677F7"/>
    <w:rsid w:val="0017123E"/>
    <w:rsid w:val="001960F7"/>
    <w:rsid w:val="001B2CFD"/>
    <w:rsid w:val="001B5B2D"/>
    <w:rsid w:val="001B61D3"/>
    <w:rsid w:val="001C04F2"/>
    <w:rsid w:val="001C08B3"/>
    <w:rsid w:val="001C6CCF"/>
    <w:rsid w:val="001E28C1"/>
    <w:rsid w:val="0022793A"/>
    <w:rsid w:val="002413ED"/>
    <w:rsid w:val="00282B49"/>
    <w:rsid w:val="00284E2B"/>
    <w:rsid w:val="002B1841"/>
    <w:rsid w:val="002C75D8"/>
    <w:rsid w:val="002D13BC"/>
    <w:rsid w:val="002D1F12"/>
    <w:rsid w:val="002E0FDD"/>
    <w:rsid w:val="002F71CB"/>
    <w:rsid w:val="0030261B"/>
    <w:rsid w:val="00304D11"/>
    <w:rsid w:val="0031075B"/>
    <w:rsid w:val="0033150A"/>
    <w:rsid w:val="0034626A"/>
    <w:rsid w:val="003833E5"/>
    <w:rsid w:val="003B3332"/>
    <w:rsid w:val="003C6DDB"/>
    <w:rsid w:val="003D6F91"/>
    <w:rsid w:val="00401ED1"/>
    <w:rsid w:val="004247BF"/>
    <w:rsid w:val="00432F44"/>
    <w:rsid w:val="004341D3"/>
    <w:rsid w:val="00446176"/>
    <w:rsid w:val="00447F78"/>
    <w:rsid w:val="00455945"/>
    <w:rsid w:val="00480FCD"/>
    <w:rsid w:val="004961C1"/>
    <w:rsid w:val="004A3C92"/>
    <w:rsid w:val="004A7390"/>
    <w:rsid w:val="004B3277"/>
    <w:rsid w:val="004B5FAD"/>
    <w:rsid w:val="004B7C2A"/>
    <w:rsid w:val="004C1F57"/>
    <w:rsid w:val="004C201F"/>
    <w:rsid w:val="004C7F21"/>
    <w:rsid w:val="004D0D35"/>
    <w:rsid w:val="004F5EEA"/>
    <w:rsid w:val="00506E33"/>
    <w:rsid w:val="00527B56"/>
    <w:rsid w:val="00541DF1"/>
    <w:rsid w:val="005450ED"/>
    <w:rsid w:val="00547FE1"/>
    <w:rsid w:val="005C2B76"/>
    <w:rsid w:val="005D467E"/>
    <w:rsid w:val="005D7B40"/>
    <w:rsid w:val="005E1692"/>
    <w:rsid w:val="005F01BE"/>
    <w:rsid w:val="006164AB"/>
    <w:rsid w:val="00634EAF"/>
    <w:rsid w:val="006B0E07"/>
    <w:rsid w:val="006C1AA5"/>
    <w:rsid w:val="006C3996"/>
    <w:rsid w:val="006C7C8A"/>
    <w:rsid w:val="006D1514"/>
    <w:rsid w:val="006F7571"/>
    <w:rsid w:val="007126CF"/>
    <w:rsid w:val="00712A23"/>
    <w:rsid w:val="00714F18"/>
    <w:rsid w:val="00716E9F"/>
    <w:rsid w:val="00795D61"/>
    <w:rsid w:val="007A521A"/>
    <w:rsid w:val="007B0DBD"/>
    <w:rsid w:val="007B2101"/>
    <w:rsid w:val="007D4A67"/>
    <w:rsid w:val="007D724D"/>
    <w:rsid w:val="007E41D6"/>
    <w:rsid w:val="008260AB"/>
    <w:rsid w:val="00850FED"/>
    <w:rsid w:val="008E1E96"/>
    <w:rsid w:val="008E6164"/>
    <w:rsid w:val="00904393"/>
    <w:rsid w:val="00911F4F"/>
    <w:rsid w:val="00940DF2"/>
    <w:rsid w:val="009427AB"/>
    <w:rsid w:val="0094328C"/>
    <w:rsid w:val="009A1995"/>
    <w:rsid w:val="009A6C4F"/>
    <w:rsid w:val="009B05F9"/>
    <w:rsid w:val="009B2695"/>
    <w:rsid w:val="009E3B9C"/>
    <w:rsid w:val="009F200A"/>
    <w:rsid w:val="00A1472A"/>
    <w:rsid w:val="00A166FC"/>
    <w:rsid w:val="00A2070C"/>
    <w:rsid w:val="00A23BD7"/>
    <w:rsid w:val="00A34228"/>
    <w:rsid w:val="00A8245B"/>
    <w:rsid w:val="00A95E69"/>
    <w:rsid w:val="00AA4587"/>
    <w:rsid w:val="00AB4792"/>
    <w:rsid w:val="00AC2738"/>
    <w:rsid w:val="00AD1669"/>
    <w:rsid w:val="00B4151B"/>
    <w:rsid w:val="00B52F09"/>
    <w:rsid w:val="00B5515E"/>
    <w:rsid w:val="00B65076"/>
    <w:rsid w:val="00B86ADA"/>
    <w:rsid w:val="00B91360"/>
    <w:rsid w:val="00BA241F"/>
    <w:rsid w:val="00BC6DD9"/>
    <w:rsid w:val="00BE12A8"/>
    <w:rsid w:val="00C04F3D"/>
    <w:rsid w:val="00C543A0"/>
    <w:rsid w:val="00C7137D"/>
    <w:rsid w:val="00C91B99"/>
    <w:rsid w:val="00C950E3"/>
    <w:rsid w:val="00CA3984"/>
    <w:rsid w:val="00CB35C5"/>
    <w:rsid w:val="00CC0B1B"/>
    <w:rsid w:val="00CC582A"/>
    <w:rsid w:val="00CD00D8"/>
    <w:rsid w:val="00CE1D3D"/>
    <w:rsid w:val="00CE711F"/>
    <w:rsid w:val="00CF047B"/>
    <w:rsid w:val="00D05EC1"/>
    <w:rsid w:val="00D07D0C"/>
    <w:rsid w:val="00D53599"/>
    <w:rsid w:val="00D955FB"/>
    <w:rsid w:val="00DA5322"/>
    <w:rsid w:val="00DB1844"/>
    <w:rsid w:val="00DB7EEC"/>
    <w:rsid w:val="00DC03BE"/>
    <w:rsid w:val="00DC787A"/>
    <w:rsid w:val="00E25E68"/>
    <w:rsid w:val="00E2793E"/>
    <w:rsid w:val="00E92F3F"/>
    <w:rsid w:val="00EB637F"/>
    <w:rsid w:val="00EB7CA9"/>
    <w:rsid w:val="00EE2DB1"/>
    <w:rsid w:val="00EE305C"/>
    <w:rsid w:val="00EE4409"/>
    <w:rsid w:val="00EF51BC"/>
    <w:rsid w:val="00F22AC7"/>
    <w:rsid w:val="00F42C8D"/>
    <w:rsid w:val="00F47CA8"/>
    <w:rsid w:val="00F574FD"/>
    <w:rsid w:val="00F670CF"/>
    <w:rsid w:val="00F73CE3"/>
    <w:rsid w:val="00FD1219"/>
    <w:rsid w:val="00FF46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CEC12"/>
  <w15:chartTrackingRefBased/>
  <w15:docId w15:val="{FA9734D6-CDE3-4BA2-BE97-CA1CD844A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45B"/>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28C1"/>
    <w:rPr>
      <w:color w:val="0563C1" w:themeColor="hyperlink"/>
      <w:u w:val="single"/>
    </w:rPr>
  </w:style>
  <w:style w:type="paragraph" w:styleId="ListParagraph">
    <w:name w:val="List Paragraph"/>
    <w:basedOn w:val="Normal"/>
    <w:uiPriority w:val="34"/>
    <w:qFormat/>
    <w:rsid w:val="00B86ADA"/>
    <w:pPr>
      <w:ind w:left="720"/>
      <w:contextualSpacing/>
    </w:pPr>
  </w:style>
  <w:style w:type="character" w:styleId="UnresolvedMention">
    <w:name w:val="Unresolved Mention"/>
    <w:basedOn w:val="DefaultParagraphFont"/>
    <w:uiPriority w:val="99"/>
    <w:semiHidden/>
    <w:unhideWhenUsed/>
    <w:rsid w:val="00F670CF"/>
    <w:rPr>
      <w:color w:val="605E5C"/>
      <w:shd w:val="clear" w:color="auto" w:fill="E1DFDD"/>
    </w:rPr>
  </w:style>
  <w:style w:type="paragraph" w:customStyle="1" w:styleId="nova-legacy-e-listitem">
    <w:name w:val="nova-legacy-e-list__item"/>
    <w:basedOn w:val="Normal"/>
    <w:rsid w:val="00F670CF"/>
    <w:pPr>
      <w:spacing w:before="100" w:beforeAutospacing="1" w:after="100" w:afterAutospacing="1" w:line="240" w:lineRule="auto"/>
    </w:pPr>
    <w:rPr>
      <w:rFonts w:eastAsia="Times New Roman" w:cs="Times New Roman"/>
      <w:szCs w:val="24"/>
      <w:lang w:eastAsia="en-GB"/>
    </w:rPr>
  </w:style>
  <w:style w:type="paragraph" w:styleId="Header">
    <w:name w:val="header"/>
    <w:basedOn w:val="Normal"/>
    <w:link w:val="HeaderChar"/>
    <w:uiPriority w:val="99"/>
    <w:unhideWhenUsed/>
    <w:rsid w:val="004B5F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5FAD"/>
    <w:rPr>
      <w:rFonts w:ascii="Times New Roman" w:hAnsi="Times New Roman"/>
      <w:sz w:val="24"/>
    </w:rPr>
  </w:style>
  <w:style w:type="paragraph" w:styleId="Footer">
    <w:name w:val="footer"/>
    <w:basedOn w:val="Normal"/>
    <w:link w:val="FooterChar"/>
    <w:uiPriority w:val="99"/>
    <w:unhideWhenUsed/>
    <w:rsid w:val="004B5F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5FAD"/>
    <w:rPr>
      <w:rFonts w:ascii="Times New Roman" w:hAnsi="Times New Roman"/>
      <w:sz w:val="24"/>
    </w:rPr>
  </w:style>
  <w:style w:type="table" w:styleId="TableGrid">
    <w:name w:val="Table Grid"/>
    <w:basedOn w:val="TableNormal"/>
    <w:uiPriority w:val="39"/>
    <w:rsid w:val="004B7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043953">
      <w:bodyDiv w:val="1"/>
      <w:marLeft w:val="0"/>
      <w:marRight w:val="0"/>
      <w:marTop w:val="0"/>
      <w:marBottom w:val="0"/>
      <w:divBdr>
        <w:top w:val="none" w:sz="0" w:space="0" w:color="auto"/>
        <w:left w:val="none" w:sz="0" w:space="0" w:color="auto"/>
        <w:bottom w:val="none" w:sz="0" w:space="0" w:color="auto"/>
        <w:right w:val="none" w:sz="0" w:space="0" w:color="auto"/>
      </w:divBdr>
    </w:div>
    <w:div w:id="220020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s://doi.org/10.1787/weo-2014-en" TargetMode="External"/><Relationship Id="rId10" Type="http://schemas.openxmlformats.org/officeDocument/2006/relationships/hyperlink" Target="http://www.openstreetmap.com" TargetMode="External"/><Relationship Id="rId4" Type="http://schemas.openxmlformats.org/officeDocument/2006/relationships/settings" Target="settings.xml"/><Relationship Id="rId9" Type="http://schemas.openxmlformats.org/officeDocument/2006/relationships/hyperlink" Target="http://www.usgs.com"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A5940-5134-4E93-B9FA-8FC85F0F2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4137</Words>
  <Characters>23587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2022-12-18T18:45:00Z</dcterms:created>
  <dcterms:modified xsi:type="dcterms:W3CDTF">2022-12-18T19:28:00Z</dcterms:modified>
</cp:coreProperties>
</file>