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5A" w:rsidRPr="0047564B" w:rsidRDefault="00590E58" w:rsidP="0047564B">
      <w:pPr>
        <w:jc w:val="center"/>
        <w:rPr>
          <w:rFonts w:ascii="Times New Roman" w:hAnsi="Times New Roman" w:cs="Times New Roman"/>
          <w:b/>
          <w:color w:val="333333"/>
          <w:sz w:val="28"/>
          <w:szCs w:val="28"/>
          <w:shd w:val="clear" w:color="auto" w:fill="FFFFFF"/>
        </w:rPr>
      </w:pPr>
      <w:proofErr w:type="spellStart"/>
      <w:r w:rsidRPr="0047564B">
        <w:rPr>
          <w:rFonts w:ascii="Times New Roman" w:hAnsi="Times New Roman" w:cs="Times New Roman"/>
          <w:b/>
          <w:color w:val="333333"/>
          <w:sz w:val="28"/>
          <w:szCs w:val="28"/>
          <w:shd w:val="clear" w:color="auto" w:fill="FFFFFF"/>
        </w:rPr>
        <w:t>Ackee</w:t>
      </w:r>
      <w:proofErr w:type="spellEnd"/>
      <w:r w:rsidRPr="0047564B">
        <w:rPr>
          <w:rFonts w:ascii="Times New Roman" w:hAnsi="Times New Roman" w:cs="Times New Roman"/>
          <w:b/>
          <w:color w:val="333333"/>
          <w:sz w:val="28"/>
          <w:szCs w:val="28"/>
          <w:shd w:val="clear" w:color="auto" w:fill="FFFFFF"/>
        </w:rPr>
        <w:t xml:space="preserve"> apple (</w:t>
      </w:r>
      <w:proofErr w:type="spellStart"/>
      <w:r w:rsidRPr="0047564B">
        <w:rPr>
          <w:rFonts w:ascii="Times New Roman" w:hAnsi="Times New Roman" w:cs="Times New Roman"/>
          <w:b/>
          <w:color w:val="333333"/>
          <w:sz w:val="28"/>
          <w:szCs w:val="28"/>
          <w:shd w:val="clear" w:color="auto" w:fill="FFFFFF"/>
        </w:rPr>
        <w:t>Blighia</w:t>
      </w:r>
      <w:proofErr w:type="spellEnd"/>
      <w:r w:rsidRPr="0047564B">
        <w:rPr>
          <w:rFonts w:ascii="Times New Roman" w:hAnsi="Times New Roman" w:cs="Times New Roman"/>
          <w:b/>
          <w:color w:val="333333"/>
          <w:sz w:val="28"/>
          <w:szCs w:val="28"/>
          <w:shd w:val="clear" w:color="auto" w:fill="FFFFFF"/>
        </w:rPr>
        <w:t xml:space="preserve"> </w:t>
      </w:r>
      <w:proofErr w:type="spellStart"/>
      <w:r w:rsidRPr="0047564B">
        <w:rPr>
          <w:rFonts w:ascii="Times New Roman" w:hAnsi="Times New Roman" w:cs="Times New Roman"/>
          <w:b/>
          <w:color w:val="333333"/>
          <w:sz w:val="28"/>
          <w:szCs w:val="28"/>
          <w:shd w:val="clear" w:color="auto" w:fill="FFFFFF"/>
        </w:rPr>
        <w:t>sapida</w:t>
      </w:r>
      <w:proofErr w:type="spellEnd"/>
      <w:r w:rsidRPr="0047564B">
        <w:rPr>
          <w:rFonts w:ascii="Times New Roman" w:hAnsi="Times New Roman" w:cs="Times New Roman"/>
          <w:b/>
          <w:color w:val="333333"/>
          <w:sz w:val="28"/>
          <w:szCs w:val="28"/>
          <w:shd w:val="clear" w:color="auto" w:fill="FFFFFF"/>
        </w:rPr>
        <w:t xml:space="preserve">) seeds: a novel adsorbent for the removal of Congo </w:t>
      </w:r>
      <w:proofErr w:type="gramStart"/>
      <w:r w:rsidRPr="0047564B">
        <w:rPr>
          <w:rFonts w:ascii="Times New Roman" w:hAnsi="Times New Roman" w:cs="Times New Roman"/>
          <w:b/>
          <w:color w:val="333333"/>
          <w:sz w:val="28"/>
          <w:szCs w:val="28"/>
          <w:shd w:val="clear" w:color="auto" w:fill="FFFFFF"/>
        </w:rPr>
        <w:t>Red</w:t>
      </w:r>
      <w:proofErr w:type="gramEnd"/>
      <w:r w:rsidRPr="0047564B">
        <w:rPr>
          <w:rFonts w:ascii="Times New Roman" w:hAnsi="Times New Roman" w:cs="Times New Roman"/>
          <w:b/>
          <w:color w:val="333333"/>
          <w:sz w:val="28"/>
          <w:szCs w:val="28"/>
          <w:shd w:val="clear" w:color="auto" w:fill="FFFFFF"/>
        </w:rPr>
        <w:t xml:space="preserve"> dye from aqueous solutions</w:t>
      </w:r>
    </w:p>
    <w:p w:rsidR="0047564B" w:rsidRPr="0047564B" w:rsidRDefault="0047564B">
      <w:pPr>
        <w:rPr>
          <w:rFonts w:ascii="Times New Roman" w:hAnsi="Times New Roman" w:cs="Times New Roman"/>
          <w:color w:val="333333"/>
          <w:sz w:val="24"/>
          <w:szCs w:val="24"/>
          <w:shd w:val="clear" w:color="auto" w:fill="FFFFFF"/>
        </w:rPr>
      </w:pPr>
    </w:p>
    <w:p w:rsidR="0047564B" w:rsidRPr="0047564B" w:rsidRDefault="0047564B">
      <w:pPr>
        <w:rPr>
          <w:rFonts w:ascii="Times New Roman" w:hAnsi="Times New Roman" w:cs="Times New Roman"/>
          <w:b/>
          <w:color w:val="333333"/>
          <w:sz w:val="24"/>
          <w:szCs w:val="24"/>
          <w:shd w:val="clear" w:color="auto" w:fill="FFFFFF"/>
        </w:rPr>
      </w:pPr>
      <w:r w:rsidRPr="0047564B">
        <w:rPr>
          <w:rFonts w:ascii="Times New Roman" w:hAnsi="Times New Roman" w:cs="Times New Roman"/>
          <w:b/>
          <w:color w:val="333333"/>
          <w:sz w:val="24"/>
          <w:szCs w:val="24"/>
          <w:shd w:val="clear" w:color="auto" w:fill="FFFFFF"/>
        </w:rPr>
        <w:t>Abstract</w:t>
      </w:r>
      <w:bookmarkStart w:id="0" w:name="_GoBack"/>
      <w:bookmarkEnd w:id="0"/>
    </w:p>
    <w:p w:rsidR="0047564B" w:rsidRPr="0047564B" w:rsidRDefault="0047564B">
      <w:pPr>
        <w:rPr>
          <w:rFonts w:ascii="Times New Roman" w:hAnsi="Times New Roman" w:cs="Times New Roman"/>
          <w:color w:val="333333"/>
          <w:sz w:val="24"/>
          <w:szCs w:val="24"/>
          <w:shd w:val="clear" w:color="auto" w:fill="FFFFFF"/>
        </w:rPr>
      </w:pPr>
    </w:p>
    <w:p w:rsidR="0047564B" w:rsidRPr="0047564B" w:rsidRDefault="0047564B">
      <w:pPr>
        <w:rPr>
          <w:rFonts w:ascii="Times New Roman" w:hAnsi="Times New Roman" w:cs="Times New Roman"/>
          <w:sz w:val="24"/>
          <w:szCs w:val="24"/>
        </w:rPr>
      </w:pPr>
      <w:r w:rsidRPr="0047564B">
        <w:rPr>
          <w:rFonts w:ascii="Times New Roman" w:hAnsi="Times New Roman" w:cs="Times New Roman"/>
          <w:color w:val="333333"/>
          <w:sz w:val="24"/>
          <w:szCs w:val="24"/>
        </w:rPr>
        <w:t xml:space="preserve">The ability of </w:t>
      </w:r>
      <w:proofErr w:type="spellStart"/>
      <w:r w:rsidRPr="0047564B">
        <w:rPr>
          <w:rFonts w:ascii="Times New Roman" w:hAnsi="Times New Roman" w:cs="Times New Roman"/>
          <w:color w:val="333333"/>
          <w:sz w:val="24"/>
          <w:szCs w:val="24"/>
        </w:rPr>
        <w:t>ackee</w:t>
      </w:r>
      <w:proofErr w:type="spellEnd"/>
      <w:r w:rsidRPr="0047564B">
        <w:rPr>
          <w:rFonts w:ascii="Times New Roman" w:hAnsi="Times New Roman" w:cs="Times New Roman"/>
          <w:color w:val="333333"/>
          <w:sz w:val="24"/>
          <w:szCs w:val="24"/>
        </w:rPr>
        <w:t xml:space="preserve"> apple (AA) seeds to remove Congo Red (CR) dye from aqueous solution was investigated. AA was </w:t>
      </w:r>
      <w:proofErr w:type="spellStart"/>
      <w:r w:rsidRPr="0047564B">
        <w:rPr>
          <w:rFonts w:ascii="Times New Roman" w:hAnsi="Times New Roman" w:cs="Times New Roman"/>
          <w:color w:val="333333"/>
          <w:sz w:val="24"/>
          <w:szCs w:val="24"/>
        </w:rPr>
        <w:t>characterised</w:t>
      </w:r>
      <w:proofErr w:type="spellEnd"/>
      <w:r w:rsidRPr="0047564B">
        <w:rPr>
          <w:rFonts w:ascii="Times New Roman" w:hAnsi="Times New Roman" w:cs="Times New Roman"/>
          <w:color w:val="333333"/>
          <w:sz w:val="24"/>
          <w:szCs w:val="24"/>
        </w:rPr>
        <w:t xml:space="preserve"> using thermo gravimetric </w:t>
      </w:r>
      <w:proofErr w:type="spellStart"/>
      <w:r w:rsidRPr="0047564B">
        <w:rPr>
          <w:rFonts w:ascii="Times New Roman" w:hAnsi="Times New Roman" w:cs="Times New Roman"/>
          <w:color w:val="333333"/>
          <w:sz w:val="24"/>
          <w:szCs w:val="24"/>
        </w:rPr>
        <w:t>analyser</w:t>
      </w:r>
      <w:proofErr w:type="spellEnd"/>
      <w:r w:rsidRPr="0047564B">
        <w:rPr>
          <w:rFonts w:ascii="Times New Roman" w:hAnsi="Times New Roman" w:cs="Times New Roman"/>
          <w:color w:val="333333"/>
          <w:sz w:val="24"/>
          <w:szCs w:val="24"/>
        </w:rPr>
        <w:t xml:space="preserve">, scanning electron microscopy, </w:t>
      </w:r>
      <w:proofErr w:type="spellStart"/>
      <w:r w:rsidRPr="0047564B">
        <w:rPr>
          <w:rFonts w:ascii="Times New Roman" w:hAnsi="Times New Roman" w:cs="Times New Roman"/>
          <w:color w:val="333333"/>
          <w:sz w:val="24"/>
          <w:szCs w:val="24"/>
        </w:rPr>
        <w:t>Braunauer</w:t>
      </w:r>
      <w:proofErr w:type="spellEnd"/>
      <w:r w:rsidRPr="0047564B">
        <w:rPr>
          <w:rFonts w:ascii="Times New Roman" w:hAnsi="Times New Roman" w:cs="Times New Roman"/>
          <w:color w:val="333333"/>
          <w:sz w:val="24"/>
          <w:szCs w:val="24"/>
        </w:rPr>
        <w:t xml:space="preserve"> Emmett Teller, </w:t>
      </w:r>
      <w:proofErr w:type="spellStart"/>
      <w:r w:rsidRPr="0047564B">
        <w:rPr>
          <w:rFonts w:ascii="Times New Roman" w:hAnsi="Times New Roman" w:cs="Times New Roman"/>
          <w:color w:val="333333"/>
          <w:sz w:val="24"/>
          <w:szCs w:val="24"/>
        </w:rPr>
        <w:t>pH</w:t>
      </w:r>
      <w:r w:rsidRPr="0047564B">
        <w:rPr>
          <w:rFonts w:ascii="Times New Roman" w:hAnsi="Times New Roman" w:cs="Times New Roman"/>
          <w:color w:val="333333"/>
          <w:sz w:val="24"/>
          <w:szCs w:val="24"/>
          <w:vertAlign w:val="subscript"/>
        </w:rPr>
        <w:t>pzc</w:t>
      </w:r>
      <w:proofErr w:type="spellEnd"/>
      <w:r w:rsidRPr="0047564B">
        <w:rPr>
          <w:rFonts w:ascii="Times New Roman" w:hAnsi="Times New Roman" w:cs="Times New Roman"/>
          <w:color w:val="333333"/>
          <w:sz w:val="24"/>
          <w:szCs w:val="24"/>
        </w:rPr>
        <w:t xml:space="preserve">, elemental analysis and Boehm titration. The effects of operational parameters such as adsorbent dosage, contact time, initial dye concentration and solution pH were studied in a batch system. </w:t>
      </w:r>
      <w:proofErr w:type="gramStart"/>
      <w:r w:rsidRPr="0047564B">
        <w:rPr>
          <w:rFonts w:ascii="Times New Roman" w:hAnsi="Times New Roman" w:cs="Times New Roman"/>
          <w:color w:val="333333"/>
          <w:sz w:val="24"/>
          <w:szCs w:val="24"/>
        </w:rPr>
        <w:t>pH</w:t>
      </w:r>
      <w:proofErr w:type="gramEnd"/>
      <w:r w:rsidRPr="0047564B">
        <w:rPr>
          <w:rFonts w:ascii="Times New Roman" w:hAnsi="Times New Roman" w:cs="Times New Roman"/>
          <w:color w:val="333333"/>
          <w:sz w:val="24"/>
          <w:szCs w:val="24"/>
        </w:rPr>
        <w:t xml:space="preserve"> has a profound influence on the adsorption process. Maximum dye adsorption was observed at pH 3.0. The reaction was fast, reaching equilibrium in 90 min. Adsorption data were best described by Langmuir isotherm and the pseudo-second-order kinetic model with a maximum monolayer coverage of 161.89 mg·g</w:t>
      </w:r>
      <w:r w:rsidRPr="0047564B">
        <w:rPr>
          <w:rFonts w:ascii="Times New Roman" w:hAnsi="Times New Roman" w:cs="Times New Roman"/>
          <w:color w:val="333333"/>
          <w:sz w:val="24"/>
          <w:szCs w:val="24"/>
          <w:vertAlign w:val="superscript"/>
        </w:rPr>
        <w:t>−1</w:t>
      </w:r>
      <w:r w:rsidRPr="0047564B">
        <w:rPr>
          <w:rFonts w:ascii="Times New Roman" w:hAnsi="Times New Roman" w:cs="Times New Roman"/>
          <w:color w:val="333333"/>
          <w:sz w:val="24"/>
          <w:szCs w:val="24"/>
        </w:rPr>
        <w:t xml:space="preserve">. Both boundary layer and </w:t>
      </w:r>
      <w:proofErr w:type="spellStart"/>
      <w:r w:rsidRPr="0047564B">
        <w:rPr>
          <w:rFonts w:ascii="Times New Roman" w:hAnsi="Times New Roman" w:cs="Times New Roman"/>
          <w:color w:val="333333"/>
          <w:sz w:val="24"/>
          <w:szCs w:val="24"/>
        </w:rPr>
        <w:t>intraparticle</w:t>
      </w:r>
      <w:proofErr w:type="spellEnd"/>
      <w:r w:rsidRPr="0047564B">
        <w:rPr>
          <w:rFonts w:ascii="Times New Roman" w:hAnsi="Times New Roman" w:cs="Times New Roman"/>
          <w:color w:val="333333"/>
          <w:sz w:val="24"/>
          <w:szCs w:val="24"/>
        </w:rPr>
        <w:t xml:space="preserve"> diffusion mechanisms were found to govern the adsorption process. Thermodynamic parameters such as standard free energy change (Δ </w:t>
      </w:r>
      <w:r w:rsidRPr="0047564B">
        <w:rPr>
          <w:rFonts w:ascii="Times New Roman" w:hAnsi="Times New Roman" w:cs="Times New Roman"/>
          <w:i/>
          <w:iCs/>
          <w:color w:val="333333"/>
          <w:sz w:val="24"/>
          <w:szCs w:val="24"/>
        </w:rPr>
        <w:t>G</w:t>
      </w:r>
      <w:r w:rsidRPr="0047564B">
        <w:rPr>
          <w:rFonts w:ascii="Times New Roman" w:hAnsi="Times New Roman" w:cs="Times New Roman"/>
          <w:color w:val="333333"/>
          <w:sz w:val="24"/>
          <w:szCs w:val="24"/>
        </w:rPr>
        <w:t> </w:t>
      </w:r>
      <w:r w:rsidRPr="0047564B">
        <w:rPr>
          <w:rFonts w:ascii="Times New Roman" w:hAnsi="Times New Roman" w:cs="Times New Roman"/>
          <w:color w:val="333333"/>
          <w:sz w:val="24"/>
          <w:szCs w:val="24"/>
          <w:vertAlign w:val="superscript"/>
        </w:rPr>
        <w:t>0</w:t>
      </w:r>
      <w:r w:rsidRPr="0047564B">
        <w:rPr>
          <w:rFonts w:ascii="Times New Roman" w:hAnsi="Times New Roman" w:cs="Times New Roman"/>
          <w:color w:val="333333"/>
          <w:sz w:val="24"/>
          <w:szCs w:val="24"/>
        </w:rPr>
        <w:t>), standard enthalpy change (Δ </w:t>
      </w:r>
      <w:r w:rsidRPr="0047564B">
        <w:rPr>
          <w:rFonts w:ascii="Times New Roman" w:hAnsi="Times New Roman" w:cs="Times New Roman"/>
          <w:i/>
          <w:iCs/>
          <w:color w:val="333333"/>
          <w:sz w:val="24"/>
          <w:szCs w:val="24"/>
        </w:rPr>
        <w:t>H</w:t>
      </w:r>
      <w:r w:rsidRPr="0047564B">
        <w:rPr>
          <w:rFonts w:ascii="Times New Roman" w:hAnsi="Times New Roman" w:cs="Times New Roman"/>
          <w:color w:val="333333"/>
          <w:sz w:val="24"/>
          <w:szCs w:val="24"/>
        </w:rPr>
        <w:t> </w:t>
      </w:r>
      <w:r w:rsidRPr="0047564B">
        <w:rPr>
          <w:rFonts w:ascii="Times New Roman" w:hAnsi="Times New Roman" w:cs="Times New Roman"/>
          <w:color w:val="333333"/>
          <w:sz w:val="24"/>
          <w:szCs w:val="24"/>
          <w:vertAlign w:val="superscript"/>
        </w:rPr>
        <w:t>0</w:t>
      </w:r>
      <w:r w:rsidRPr="0047564B">
        <w:rPr>
          <w:rFonts w:ascii="Times New Roman" w:hAnsi="Times New Roman" w:cs="Times New Roman"/>
          <w:color w:val="333333"/>
          <w:sz w:val="24"/>
          <w:szCs w:val="24"/>
        </w:rPr>
        <w:t>), and standard entropy change (Δ </w:t>
      </w:r>
      <w:r w:rsidRPr="0047564B">
        <w:rPr>
          <w:rFonts w:ascii="Times New Roman" w:hAnsi="Times New Roman" w:cs="Times New Roman"/>
          <w:i/>
          <w:iCs/>
          <w:color w:val="333333"/>
          <w:sz w:val="24"/>
          <w:szCs w:val="24"/>
        </w:rPr>
        <w:t>S</w:t>
      </w:r>
      <w:r w:rsidRPr="0047564B">
        <w:rPr>
          <w:rFonts w:ascii="Times New Roman" w:hAnsi="Times New Roman" w:cs="Times New Roman"/>
          <w:color w:val="333333"/>
          <w:sz w:val="24"/>
          <w:szCs w:val="24"/>
        </w:rPr>
        <w:t> </w:t>
      </w:r>
      <w:r w:rsidRPr="0047564B">
        <w:rPr>
          <w:rFonts w:ascii="Times New Roman" w:hAnsi="Times New Roman" w:cs="Times New Roman"/>
          <w:color w:val="333333"/>
          <w:sz w:val="24"/>
          <w:szCs w:val="24"/>
          <w:vertAlign w:val="superscript"/>
        </w:rPr>
        <w:t>0</w:t>
      </w:r>
      <w:r w:rsidRPr="0047564B">
        <w:rPr>
          <w:rFonts w:ascii="Times New Roman" w:hAnsi="Times New Roman" w:cs="Times New Roman"/>
          <w:color w:val="333333"/>
          <w:sz w:val="24"/>
          <w:szCs w:val="24"/>
        </w:rPr>
        <w:t>) were studied. Values of Δ </w:t>
      </w:r>
      <w:r w:rsidRPr="0047564B">
        <w:rPr>
          <w:rFonts w:ascii="Times New Roman" w:hAnsi="Times New Roman" w:cs="Times New Roman"/>
          <w:i/>
          <w:iCs/>
          <w:color w:val="333333"/>
          <w:sz w:val="24"/>
          <w:szCs w:val="24"/>
        </w:rPr>
        <w:t>G</w:t>
      </w:r>
      <w:r w:rsidRPr="0047564B">
        <w:rPr>
          <w:rFonts w:ascii="Times New Roman" w:hAnsi="Times New Roman" w:cs="Times New Roman"/>
          <w:color w:val="333333"/>
          <w:sz w:val="24"/>
          <w:szCs w:val="24"/>
        </w:rPr>
        <w:t> </w:t>
      </w:r>
      <w:r w:rsidRPr="0047564B">
        <w:rPr>
          <w:rFonts w:ascii="Times New Roman" w:hAnsi="Times New Roman" w:cs="Times New Roman"/>
          <w:color w:val="333333"/>
          <w:sz w:val="24"/>
          <w:szCs w:val="24"/>
          <w:vertAlign w:val="superscript"/>
        </w:rPr>
        <w:t>0</w:t>
      </w:r>
      <w:r w:rsidRPr="0047564B">
        <w:rPr>
          <w:rFonts w:ascii="Times New Roman" w:hAnsi="Times New Roman" w:cs="Times New Roman"/>
          <w:color w:val="333333"/>
          <w:sz w:val="24"/>
          <w:szCs w:val="24"/>
        </w:rPr>
        <w:t> varied between−30.94 and−36.56 kJ·mol</w:t>
      </w:r>
      <w:r w:rsidRPr="0047564B">
        <w:rPr>
          <w:rFonts w:ascii="Times New Roman" w:hAnsi="Times New Roman" w:cs="Times New Roman"/>
          <w:color w:val="333333"/>
          <w:sz w:val="24"/>
          <w:szCs w:val="24"/>
          <w:vertAlign w:val="superscript"/>
        </w:rPr>
        <w:t>−1</w:t>
      </w:r>
      <w:r w:rsidRPr="0047564B">
        <w:rPr>
          <w:rFonts w:ascii="Times New Roman" w:hAnsi="Times New Roman" w:cs="Times New Roman"/>
          <w:color w:val="333333"/>
          <w:sz w:val="24"/>
          <w:szCs w:val="24"/>
        </w:rPr>
        <w:t>, Δ </w:t>
      </w:r>
      <w:r w:rsidRPr="0047564B">
        <w:rPr>
          <w:rFonts w:ascii="Times New Roman" w:hAnsi="Times New Roman" w:cs="Times New Roman"/>
          <w:i/>
          <w:iCs/>
          <w:color w:val="333333"/>
          <w:sz w:val="24"/>
          <w:szCs w:val="24"/>
        </w:rPr>
        <w:t>H</w:t>
      </w:r>
      <w:r w:rsidRPr="0047564B">
        <w:rPr>
          <w:rFonts w:ascii="Times New Roman" w:hAnsi="Times New Roman" w:cs="Times New Roman"/>
          <w:color w:val="333333"/>
          <w:sz w:val="24"/>
          <w:szCs w:val="24"/>
        </w:rPr>
        <w:t> </w:t>
      </w:r>
      <w:r w:rsidRPr="0047564B">
        <w:rPr>
          <w:rFonts w:ascii="Times New Roman" w:hAnsi="Times New Roman" w:cs="Times New Roman"/>
          <w:color w:val="333333"/>
          <w:sz w:val="24"/>
          <w:szCs w:val="24"/>
          <w:vertAlign w:val="superscript"/>
        </w:rPr>
        <w:t>0</w:t>
      </w:r>
      <w:r w:rsidRPr="0047564B">
        <w:rPr>
          <w:rFonts w:ascii="Times New Roman" w:hAnsi="Times New Roman" w:cs="Times New Roman"/>
          <w:color w:val="333333"/>
          <w:sz w:val="24"/>
          <w:szCs w:val="24"/>
        </w:rPr>
        <w:t> was 25.61 kJ·mol</w:t>
      </w:r>
      <w:r w:rsidRPr="0047564B">
        <w:rPr>
          <w:rFonts w:ascii="Times New Roman" w:hAnsi="Times New Roman" w:cs="Times New Roman"/>
          <w:color w:val="333333"/>
          <w:sz w:val="24"/>
          <w:szCs w:val="24"/>
          <w:vertAlign w:val="superscript"/>
        </w:rPr>
        <w:t>−1</w:t>
      </w:r>
      <w:r w:rsidRPr="0047564B">
        <w:rPr>
          <w:rFonts w:ascii="Times New Roman" w:hAnsi="Times New Roman" w:cs="Times New Roman"/>
          <w:color w:val="333333"/>
          <w:sz w:val="24"/>
          <w:szCs w:val="24"/>
        </w:rPr>
        <w:t>, and Δ </w:t>
      </w:r>
      <w:r w:rsidRPr="0047564B">
        <w:rPr>
          <w:rFonts w:ascii="Times New Roman" w:hAnsi="Times New Roman" w:cs="Times New Roman"/>
          <w:i/>
          <w:iCs/>
          <w:color w:val="333333"/>
          <w:sz w:val="24"/>
          <w:szCs w:val="24"/>
        </w:rPr>
        <w:t>S</w:t>
      </w:r>
      <w:r w:rsidRPr="0047564B">
        <w:rPr>
          <w:rFonts w:ascii="Times New Roman" w:hAnsi="Times New Roman" w:cs="Times New Roman"/>
          <w:color w:val="333333"/>
          <w:sz w:val="24"/>
          <w:szCs w:val="24"/>
        </w:rPr>
        <w:t> </w:t>
      </w:r>
      <w:r w:rsidRPr="0047564B">
        <w:rPr>
          <w:rFonts w:ascii="Times New Roman" w:hAnsi="Times New Roman" w:cs="Times New Roman"/>
          <w:color w:val="333333"/>
          <w:sz w:val="24"/>
          <w:szCs w:val="24"/>
          <w:vertAlign w:val="superscript"/>
        </w:rPr>
        <w:t>0</w:t>
      </w:r>
      <w:r w:rsidRPr="0047564B">
        <w:rPr>
          <w:rFonts w:ascii="Times New Roman" w:hAnsi="Times New Roman" w:cs="Times New Roman"/>
          <w:color w:val="333333"/>
          <w:sz w:val="24"/>
          <w:szCs w:val="24"/>
        </w:rPr>
        <w:t> was 74.84 kJ·mol</w:t>
      </w:r>
      <w:r w:rsidRPr="0047564B">
        <w:rPr>
          <w:rFonts w:ascii="Times New Roman" w:hAnsi="Times New Roman" w:cs="Times New Roman"/>
          <w:color w:val="333333"/>
          <w:sz w:val="24"/>
          <w:szCs w:val="24"/>
          <w:vertAlign w:val="superscript"/>
        </w:rPr>
        <w:t>−1</w:t>
      </w:r>
      <w:r w:rsidRPr="0047564B">
        <w:rPr>
          <w:rFonts w:ascii="Times New Roman" w:hAnsi="Times New Roman" w:cs="Times New Roman"/>
          <w:color w:val="333333"/>
          <w:sz w:val="24"/>
          <w:szCs w:val="24"/>
        </w:rPr>
        <w:t>·K</w:t>
      </w:r>
      <w:r w:rsidRPr="0047564B">
        <w:rPr>
          <w:rFonts w:ascii="Times New Roman" w:hAnsi="Times New Roman" w:cs="Times New Roman"/>
          <w:color w:val="333333"/>
          <w:sz w:val="24"/>
          <w:szCs w:val="24"/>
          <w:vertAlign w:val="superscript"/>
        </w:rPr>
        <w:t>−1</w:t>
      </w:r>
      <w:r w:rsidRPr="0047564B">
        <w:rPr>
          <w:rFonts w:ascii="Times New Roman" w:hAnsi="Times New Roman" w:cs="Times New Roman"/>
          <w:color w:val="333333"/>
          <w:sz w:val="24"/>
          <w:szCs w:val="24"/>
        </w:rPr>
        <w:t>, indicating that the removal of CR from aqueous solution by AA was</w:t>
      </w:r>
      <w:r w:rsidRPr="0047564B">
        <w:rPr>
          <w:rFonts w:ascii="Times New Roman" w:hAnsi="Times New Roman" w:cs="Times New Roman"/>
          <w:color w:val="333333"/>
          <w:sz w:val="24"/>
          <w:szCs w:val="24"/>
        </w:rPr>
        <w:t xml:space="preserve"> </w:t>
      </w:r>
      <w:r w:rsidRPr="0047564B">
        <w:rPr>
          <w:rFonts w:ascii="Times New Roman" w:hAnsi="Times New Roman" w:cs="Times New Roman"/>
          <w:color w:val="333333"/>
          <w:sz w:val="24"/>
          <w:szCs w:val="24"/>
        </w:rPr>
        <w:t xml:space="preserve">spontaneous and endothermic in nature. Regeneration and reusability studies were carried out using different eluents. AA gave the highest adsorption efficiency up to four cycles when treated with 0.3 M </w:t>
      </w:r>
      <w:proofErr w:type="spellStart"/>
      <w:r w:rsidRPr="0047564B">
        <w:rPr>
          <w:rFonts w:ascii="Times New Roman" w:hAnsi="Times New Roman" w:cs="Times New Roman"/>
          <w:color w:val="333333"/>
          <w:sz w:val="24"/>
          <w:szCs w:val="24"/>
        </w:rPr>
        <w:t>HCl</w:t>
      </w:r>
      <w:proofErr w:type="spellEnd"/>
      <w:r w:rsidRPr="0047564B">
        <w:rPr>
          <w:rFonts w:ascii="Times New Roman" w:hAnsi="Times New Roman" w:cs="Times New Roman"/>
          <w:color w:val="333333"/>
          <w:sz w:val="24"/>
          <w:szCs w:val="24"/>
        </w:rPr>
        <w:t>. AA was found to be an effective adsorbent for the removal of CR dye from aqueous solution.</w:t>
      </w:r>
    </w:p>
    <w:sectPr w:rsidR="0047564B" w:rsidRPr="00475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58"/>
    <w:rsid w:val="00165F5A"/>
    <w:rsid w:val="0047564B"/>
    <w:rsid w:val="0059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3E636-D4DF-4922-85DA-27EA7B56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2</cp:revision>
  <dcterms:created xsi:type="dcterms:W3CDTF">2022-12-11T12:33:00Z</dcterms:created>
  <dcterms:modified xsi:type="dcterms:W3CDTF">2022-12-11T12:35:00Z</dcterms:modified>
</cp:coreProperties>
</file>