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37A8F" w:rsidRPr="00363B40" w:rsidRDefault="00437A8F" w:rsidP="00492E4F">
      <w:pPr>
        <w:pStyle w:val="Titleofthepaper"/>
        <w:rPr>
          <w:rFonts w:ascii="Times New Roman" w:hAnsi="Times New Roman"/>
          <w:caps/>
          <w:spacing w:val="4"/>
          <w:lang w:val="en-GB"/>
        </w:rPr>
      </w:pPr>
    </w:p>
    <w:p w:rsidR="001A562C" w:rsidRPr="00363B40" w:rsidRDefault="001A562C" w:rsidP="001A562C">
      <w:pPr>
        <w:autoSpaceDE w:val="0"/>
        <w:autoSpaceDN w:val="0"/>
        <w:adjustRightInd w:val="0"/>
        <w:jc w:val="center"/>
        <w:rPr>
          <w:b/>
          <w:bCs/>
          <w:iCs/>
          <w:szCs w:val="24"/>
        </w:rPr>
      </w:pPr>
      <w:r w:rsidRPr="00363B40">
        <w:rPr>
          <w:b/>
          <w:bCs/>
          <w:iCs/>
          <w:szCs w:val="24"/>
        </w:rPr>
        <w:t xml:space="preserve">CHARACTERISATION OF </w:t>
      </w:r>
      <w:r w:rsidRPr="00363B40">
        <w:rPr>
          <w:b/>
          <w:szCs w:val="24"/>
        </w:rPr>
        <w:t>Li</w:t>
      </w:r>
      <w:r w:rsidRPr="00363B40">
        <w:rPr>
          <w:b/>
          <w:szCs w:val="24"/>
          <w:vertAlign w:val="subscript"/>
        </w:rPr>
        <w:t>1+x</w:t>
      </w:r>
      <w:r w:rsidRPr="00363B40">
        <w:rPr>
          <w:b/>
          <w:szCs w:val="24"/>
        </w:rPr>
        <w:t>Ti</w:t>
      </w:r>
      <w:r w:rsidRPr="00363B40">
        <w:rPr>
          <w:b/>
          <w:szCs w:val="24"/>
          <w:vertAlign w:val="subscript"/>
        </w:rPr>
        <w:t>2-x</w:t>
      </w:r>
      <w:r w:rsidRPr="00363B40">
        <w:rPr>
          <w:b/>
          <w:szCs w:val="24"/>
        </w:rPr>
        <w:t>Al</w:t>
      </w:r>
      <w:r w:rsidRPr="00363B40">
        <w:rPr>
          <w:b/>
          <w:szCs w:val="24"/>
          <w:vertAlign w:val="subscript"/>
        </w:rPr>
        <w:t>x</w:t>
      </w:r>
      <w:r w:rsidRPr="00363B40">
        <w:rPr>
          <w:b/>
          <w:szCs w:val="24"/>
        </w:rPr>
        <w:t xml:space="preserve"> (PO</w:t>
      </w:r>
      <w:r w:rsidRPr="00363B40">
        <w:rPr>
          <w:b/>
          <w:szCs w:val="24"/>
          <w:vertAlign w:val="subscript"/>
        </w:rPr>
        <w:t>4</w:t>
      </w:r>
      <w:r w:rsidRPr="00363B40">
        <w:rPr>
          <w:b/>
          <w:szCs w:val="24"/>
        </w:rPr>
        <w:t>)</w:t>
      </w:r>
      <w:r w:rsidRPr="00363B40">
        <w:rPr>
          <w:b/>
          <w:szCs w:val="24"/>
          <w:vertAlign w:val="subscript"/>
        </w:rPr>
        <w:t>3</w:t>
      </w:r>
      <w:r w:rsidR="00874789" w:rsidRPr="00363B40">
        <w:rPr>
          <w:b/>
          <w:szCs w:val="24"/>
        </w:rPr>
        <w:t xml:space="preserve"> </w:t>
      </w:r>
      <w:r w:rsidR="00F8152F">
        <w:rPr>
          <w:b/>
          <w:szCs w:val="24"/>
        </w:rPr>
        <w:t xml:space="preserve">(LTAP) </w:t>
      </w:r>
      <w:r w:rsidR="00F8152F" w:rsidRPr="00363B40">
        <w:rPr>
          <w:b/>
          <w:szCs w:val="24"/>
        </w:rPr>
        <w:t xml:space="preserve">NASICON </w:t>
      </w:r>
      <w:r w:rsidR="00F8152F">
        <w:rPr>
          <w:b/>
          <w:szCs w:val="24"/>
        </w:rPr>
        <w:t xml:space="preserve">CERAMICS </w:t>
      </w:r>
      <w:r w:rsidR="00874789" w:rsidRPr="00363B40">
        <w:rPr>
          <w:b/>
          <w:szCs w:val="24"/>
        </w:rPr>
        <w:t xml:space="preserve">FOR </w:t>
      </w:r>
      <w:r w:rsidR="00F8152F">
        <w:rPr>
          <w:b/>
          <w:szCs w:val="24"/>
        </w:rPr>
        <w:t>FOR IONIC CONDUCTIVITY OF SOLID ELECTROLYTES</w:t>
      </w:r>
    </w:p>
    <w:p w:rsidR="00492E4F" w:rsidRPr="00363B40" w:rsidRDefault="00492E4F" w:rsidP="00492E4F">
      <w:pPr>
        <w:pStyle w:val="Authorname"/>
        <w:spacing w:before="0"/>
        <w:jc w:val="left"/>
        <w:rPr>
          <w:spacing w:val="4"/>
          <w:lang w:val="en-GB"/>
        </w:rPr>
      </w:pPr>
    </w:p>
    <w:p w:rsidR="00492E4F" w:rsidRPr="00363B40" w:rsidRDefault="00F8152F" w:rsidP="00492E4F">
      <w:pPr>
        <w:autoSpaceDE w:val="0"/>
        <w:autoSpaceDN w:val="0"/>
        <w:adjustRightInd w:val="0"/>
        <w:jc w:val="center"/>
        <w:rPr>
          <w:szCs w:val="24"/>
        </w:rPr>
      </w:pPr>
      <w:r>
        <w:rPr>
          <w:b/>
          <w:bCs/>
          <w:szCs w:val="24"/>
        </w:rPr>
        <w:t xml:space="preserve"> Isah Mohammed Kimpa</w:t>
      </w:r>
      <w:bookmarkStart w:id="0" w:name="_GoBack"/>
      <w:bookmarkEnd w:id="0"/>
      <w:r>
        <w:rPr>
          <w:b/>
          <w:bCs/>
          <w:szCs w:val="24"/>
        </w:rPr>
        <w:t>*</w:t>
      </w:r>
      <w:r w:rsidR="00B850E6" w:rsidRPr="00B850E6">
        <w:rPr>
          <w:b/>
          <w:bCs/>
          <w:szCs w:val="24"/>
          <w:vertAlign w:val="superscript"/>
        </w:rPr>
        <w:t>1,2</w:t>
      </w:r>
      <w:r w:rsidR="00157741">
        <w:rPr>
          <w:b/>
          <w:bCs/>
          <w:szCs w:val="24"/>
        </w:rPr>
        <w:t xml:space="preserve">, </w:t>
      </w:r>
      <w:r w:rsidR="00B850E6" w:rsidRPr="00B850E6">
        <w:rPr>
          <w:b/>
          <w:bCs/>
          <w:szCs w:val="24"/>
        </w:rPr>
        <w:t>J</w:t>
      </w:r>
      <w:r>
        <w:rPr>
          <w:b/>
          <w:bCs/>
          <w:szCs w:val="24"/>
        </w:rPr>
        <w:t>ibrin Yabagi</w:t>
      </w:r>
      <w:r w:rsidR="00B850E6" w:rsidRPr="00B850E6">
        <w:rPr>
          <w:b/>
          <w:bCs/>
          <w:szCs w:val="24"/>
        </w:rPr>
        <w:t>.</w:t>
      </w:r>
      <w:r w:rsidR="00B850E6" w:rsidRPr="00B850E6">
        <w:rPr>
          <w:b/>
          <w:bCs/>
          <w:szCs w:val="24"/>
          <w:vertAlign w:val="superscript"/>
        </w:rPr>
        <w:t>1,3</w:t>
      </w:r>
      <w:r w:rsidR="00B850E6" w:rsidRPr="00B850E6">
        <w:rPr>
          <w:b/>
          <w:bCs/>
          <w:szCs w:val="24"/>
        </w:rPr>
        <w:t>, Nmaya M.M.</w:t>
      </w:r>
      <w:r w:rsidR="00B850E6" w:rsidRPr="00B850E6">
        <w:rPr>
          <w:b/>
          <w:bCs/>
          <w:szCs w:val="24"/>
          <w:vertAlign w:val="superscript"/>
        </w:rPr>
        <w:t>1,3</w:t>
      </w:r>
      <w:r w:rsidR="00B850E6" w:rsidRPr="00B850E6">
        <w:rPr>
          <w:b/>
          <w:bCs/>
          <w:szCs w:val="24"/>
        </w:rPr>
        <w:t xml:space="preserve"> </w:t>
      </w:r>
      <w:r>
        <w:rPr>
          <w:b/>
          <w:bCs/>
          <w:szCs w:val="24"/>
        </w:rPr>
        <w:t xml:space="preserve">Fahmirrudin Esa, Mohd Zulhilmi M. </w:t>
      </w:r>
      <w:r w:rsidR="00B850E6" w:rsidRPr="00B850E6">
        <w:rPr>
          <w:b/>
          <w:bCs/>
          <w:szCs w:val="24"/>
        </w:rPr>
        <w:t>and Arif M.A.</w:t>
      </w:r>
      <w:r w:rsidR="00B850E6" w:rsidRPr="00B850E6">
        <w:rPr>
          <w:b/>
          <w:bCs/>
          <w:szCs w:val="24"/>
          <w:vertAlign w:val="superscript"/>
        </w:rPr>
        <w:t>1</w:t>
      </w:r>
    </w:p>
    <w:p w:rsidR="00492E4F" w:rsidRPr="00363B40" w:rsidRDefault="00492E4F" w:rsidP="00492E4F">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p>
    <w:p w:rsidR="000B3B0A" w:rsidRPr="00363B40" w:rsidRDefault="00B850E6" w:rsidP="000B3B0A">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 w:val="22"/>
          <w:szCs w:val="22"/>
        </w:rPr>
      </w:pPr>
      <w:r w:rsidRPr="00B850E6">
        <w:rPr>
          <w:sz w:val="22"/>
          <w:szCs w:val="22"/>
          <w:vertAlign w:val="superscript"/>
        </w:rPr>
        <w:t>1</w:t>
      </w:r>
      <w:r w:rsidRPr="00B850E6">
        <w:rPr>
          <w:sz w:val="22"/>
          <w:szCs w:val="22"/>
        </w:rPr>
        <w:t xml:space="preserve"> </w:t>
      </w:r>
      <w:r w:rsidR="000B3B0A" w:rsidRPr="00363B40">
        <w:rPr>
          <w:iCs/>
        </w:rPr>
        <w:t>Materials Physics Laboratory, Faculty of Science, Technology and Human Development, Universiti Tun Hussein Onn Malaysia, 86400 Parit Raja, Batu Pahat, Johor, Malaysia</w:t>
      </w:r>
      <w:r w:rsidRPr="00B850E6">
        <w:rPr>
          <w:sz w:val="22"/>
          <w:szCs w:val="22"/>
        </w:rPr>
        <w:t>.</w:t>
      </w:r>
    </w:p>
    <w:p w:rsidR="00492E4F" w:rsidRPr="00363B40" w:rsidRDefault="00B850E6" w:rsidP="00492E4F">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i/>
          <w:iCs/>
          <w:sz w:val="22"/>
          <w:szCs w:val="22"/>
        </w:rPr>
      </w:pPr>
      <w:r w:rsidRPr="00B850E6">
        <w:rPr>
          <w:sz w:val="22"/>
          <w:szCs w:val="22"/>
        </w:rPr>
        <w:t xml:space="preserve"> (E-mail: </w:t>
      </w:r>
      <w:hyperlink r:id="rId8" w:history="1">
        <w:r w:rsidRPr="00B850E6">
          <w:rPr>
            <w:rStyle w:val="Hyperlink"/>
            <w:sz w:val="22"/>
            <w:szCs w:val="22"/>
            <w:lang w:val="en-GB"/>
          </w:rPr>
          <w:t>zulhilmi@uthm.edu.my</w:t>
        </w:r>
      </w:hyperlink>
      <w:r w:rsidRPr="00B850E6">
        <w:rPr>
          <w:sz w:val="22"/>
          <w:szCs w:val="22"/>
        </w:rPr>
        <w:t xml:space="preserve">, </w:t>
      </w:r>
      <w:hyperlink r:id="rId9" w:history="1">
        <w:r w:rsidRPr="00B850E6">
          <w:rPr>
            <w:rStyle w:val="Hyperlink"/>
            <w:sz w:val="22"/>
            <w:szCs w:val="22"/>
            <w:lang w:val="en-GB"/>
          </w:rPr>
          <w:t>fahmir@uthm.edu.my</w:t>
        </w:r>
      </w:hyperlink>
      <w:r w:rsidRPr="00B850E6">
        <w:rPr>
          <w:sz w:val="22"/>
          <w:szCs w:val="22"/>
        </w:rPr>
        <w:t>, arif@uthm.edu.my)</w:t>
      </w:r>
    </w:p>
    <w:p w:rsidR="000B3B0A" w:rsidRPr="00363B40" w:rsidRDefault="00B850E6" w:rsidP="000B3B0A">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 w:val="22"/>
          <w:szCs w:val="22"/>
        </w:rPr>
      </w:pPr>
      <w:r w:rsidRPr="00B850E6">
        <w:rPr>
          <w:sz w:val="22"/>
          <w:szCs w:val="22"/>
          <w:vertAlign w:val="superscript"/>
        </w:rPr>
        <w:t>2</w:t>
      </w:r>
      <w:r w:rsidRPr="00B850E6">
        <w:rPr>
          <w:sz w:val="22"/>
          <w:szCs w:val="22"/>
        </w:rPr>
        <w:t xml:space="preserve"> </w:t>
      </w:r>
      <w:r w:rsidR="000B3B0A" w:rsidRPr="00363B40">
        <w:t>Department of Physics, School of Physical Science, Federal University of Technology Minna, Nigeria</w:t>
      </w:r>
      <w:r w:rsidRPr="00B850E6">
        <w:rPr>
          <w:sz w:val="22"/>
          <w:szCs w:val="22"/>
        </w:rPr>
        <w:t>.</w:t>
      </w:r>
    </w:p>
    <w:p w:rsidR="00492E4F" w:rsidRPr="00363B40" w:rsidRDefault="00B850E6" w:rsidP="00492E4F">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 w:val="22"/>
          <w:szCs w:val="22"/>
        </w:rPr>
      </w:pPr>
      <w:r w:rsidRPr="00B850E6">
        <w:rPr>
          <w:sz w:val="22"/>
          <w:szCs w:val="22"/>
        </w:rPr>
        <w:t xml:space="preserve"> (E-mail: kimpa@futminna.edu.ng)</w:t>
      </w:r>
    </w:p>
    <w:p w:rsidR="000B3B0A" w:rsidRPr="00363B40" w:rsidRDefault="003F305F" w:rsidP="00A82657">
      <w:pPr>
        <w:pStyle w:val="NoSpacing"/>
        <w:jc w:val="center"/>
        <w:rPr>
          <w:rFonts w:ascii="Times New Roman" w:hAnsi="Times New Roman" w:cs="Times New Roman"/>
          <w:lang w:val="en-GB"/>
        </w:rPr>
      </w:pPr>
      <w:r w:rsidRPr="00363B40">
        <w:rPr>
          <w:rFonts w:ascii="Times New Roman" w:hAnsi="Times New Roman" w:cs="Times New Roman"/>
          <w:vertAlign w:val="superscript"/>
          <w:lang w:val="en-GB"/>
        </w:rPr>
        <w:t>3</w:t>
      </w:r>
      <w:r w:rsidRPr="00363B40">
        <w:rPr>
          <w:rFonts w:ascii="Times New Roman" w:hAnsi="Times New Roman" w:cs="Times New Roman"/>
          <w:lang w:val="en-GB"/>
        </w:rPr>
        <w:t xml:space="preserve"> </w:t>
      </w:r>
      <w:r w:rsidR="000B3B0A" w:rsidRPr="00363B40">
        <w:rPr>
          <w:rFonts w:ascii="Times New Roman" w:hAnsi="Times New Roman" w:cs="Times New Roman"/>
          <w:lang w:val="en-GB"/>
        </w:rPr>
        <w:t>Department of Physics, Faculty of</w:t>
      </w:r>
      <w:r w:rsidR="00A80237" w:rsidRPr="00363B40">
        <w:rPr>
          <w:rFonts w:ascii="Times New Roman" w:hAnsi="Times New Roman" w:cs="Times New Roman"/>
          <w:lang w:val="en-GB"/>
        </w:rPr>
        <w:t xml:space="preserve"> Natural</w:t>
      </w:r>
      <w:r w:rsidR="000B3B0A" w:rsidRPr="00363B40">
        <w:rPr>
          <w:rFonts w:ascii="Times New Roman" w:hAnsi="Times New Roman" w:cs="Times New Roman"/>
          <w:lang w:val="en-GB"/>
        </w:rPr>
        <w:t xml:space="preserve"> Science</w:t>
      </w:r>
      <w:r w:rsidR="00A80237" w:rsidRPr="00363B40">
        <w:rPr>
          <w:rFonts w:ascii="Times New Roman" w:hAnsi="Times New Roman" w:cs="Times New Roman"/>
          <w:lang w:val="en-GB"/>
        </w:rPr>
        <w:t>s</w:t>
      </w:r>
      <w:r w:rsidR="000B3B0A" w:rsidRPr="00363B40">
        <w:rPr>
          <w:rFonts w:ascii="Times New Roman" w:hAnsi="Times New Roman" w:cs="Times New Roman"/>
          <w:lang w:val="en-GB"/>
        </w:rPr>
        <w:t>, Ibrahim Badamasi Babangida University Lapai, Nigeria.</w:t>
      </w:r>
    </w:p>
    <w:p w:rsidR="000B3B0A" w:rsidRPr="00363B40" w:rsidRDefault="00B850E6" w:rsidP="000B3B0A">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 w:val="22"/>
          <w:szCs w:val="22"/>
        </w:rPr>
      </w:pPr>
      <w:r w:rsidRPr="00B850E6">
        <w:rPr>
          <w:sz w:val="22"/>
          <w:szCs w:val="22"/>
        </w:rPr>
        <w:t xml:space="preserve">(E-mail: </w:t>
      </w:r>
      <w:hyperlink r:id="rId10" w:history="1">
        <w:r w:rsidRPr="00B850E6">
          <w:rPr>
            <w:rStyle w:val="Hyperlink"/>
            <w:sz w:val="22"/>
            <w:szCs w:val="22"/>
            <w:lang w:val="en-GB"/>
          </w:rPr>
          <w:t>jibrinbida@gmail.com</w:t>
        </w:r>
      </w:hyperlink>
      <w:r w:rsidRPr="00B850E6">
        <w:rPr>
          <w:sz w:val="22"/>
          <w:szCs w:val="22"/>
        </w:rPr>
        <w:t>, muhammadnmaya@gmail.com)</w:t>
      </w:r>
    </w:p>
    <w:p w:rsidR="000B3B0A" w:rsidRPr="00363B40" w:rsidRDefault="000B3B0A" w:rsidP="00492E4F">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sz w:val="22"/>
          <w:szCs w:val="22"/>
        </w:rPr>
      </w:pPr>
    </w:p>
    <w:p w:rsidR="00492E4F" w:rsidRPr="00363B40" w:rsidRDefault="00B850E6" w:rsidP="00E61D92">
      <w:pPr>
        <w:pStyle w:val="AEuroAbstract"/>
        <w:spacing w:before="0"/>
        <w:jc w:val="center"/>
        <w:rPr>
          <w:spacing w:val="4"/>
          <w:lang w:val="en-GB"/>
        </w:rPr>
      </w:pPr>
      <w:r w:rsidRPr="00B850E6">
        <w:rPr>
          <w:b/>
          <w:spacing w:val="4"/>
          <w:lang w:val="en-GB"/>
        </w:rPr>
        <w:t>*</w:t>
      </w:r>
      <w:r w:rsidR="00F8152F">
        <w:rPr>
          <w:spacing w:val="4"/>
          <w:lang w:val="en-GB"/>
        </w:rPr>
        <w:t>corresponding author (kimpa@futminna.edu.ng</w:t>
      </w:r>
      <w:r w:rsidRPr="00B850E6">
        <w:rPr>
          <w:spacing w:val="4"/>
          <w:lang w:val="en-GB"/>
        </w:rPr>
        <w:t>)</w:t>
      </w:r>
    </w:p>
    <w:p w:rsidR="00336A9D" w:rsidRDefault="00336A9D"/>
    <w:p w:rsidR="00336A9D" w:rsidRDefault="00336A9D"/>
    <w:p w:rsidR="00336A9D" w:rsidRDefault="00B850E6">
      <w:pPr>
        <w:rPr>
          <w:b/>
        </w:rPr>
      </w:pPr>
      <w:r w:rsidRPr="00B850E6">
        <w:rPr>
          <w:b/>
        </w:rPr>
        <w:t>ABSTRACT</w:t>
      </w:r>
    </w:p>
    <w:p w:rsidR="00336A9D" w:rsidRDefault="00336A9D">
      <w:pPr>
        <w:rPr>
          <w:b/>
        </w:rPr>
      </w:pPr>
    </w:p>
    <w:p w:rsidR="000B3B0A" w:rsidRPr="00363B40" w:rsidRDefault="000B3B0A" w:rsidP="000B3B0A">
      <w:pPr>
        <w:autoSpaceDE w:val="0"/>
        <w:autoSpaceDN w:val="0"/>
        <w:adjustRightInd w:val="0"/>
        <w:ind w:firstLine="720"/>
        <w:jc w:val="both"/>
        <w:rPr>
          <w:szCs w:val="24"/>
        </w:rPr>
      </w:pPr>
      <w:r w:rsidRPr="00363B40">
        <w:rPr>
          <w:szCs w:val="24"/>
        </w:rPr>
        <w:t>Li</w:t>
      </w:r>
      <w:r w:rsidRPr="00363B40">
        <w:rPr>
          <w:szCs w:val="24"/>
          <w:vertAlign w:val="subscript"/>
        </w:rPr>
        <w:t>1+x</w:t>
      </w:r>
      <w:r w:rsidRPr="00363B40">
        <w:rPr>
          <w:szCs w:val="24"/>
        </w:rPr>
        <w:t>Ti</w:t>
      </w:r>
      <w:r w:rsidRPr="00363B40">
        <w:rPr>
          <w:szCs w:val="24"/>
          <w:vertAlign w:val="subscript"/>
        </w:rPr>
        <w:t>2-x</w:t>
      </w:r>
      <w:r w:rsidRPr="00363B40">
        <w:rPr>
          <w:szCs w:val="24"/>
        </w:rPr>
        <w:t>Al</w:t>
      </w:r>
      <w:r w:rsidRPr="00363B40">
        <w:rPr>
          <w:szCs w:val="24"/>
          <w:vertAlign w:val="subscript"/>
        </w:rPr>
        <w:t>x</w:t>
      </w:r>
      <w:r w:rsidRPr="00363B40">
        <w:rPr>
          <w:szCs w:val="24"/>
        </w:rPr>
        <w:t>(PO</w:t>
      </w:r>
      <w:r w:rsidRPr="00363B40">
        <w:rPr>
          <w:szCs w:val="24"/>
          <w:vertAlign w:val="subscript"/>
        </w:rPr>
        <w:t>4</w:t>
      </w:r>
      <w:r w:rsidRPr="00363B40">
        <w:rPr>
          <w:szCs w:val="24"/>
        </w:rPr>
        <w:t>)</w:t>
      </w:r>
      <w:r w:rsidRPr="00363B40">
        <w:rPr>
          <w:szCs w:val="24"/>
          <w:vertAlign w:val="subscript"/>
        </w:rPr>
        <w:t>3</w:t>
      </w:r>
      <w:r w:rsidR="00363B40" w:rsidRPr="00363B40">
        <w:rPr>
          <w:szCs w:val="24"/>
        </w:rPr>
        <w:t xml:space="preserve"> (LTAP)</w:t>
      </w:r>
      <w:r w:rsidR="00F1067A" w:rsidRPr="00363B40">
        <w:rPr>
          <w:szCs w:val="24"/>
        </w:rPr>
        <w:t xml:space="preserve"> </w:t>
      </w:r>
      <w:r w:rsidRPr="00363B40">
        <w:rPr>
          <w:szCs w:val="24"/>
        </w:rPr>
        <w:t>are promising solid electrolytes for Li</w:t>
      </w:r>
      <w:r w:rsidR="00363B40" w:rsidRPr="00363B40">
        <w:rPr>
          <w:szCs w:val="24"/>
        </w:rPr>
        <w:t>-</w:t>
      </w:r>
      <w:r w:rsidRPr="00363B40">
        <w:rPr>
          <w:szCs w:val="24"/>
        </w:rPr>
        <w:t>ion batter</w:t>
      </w:r>
      <w:r w:rsidR="00F1067A" w:rsidRPr="00363B40">
        <w:rPr>
          <w:szCs w:val="24"/>
        </w:rPr>
        <w:t xml:space="preserve">ies and </w:t>
      </w:r>
      <w:r w:rsidR="00363B40" w:rsidRPr="00363B40">
        <w:rPr>
          <w:szCs w:val="24"/>
        </w:rPr>
        <w:t xml:space="preserve">suitable to be used in the area that reaquires </w:t>
      </w:r>
      <w:r w:rsidRPr="00363B40">
        <w:rPr>
          <w:szCs w:val="24"/>
        </w:rPr>
        <w:t>high energy density</w:t>
      </w:r>
      <w:r w:rsidR="00552FCC">
        <w:rPr>
          <w:szCs w:val="24"/>
        </w:rPr>
        <w:t xml:space="preserve"> as well as</w:t>
      </w:r>
      <w:r w:rsidRPr="00363B40">
        <w:rPr>
          <w:szCs w:val="24"/>
        </w:rPr>
        <w:t xml:space="preserve"> rechargeable power sources. In this </w:t>
      </w:r>
      <w:r w:rsidR="00363B40" w:rsidRPr="00363B40">
        <w:rPr>
          <w:szCs w:val="24"/>
        </w:rPr>
        <w:t>work</w:t>
      </w:r>
      <w:r w:rsidRPr="00363B40">
        <w:rPr>
          <w:szCs w:val="24"/>
        </w:rPr>
        <w:t xml:space="preserve">, </w:t>
      </w:r>
      <w:r w:rsidR="00363B40">
        <w:rPr>
          <w:szCs w:val="24"/>
        </w:rPr>
        <w:t xml:space="preserve">the </w:t>
      </w:r>
      <w:r w:rsidRPr="00363B40">
        <w:rPr>
          <w:szCs w:val="24"/>
        </w:rPr>
        <w:t>LTAP</w:t>
      </w:r>
      <w:r w:rsidR="00363B40">
        <w:rPr>
          <w:szCs w:val="24"/>
        </w:rPr>
        <w:t xml:space="preserve"> samples </w:t>
      </w:r>
      <w:r w:rsidR="00552FCC">
        <w:rPr>
          <w:szCs w:val="24"/>
        </w:rPr>
        <w:t>are</w:t>
      </w:r>
      <w:r w:rsidR="00363B40">
        <w:rPr>
          <w:szCs w:val="24"/>
        </w:rPr>
        <w:t xml:space="preserve"> synthesised using</w:t>
      </w:r>
      <w:r w:rsidRPr="00363B40">
        <w:rPr>
          <w:szCs w:val="24"/>
        </w:rPr>
        <w:t xml:space="preserve"> inexpensive reagents </w:t>
      </w:r>
      <w:r w:rsidR="00363B40">
        <w:rPr>
          <w:szCs w:val="24"/>
        </w:rPr>
        <w:t>namely</w:t>
      </w:r>
      <w:r w:rsidR="00363B40" w:rsidRPr="00363B40">
        <w:rPr>
          <w:szCs w:val="24"/>
        </w:rPr>
        <w:t xml:space="preserve"> </w:t>
      </w:r>
      <w:r w:rsidRPr="00363B40">
        <w:rPr>
          <w:szCs w:val="24"/>
        </w:rPr>
        <w:t>Li</w:t>
      </w:r>
      <w:r w:rsidRPr="00363B40">
        <w:rPr>
          <w:szCs w:val="24"/>
          <w:vertAlign w:val="subscript"/>
        </w:rPr>
        <w:t>2</w:t>
      </w:r>
      <w:r w:rsidRPr="00363B40">
        <w:rPr>
          <w:szCs w:val="24"/>
        </w:rPr>
        <w:t>CO</w:t>
      </w:r>
      <w:r w:rsidRPr="00363B40">
        <w:rPr>
          <w:szCs w:val="24"/>
          <w:vertAlign w:val="subscript"/>
        </w:rPr>
        <w:t>3</w:t>
      </w:r>
      <w:r w:rsidRPr="00363B40">
        <w:rPr>
          <w:szCs w:val="24"/>
        </w:rPr>
        <w:t>, TiO</w:t>
      </w:r>
      <w:r w:rsidRPr="00363B40">
        <w:rPr>
          <w:szCs w:val="24"/>
          <w:vertAlign w:val="subscript"/>
        </w:rPr>
        <w:t>2</w:t>
      </w:r>
      <w:r w:rsidRPr="00363B40">
        <w:rPr>
          <w:szCs w:val="24"/>
        </w:rPr>
        <w:t>, Al</w:t>
      </w:r>
      <w:r w:rsidRPr="00363B40">
        <w:rPr>
          <w:szCs w:val="24"/>
          <w:vertAlign w:val="subscript"/>
        </w:rPr>
        <w:t>2</w:t>
      </w:r>
      <w:r w:rsidRPr="00363B40">
        <w:rPr>
          <w:szCs w:val="24"/>
        </w:rPr>
        <w:t>O</w:t>
      </w:r>
      <w:r w:rsidRPr="00363B40">
        <w:rPr>
          <w:szCs w:val="24"/>
          <w:vertAlign w:val="subscript"/>
        </w:rPr>
        <w:t>3</w:t>
      </w:r>
      <w:r w:rsidRPr="00363B40">
        <w:rPr>
          <w:szCs w:val="24"/>
        </w:rPr>
        <w:t xml:space="preserve"> and NH</w:t>
      </w:r>
      <w:r w:rsidRPr="00363B40">
        <w:rPr>
          <w:szCs w:val="24"/>
          <w:vertAlign w:val="subscript"/>
        </w:rPr>
        <w:t>4</w:t>
      </w:r>
      <w:r w:rsidRPr="00363B40">
        <w:rPr>
          <w:szCs w:val="24"/>
        </w:rPr>
        <w:t>H</w:t>
      </w:r>
      <w:r w:rsidRPr="00363B40">
        <w:rPr>
          <w:szCs w:val="24"/>
          <w:vertAlign w:val="subscript"/>
        </w:rPr>
        <w:t>2</w:t>
      </w:r>
      <w:r w:rsidRPr="00363B40">
        <w:rPr>
          <w:szCs w:val="24"/>
        </w:rPr>
        <w:t>PO</w:t>
      </w:r>
      <w:r w:rsidRPr="00363B40">
        <w:rPr>
          <w:szCs w:val="24"/>
          <w:vertAlign w:val="subscript"/>
        </w:rPr>
        <w:t>4</w:t>
      </w:r>
      <w:r w:rsidR="00363B40">
        <w:rPr>
          <w:szCs w:val="24"/>
          <w:vertAlign w:val="subscript"/>
        </w:rPr>
        <w:t xml:space="preserve"> </w:t>
      </w:r>
      <w:r w:rsidR="00363B40">
        <w:rPr>
          <w:szCs w:val="24"/>
        </w:rPr>
        <w:t xml:space="preserve">via conventional </w:t>
      </w:r>
      <w:r w:rsidR="00552FCC">
        <w:rPr>
          <w:szCs w:val="24"/>
        </w:rPr>
        <w:t>solid-</w:t>
      </w:r>
      <w:r w:rsidR="00363B40" w:rsidRPr="00363B40">
        <w:rPr>
          <w:szCs w:val="24"/>
        </w:rPr>
        <w:t>state</w:t>
      </w:r>
      <w:r w:rsidR="00552FCC">
        <w:rPr>
          <w:szCs w:val="24"/>
        </w:rPr>
        <w:t xml:space="preserve"> reaction</w:t>
      </w:r>
      <w:r w:rsidR="00363B40">
        <w:rPr>
          <w:szCs w:val="24"/>
        </w:rPr>
        <w:t xml:space="preserve"> route</w:t>
      </w:r>
      <w:r w:rsidRPr="00363B40">
        <w:rPr>
          <w:szCs w:val="24"/>
        </w:rPr>
        <w:t xml:space="preserve">. </w:t>
      </w:r>
      <w:r w:rsidR="00E60C58">
        <w:rPr>
          <w:szCs w:val="24"/>
        </w:rPr>
        <w:t xml:space="preserve">The highest </w:t>
      </w:r>
      <w:r w:rsidR="00E60C58" w:rsidRPr="00363B40">
        <w:rPr>
          <w:szCs w:val="24"/>
        </w:rPr>
        <w:t xml:space="preserve">bulk conductivity </w:t>
      </w:r>
      <w:r w:rsidR="00E60C58">
        <w:rPr>
          <w:szCs w:val="24"/>
        </w:rPr>
        <w:t xml:space="preserve">value of </w:t>
      </w:r>
      <w:r w:rsidRPr="00363B40">
        <w:rPr>
          <w:szCs w:val="24"/>
        </w:rPr>
        <w:t>LTAP</w:t>
      </w:r>
      <w:r w:rsidR="00363B40">
        <w:rPr>
          <w:szCs w:val="24"/>
        </w:rPr>
        <w:t xml:space="preserve"> sample</w:t>
      </w:r>
      <w:r w:rsidRPr="00363B40">
        <w:rPr>
          <w:szCs w:val="24"/>
        </w:rPr>
        <w:t xml:space="preserve"> </w:t>
      </w:r>
      <w:r w:rsidR="00E60C58">
        <w:rPr>
          <w:szCs w:val="24"/>
        </w:rPr>
        <w:t>is found to be</w:t>
      </w:r>
      <w:r w:rsidRPr="00363B40">
        <w:rPr>
          <w:szCs w:val="24"/>
        </w:rPr>
        <w:t xml:space="preserve"> ~10</w:t>
      </w:r>
      <w:r w:rsidRPr="00363B40">
        <w:rPr>
          <w:szCs w:val="24"/>
          <w:vertAlign w:val="superscript"/>
        </w:rPr>
        <w:t>-4</w:t>
      </w:r>
      <w:r w:rsidRPr="00363B40">
        <w:rPr>
          <w:szCs w:val="24"/>
        </w:rPr>
        <w:t xml:space="preserve"> S cm</w:t>
      </w:r>
      <w:r w:rsidRPr="00363B40">
        <w:rPr>
          <w:szCs w:val="24"/>
          <w:vertAlign w:val="superscript"/>
        </w:rPr>
        <w:t>-1</w:t>
      </w:r>
      <w:r w:rsidRPr="00363B40">
        <w:rPr>
          <w:szCs w:val="24"/>
        </w:rPr>
        <w:t>. Th</w:t>
      </w:r>
      <w:r w:rsidR="005E5062">
        <w:rPr>
          <w:szCs w:val="24"/>
        </w:rPr>
        <w:t>is</w:t>
      </w:r>
      <w:r w:rsidRPr="00363B40">
        <w:rPr>
          <w:szCs w:val="24"/>
        </w:rPr>
        <w:t xml:space="preserve"> conductivity</w:t>
      </w:r>
      <w:r w:rsidR="00E60C58">
        <w:rPr>
          <w:szCs w:val="24"/>
        </w:rPr>
        <w:t xml:space="preserve"> behaviour</w:t>
      </w:r>
      <w:r w:rsidRPr="00363B40">
        <w:rPr>
          <w:szCs w:val="24"/>
        </w:rPr>
        <w:t xml:space="preserve"> is enhanced when the sample was doped with aluminium</w:t>
      </w:r>
      <w:r w:rsidR="00552FCC">
        <w:rPr>
          <w:szCs w:val="24"/>
        </w:rPr>
        <w:t xml:space="preserve">, </w:t>
      </w:r>
      <w:r w:rsidRPr="00363B40">
        <w:rPr>
          <w:szCs w:val="24"/>
        </w:rPr>
        <w:t>x</w:t>
      </w:r>
      <w:r w:rsidR="004D3365">
        <w:rPr>
          <w:szCs w:val="24"/>
        </w:rPr>
        <w:t xml:space="preserve"> </w:t>
      </w:r>
      <w:r w:rsidRPr="00363B40">
        <w:rPr>
          <w:szCs w:val="24"/>
        </w:rPr>
        <w:t>=</w:t>
      </w:r>
      <w:r w:rsidR="004D3365">
        <w:rPr>
          <w:szCs w:val="24"/>
        </w:rPr>
        <w:t xml:space="preserve"> </w:t>
      </w:r>
      <w:r w:rsidRPr="00363B40">
        <w:rPr>
          <w:szCs w:val="24"/>
        </w:rPr>
        <w:t>0.2</w:t>
      </w:r>
      <w:r w:rsidR="00E60C58">
        <w:rPr>
          <w:szCs w:val="24"/>
        </w:rPr>
        <w:t xml:space="preserve"> and </w:t>
      </w:r>
      <w:r w:rsidRPr="00363B40">
        <w:rPr>
          <w:szCs w:val="24"/>
        </w:rPr>
        <w:t>sintered at 900</w:t>
      </w:r>
      <w:r w:rsidR="00E60C58">
        <w:rPr>
          <w:szCs w:val="24"/>
        </w:rPr>
        <w:t>°</w:t>
      </w:r>
      <w:r w:rsidRPr="00363B40">
        <w:rPr>
          <w:szCs w:val="24"/>
        </w:rPr>
        <w:t>C for 8h.</w:t>
      </w:r>
      <w:r w:rsidR="00E60C58">
        <w:rPr>
          <w:szCs w:val="24"/>
        </w:rPr>
        <w:t xml:space="preserve"> </w:t>
      </w:r>
      <w:r w:rsidR="005E5062">
        <w:rPr>
          <w:szCs w:val="24"/>
        </w:rPr>
        <w:t xml:space="preserve">The XRD </w:t>
      </w:r>
      <w:r w:rsidR="004D3365">
        <w:rPr>
          <w:szCs w:val="24"/>
        </w:rPr>
        <w:t>analysis</w:t>
      </w:r>
      <w:r w:rsidR="005E5062">
        <w:rPr>
          <w:szCs w:val="24"/>
        </w:rPr>
        <w:t xml:space="preserve"> revealed that t</w:t>
      </w:r>
      <w:r w:rsidR="00E60C58">
        <w:rPr>
          <w:szCs w:val="24"/>
        </w:rPr>
        <w:t xml:space="preserve">he crystalline phase of this sample </w:t>
      </w:r>
      <w:r w:rsidR="005E5062">
        <w:rPr>
          <w:szCs w:val="24"/>
        </w:rPr>
        <w:t xml:space="preserve">is dominated by </w:t>
      </w:r>
      <w:r w:rsidR="00E60C58" w:rsidRPr="00363B40">
        <w:rPr>
          <w:szCs w:val="24"/>
        </w:rPr>
        <w:t>Li</w:t>
      </w:r>
      <w:r w:rsidR="00E60C58" w:rsidRPr="00363B40">
        <w:rPr>
          <w:szCs w:val="24"/>
          <w:vertAlign w:val="subscript"/>
        </w:rPr>
        <w:t>1.2</w:t>
      </w:r>
      <w:r w:rsidR="00E60C58" w:rsidRPr="00363B40">
        <w:rPr>
          <w:szCs w:val="24"/>
        </w:rPr>
        <w:t>Ti</w:t>
      </w:r>
      <w:r w:rsidR="00E60C58" w:rsidRPr="00363B40">
        <w:rPr>
          <w:szCs w:val="24"/>
          <w:vertAlign w:val="subscript"/>
        </w:rPr>
        <w:t>1.8</w:t>
      </w:r>
      <w:r w:rsidR="00E60C58" w:rsidRPr="00363B40">
        <w:rPr>
          <w:szCs w:val="24"/>
        </w:rPr>
        <w:t>Al</w:t>
      </w:r>
      <w:r w:rsidR="00E60C58" w:rsidRPr="00363B40">
        <w:rPr>
          <w:szCs w:val="24"/>
          <w:vertAlign w:val="subscript"/>
        </w:rPr>
        <w:t>0.2</w:t>
      </w:r>
      <w:r w:rsidR="00E60C58" w:rsidRPr="00363B40">
        <w:rPr>
          <w:szCs w:val="24"/>
        </w:rPr>
        <w:t>(PO</w:t>
      </w:r>
      <w:r w:rsidR="00E60C58" w:rsidRPr="00363B40">
        <w:rPr>
          <w:szCs w:val="24"/>
          <w:vertAlign w:val="subscript"/>
        </w:rPr>
        <w:t>4</w:t>
      </w:r>
      <w:r w:rsidR="00E60C58" w:rsidRPr="00363B40">
        <w:rPr>
          <w:szCs w:val="24"/>
        </w:rPr>
        <w:t>)</w:t>
      </w:r>
      <w:r w:rsidR="00E60C58" w:rsidRPr="00363B40">
        <w:rPr>
          <w:szCs w:val="24"/>
          <w:vertAlign w:val="subscript"/>
        </w:rPr>
        <w:t>3</w:t>
      </w:r>
      <w:r w:rsidR="005E5062">
        <w:rPr>
          <w:szCs w:val="24"/>
        </w:rPr>
        <w:t xml:space="preserve"> and some impurities. Overall the trend</w:t>
      </w:r>
      <w:r w:rsidR="00552FCC">
        <w:rPr>
          <w:szCs w:val="24"/>
        </w:rPr>
        <w:t>s</w:t>
      </w:r>
      <w:r w:rsidR="005E5062">
        <w:rPr>
          <w:szCs w:val="24"/>
        </w:rPr>
        <w:t xml:space="preserve"> of the data </w:t>
      </w:r>
      <w:r w:rsidR="00552FCC">
        <w:rPr>
          <w:szCs w:val="24"/>
        </w:rPr>
        <w:t>are</w:t>
      </w:r>
      <w:r w:rsidR="005E5062">
        <w:rPr>
          <w:szCs w:val="24"/>
        </w:rPr>
        <w:t xml:space="preserve"> inline with </w:t>
      </w:r>
      <w:r w:rsidR="00552FCC">
        <w:rPr>
          <w:szCs w:val="24"/>
        </w:rPr>
        <w:t xml:space="preserve">the </w:t>
      </w:r>
      <w:r w:rsidR="005E5062">
        <w:rPr>
          <w:szCs w:val="24"/>
        </w:rPr>
        <w:t xml:space="preserve">literature and can be suggested for </w:t>
      </w:r>
      <w:r w:rsidR="008161E9">
        <w:rPr>
          <w:szCs w:val="24"/>
        </w:rPr>
        <w:t>the Li-ion battery application.</w:t>
      </w:r>
    </w:p>
    <w:p w:rsidR="00492E4F" w:rsidRPr="00363B40" w:rsidRDefault="00492E4F" w:rsidP="00F57010">
      <w:pPr>
        <w:overflowPunct w:val="0"/>
        <w:autoSpaceDE w:val="0"/>
        <w:autoSpaceDN w:val="0"/>
        <w:adjustRightInd w:val="0"/>
        <w:ind w:right="20" w:firstLine="709"/>
        <w:jc w:val="both"/>
        <w:rPr>
          <w:szCs w:val="24"/>
        </w:rPr>
      </w:pPr>
    </w:p>
    <w:p w:rsidR="00492E4F" w:rsidRPr="00363B40" w:rsidRDefault="00492E4F" w:rsidP="00492E4F">
      <w:pPr>
        <w:autoSpaceDE w:val="0"/>
        <w:autoSpaceDN w:val="0"/>
        <w:adjustRightInd w:val="0"/>
        <w:spacing w:line="119" w:lineRule="exact"/>
        <w:rPr>
          <w:szCs w:val="24"/>
        </w:rPr>
      </w:pPr>
    </w:p>
    <w:p w:rsidR="00492E4F" w:rsidRPr="00363B40" w:rsidRDefault="00B850E6" w:rsidP="00492E4F">
      <w:pPr>
        <w:autoSpaceDE w:val="0"/>
        <w:autoSpaceDN w:val="0"/>
        <w:adjustRightInd w:val="0"/>
        <w:rPr>
          <w:b/>
          <w:bCs/>
        </w:rPr>
      </w:pPr>
      <w:r w:rsidRPr="00B850E6">
        <w:rPr>
          <w:b/>
          <w:bCs/>
        </w:rPr>
        <w:t xml:space="preserve">Keywords: </w:t>
      </w:r>
      <w:r w:rsidR="000B3B0A" w:rsidRPr="00363B40">
        <w:rPr>
          <w:szCs w:val="24"/>
        </w:rPr>
        <w:t>Li battery,</w:t>
      </w:r>
      <w:r w:rsidR="00552FCC">
        <w:rPr>
          <w:szCs w:val="24"/>
        </w:rPr>
        <w:t xml:space="preserve"> solid electrolyte,</w:t>
      </w:r>
      <w:r w:rsidR="000B3B0A" w:rsidRPr="00363B40">
        <w:rPr>
          <w:szCs w:val="24"/>
        </w:rPr>
        <w:t xml:space="preserve"> solid</w:t>
      </w:r>
      <w:r w:rsidR="00552FCC">
        <w:rPr>
          <w:szCs w:val="24"/>
        </w:rPr>
        <w:t>-</w:t>
      </w:r>
      <w:r w:rsidR="000B3B0A" w:rsidRPr="00363B40">
        <w:rPr>
          <w:szCs w:val="24"/>
        </w:rPr>
        <w:t xml:space="preserve">state </w:t>
      </w:r>
      <w:r w:rsidR="00552FCC">
        <w:rPr>
          <w:szCs w:val="24"/>
        </w:rPr>
        <w:t>reaction</w:t>
      </w:r>
      <w:r w:rsidR="00552FCC" w:rsidRPr="00363B40">
        <w:rPr>
          <w:szCs w:val="24"/>
        </w:rPr>
        <w:t xml:space="preserve"> </w:t>
      </w:r>
      <w:r w:rsidR="000B3B0A" w:rsidRPr="00363B40">
        <w:rPr>
          <w:szCs w:val="24"/>
        </w:rPr>
        <w:t>route, conductivity.</w:t>
      </w:r>
    </w:p>
    <w:p w:rsidR="00336A9D" w:rsidRDefault="00336A9D"/>
    <w:p w:rsidR="00336A9D" w:rsidRDefault="00B850E6">
      <w:pPr>
        <w:rPr>
          <w:b/>
        </w:rPr>
      </w:pPr>
      <w:r w:rsidRPr="00B850E6">
        <w:rPr>
          <w:b/>
        </w:rPr>
        <w:t>INTRODUCTION</w:t>
      </w:r>
    </w:p>
    <w:p w:rsidR="00E66BB0" w:rsidRDefault="00E66BB0" w:rsidP="00F96BD1">
      <w:pPr>
        <w:autoSpaceDE w:val="0"/>
        <w:autoSpaceDN w:val="0"/>
        <w:adjustRightInd w:val="0"/>
        <w:ind w:firstLine="720"/>
        <w:jc w:val="both"/>
      </w:pPr>
    </w:p>
    <w:p w:rsidR="00AC76AB" w:rsidRPr="00363B40" w:rsidRDefault="00AC76AB" w:rsidP="00F96BD1">
      <w:pPr>
        <w:autoSpaceDE w:val="0"/>
        <w:autoSpaceDN w:val="0"/>
        <w:adjustRightInd w:val="0"/>
        <w:ind w:firstLine="720"/>
        <w:jc w:val="both"/>
        <w:rPr>
          <w:szCs w:val="24"/>
        </w:rPr>
      </w:pPr>
      <w:r w:rsidRPr="00363B40">
        <w:rPr>
          <w:szCs w:val="24"/>
        </w:rPr>
        <w:t xml:space="preserve">Li-ion batteries (LIBs) based on solid electrolytes are one of the power sources </w:t>
      </w:r>
      <w:r w:rsidR="00694D0E">
        <w:rPr>
          <w:szCs w:val="24"/>
        </w:rPr>
        <w:t>that have capability to sustain</w:t>
      </w:r>
      <w:r w:rsidRPr="00363B40">
        <w:rPr>
          <w:szCs w:val="24"/>
        </w:rPr>
        <w:t xml:space="preserve"> energy storage </w:t>
      </w:r>
      <w:r w:rsidR="00CD3E55" w:rsidRPr="00363B40">
        <w:rPr>
          <w:szCs w:val="24"/>
        </w:rPr>
        <w:fldChar w:fldCharType="begin" w:fldLock="1"/>
      </w:r>
      <w:r w:rsidR="002A0130" w:rsidRPr="00363B40">
        <w:rPr>
          <w:szCs w:val="24"/>
        </w:rPr>
        <w:instrText>ADDIN CSL_CITATION { "citationItems" : [ { "id" : "ITEM-1", "itemData" : { "DOI" : "10.1021/ic400577v", "ISSN" : "0020-1669", "author" : [ { "dropping-particle" : "", "family" : "Arbi", "given" : "K.", "non-dropping-particle" : "", "parse-names" : false, "suffix" : "" }, { "dropping-particle" : "", "family" : "Hoelzel", "given" : "M.", "non-dropping-particle" : "", "parse-names" : false, "suffix" : "" }, { "dropping-particle" : "", "family" : "Kuhn", "given" : "A.", "non-dropping-particle" : "", "parse-names" : false, "suffix" : "" }, { "dropping-particle" : "", "family" : "Garc\u00eda-Alvarado", "given" : "F.", "non-dropping-particle" : "", "parse-names" : false, "suffix" : "" }, { "dropping-particle" : "", "family" : "Sanz", "given" : "J.", "non-dropping-particle" : "", "parse-names" : false, "suffix" : "" } ], "container-title" : "Inorganic Chemistry", "id" : "ITEM-1", "issue" : "16", "issued" : { "date-parts" : [ [ "2013" ] ] }, "page" : "9290-9296", "title" : "Structural Factors That Enhance Lithium Mobility in Fast-Ion Li &lt;sub&gt; 1+ &lt;i&gt;x&lt;/i&gt; &lt;/sub&gt; Ti &lt;sub&gt; 2\u2013 &lt;i&gt;x&lt;/i&gt; &lt;/sub&gt; Al &lt;sub&gt; &lt;i&gt;x&lt;/i&gt; &lt;/sub&gt; (PO &lt;sub&gt;4&lt;/sub&gt; ) &lt;sub&gt;3&lt;/sub&gt; (0 \u2264 &lt;i&gt;x&lt;/i&gt; \u2264 0.4) Conductors Investigated by Neutron Diffraction in the Temper", "type" : "article-journal", "volume" : "52" }, "uris" : [ "http://www.mendeley.com/documents/?uuid=62d77e7d-88e8-4c46-a196-95ddd9b9950b" ] } ], "mendeley" : { "formattedCitation" : "[1]", "plainTextFormattedCitation" : "[1]", "previouslyFormattedCitation" : "[1]" }, "properties" : { "noteIndex" : 0 }, "schema" : "https://github.com/citation-style-language/schema/raw/master/csl-citation.json" }</w:instrText>
      </w:r>
      <w:r w:rsidR="00CD3E55" w:rsidRPr="00363B40">
        <w:rPr>
          <w:szCs w:val="24"/>
        </w:rPr>
        <w:fldChar w:fldCharType="separate"/>
      </w:r>
      <w:r w:rsidR="00B850E6" w:rsidRPr="00B850E6">
        <w:rPr>
          <w:noProof/>
          <w:szCs w:val="24"/>
        </w:rPr>
        <w:t>[1]</w:t>
      </w:r>
      <w:r w:rsidR="00CD3E55" w:rsidRPr="00363B40">
        <w:rPr>
          <w:szCs w:val="24"/>
        </w:rPr>
        <w:fldChar w:fldCharType="end"/>
      </w:r>
      <w:r w:rsidRPr="00363B40">
        <w:rPr>
          <w:szCs w:val="24"/>
        </w:rPr>
        <w:t xml:space="preserve">. </w:t>
      </w:r>
      <w:r w:rsidR="00694D0E">
        <w:rPr>
          <w:szCs w:val="24"/>
        </w:rPr>
        <w:t>D</w:t>
      </w:r>
      <w:r w:rsidR="00694D0E" w:rsidRPr="00363B40">
        <w:rPr>
          <w:szCs w:val="24"/>
        </w:rPr>
        <w:t>ue to their high energy density</w:t>
      </w:r>
      <w:r w:rsidR="00D904F5">
        <w:rPr>
          <w:szCs w:val="24"/>
        </w:rPr>
        <w:t xml:space="preserve"> storage, </w:t>
      </w:r>
      <w:r w:rsidR="00D904F5" w:rsidRPr="00363B40">
        <w:rPr>
          <w:szCs w:val="24"/>
        </w:rPr>
        <w:t>LIBs</w:t>
      </w:r>
      <w:r w:rsidR="00D904F5" w:rsidRPr="00363B40" w:rsidDel="00D904F5">
        <w:rPr>
          <w:szCs w:val="24"/>
        </w:rPr>
        <w:t xml:space="preserve"> </w:t>
      </w:r>
      <w:r w:rsidR="00D904F5">
        <w:rPr>
          <w:szCs w:val="24"/>
        </w:rPr>
        <w:t>are favored</w:t>
      </w:r>
      <w:r w:rsidRPr="00363B40">
        <w:rPr>
          <w:szCs w:val="24"/>
        </w:rPr>
        <w:t xml:space="preserve"> as energy source </w:t>
      </w:r>
      <w:r w:rsidR="00694D0E">
        <w:rPr>
          <w:szCs w:val="24"/>
        </w:rPr>
        <w:t>in various mobile computers</w:t>
      </w:r>
      <w:r w:rsidR="00D904F5">
        <w:rPr>
          <w:szCs w:val="24"/>
        </w:rPr>
        <w:t xml:space="preserve"> </w:t>
      </w:r>
      <w:r w:rsidR="00B850E6" w:rsidRPr="00B850E6">
        <w:rPr>
          <w:i/>
          <w:szCs w:val="24"/>
        </w:rPr>
        <w:t>i</w:t>
      </w:r>
      <w:r w:rsidR="00D904F5">
        <w:rPr>
          <w:szCs w:val="24"/>
        </w:rPr>
        <w:t>.</w:t>
      </w:r>
      <w:r w:rsidR="00B850E6" w:rsidRPr="00B850E6">
        <w:rPr>
          <w:i/>
          <w:szCs w:val="24"/>
        </w:rPr>
        <w:t>e</w:t>
      </w:r>
      <w:r w:rsidR="00D904F5">
        <w:rPr>
          <w:szCs w:val="24"/>
        </w:rPr>
        <w:t>. laptop, i-pad, mobile phone</w:t>
      </w:r>
      <w:r w:rsidRPr="00363B40">
        <w:rPr>
          <w:szCs w:val="24"/>
        </w:rPr>
        <w:t xml:space="preserve">. </w:t>
      </w:r>
      <w:r w:rsidR="00D904F5">
        <w:rPr>
          <w:szCs w:val="24"/>
        </w:rPr>
        <w:t>Currently</w:t>
      </w:r>
      <w:r w:rsidRPr="00363B40">
        <w:rPr>
          <w:szCs w:val="24"/>
        </w:rPr>
        <w:t>, the rechargeable Li</w:t>
      </w:r>
      <w:r w:rsidR="00D904F5">
        <w:rPr>
          <w:szCs w:val="24"/>
        </w:rPr>
        <w:t>-</w:t>
      </w:r>
      <w:r w:rsidRPr="00363B40">
        <w:rPr>
          <w:szCs w:val="24"/>
        </w:rPr>
        <w:t xml:space="preserve">ion battery has been </w:t>
      </w:r>
      <w:r w:rsidR="00D904F5">
        <w:rPr>
          <w:szCs w:val="24"/>
        </w:rPr>
        <w:t>developed purposely</w:t>
      </w:r>
      <w:r w:rsidR="00D904F5" w:rsidRPr="00363B40">
        <w:rPr>
          <w:szCs w:val="24"/>
        </w:rPr>
        <w:t xml:space="preserve"> </w:t>
      </w:r>
      <w:r w:rsidRPr="00363B40">
        <w:rPr>
          <w:szCs w:val="24"/>
        </w:rPr>
        <w:t>as a power source for electric vehicle and storage device for wind and solar power</w:t>
      </w:r>
      <w:r w:rsidR="00046BEF">
        <w:rPr>
          <w:szCs w:val="24"/>
        </w:rPr>
        <w:t>s</w:t>
      </w:r>
      <w:r w:rsidRPr="00363B40">
        <w:rPr>
          <w:szCs w:val="24"/>
        </w:rPr>
        <w:t xml:space="preserve"> </w:t>
      </w:r>
      <w:r w:rsidR="00CD3E55" w:rsidRPr="00363B40">
        <w:rPr>
          <w:szCs w:val="24"/>
        </w:rPr>
        <w:fldChar w:fldCharType="begin" w:fldLock="1"/>
      </w:r>
      <w:r w:rsidR="002A0130" w:rsidRPr="00363B40">
        <w:rPr>
          <w:szCs w:val="24"/>
        </w:rPr>
        <w:instrText>ADDIN CSL_CITATION { "citationItems" : [ { "id" : "ITEM-1", "itemData" : { "author" : [ { "dropping-particle" : "", "family" : "Kotobuki", "given" : "Masashi", "non-dropping-particle" : "", "parse-names" : false, "suffix" : "" } ], "container-title" : "Psrcentre.Org", "id" : "ITEM-1", "issued" : { "date-parts" : [ [ "2012" ] ] }, "page" : "165-167", "title" : "Preparation of Li-ion conductive ceramics through a sol-gel route", "type" : "article-journal", "volume" : "3" }, "uris" : [ "http://www.mendeley.com/documents/?uuid=83e85dce-7e17-498d-b99c-e8aa53fb65bf" ] } ], "mendeley" : { "formattedCitation" : "[2]", "plainTextFormattedCitation" : "[2]", "previouslyFormattedCitation" : "[2]" }, "properties" : { "noteIndex" : 0 }, "schema" : "https://github.com/citation-style-language/schema/raw/master/csl-citation.json" }</w:instrText>
      </w:r>
      <w:r w:rsidR="00CD3E55" w:rsidRPr="00363B40">
        <w:rPr>
          <w:szCs w:val="24"/>
        </w:rPr>
        <w:fldChar w:fldCharType="separate"/>
      </w:r>
      <w:r w:rsidR="00B850E6" w:rsidRPr="00B850E6">
        <w:rPr>
          <w:noProof/>
          <w:szCs w:val="24"/>
        </w:rPr>
        <w:t>[2]</w:t>
      </w:r>
      <w:r w:rsidR="00CD3E55" w:rsidRPr="00363B40">
        <w:rPr>
          <w:szCs w:val="24"/>
        </w:rPr>
        <w:fldChar w:fldCharType="end"/>
      </w:r>
      <w:r w:rsidRPr="00363B40">
        <w:rPr>
          <w:szCs w:val="24"/>
        </w:rPr>
        <w:t xml:space="preserve">. </w:t>
      </w:r>
      <w:r w:rsidR="00046BEF">
        <w:rPr>
          <w:szCs w:val="24"/>
        </w:rPr>
        <w:t>Most of the</w:t>
      </w:r>
      <w:r w:rsidR="00046BEF" w:rsidRPr="00363B40">
        <w:rPr>
          <w:szCs w:val="24"/>
        </w:rPr>
        <w:t xml:space="preserve"> </w:t>
      </w:r>
      <w:r w:rsidRPr="00363B40">
        <w:rPr>
          <w:szCs w:val="24"/>
        </w:rPr>
        <w:t xml:space="preserve">rechargeable batteries are based on liquid electrolytes </w:t>
      </w:r>
      <w:r w:rsidR="00046BEF">
        <w:rPr>
          <w:szCs w:val="24"/>
        </w:rPr>
        <w:t>that has</w:t>
      </w:r>
      <w:r w:rsidR="00046BEF" w:rsidRPr="00363B40">
        <w:rPr>
          <w:szCs w:val="24"/>
        </w:rPr>
        <w:t xml:space="preserve"> </w:t>
      </w:r>
      <w:r w:rsidRPr="00363B40">
        <w:rPr>
          <w:szCs w:val="24"/>
        </w:rPr>
        <w:t xml:space="preserve">low charge density, low charge-recharge cycle and low conductivity at ambient temperatures </w:t>
      </w:r>
      <w:r w:rsidR="00CD3E55" w:rsidRPr="00363B40">
        <w:rPr>
          <w:szCs w:val="24"/>
        </w:rPr>
        <w:fldChar w:fldCharType="begin" w:fldLock="1"/>
      </w:r>
      <w:r w:rsidR="002A0130" w:rsidRPr="00363B40">
        <w:rPr>
          <w:szCs w:val="24"/>
        </w:rPr>
        <w:instrText>ADDIN CSL_CITATION { "citationItems" : [ { "id" : "ITEM-1", "itemData" : { "DOI" : "10.1179/1753555713Y.0000000085", "ISBN" : "1066-7857", "ISSN" : "1066-7857", "author" : [ { "dropping-particle" : "", "family" : "Feng", "given" : "J K", "non-dropping-particle" : "", "parse-names" : false, "suffix" : "" }, { "dropping-particle" : "", "family" : "Yan", "given" : "B G", "non-dropping-particle" : "", "parse-names" : false, "suffix" : "" }, { "dropping-particle" : "", "family" : "Liu", "given" : "J C", "non-dropping-particle" : "", "parse-names" : false, "suffix" : "" }, { "dropping-particle" : "", "family" : "Lai", "given" : "M O", "non-dropping-particle" : "", "parse-names" : false, "suffix" : "" }, { "dropping-particle" : "", "family" : "Li", "given" : "L", "non-dropping-particle" : "", "parse-names" : false, "suffix" : "" } ], "container-title" : "Materials Technology", "id" : "ITEM-1", "issue" : "5", "issued" : { "date-parts" : [ [ "2013" ] ] }, "page" : "276-279", "title" : "All solid state lithium ion rechargeable batteries using NASICON structured electrolyte", "type" : "article-journal", "volume" : "28" }, "uris" : [ "http://www.mendeley.com/documents/?uuid=238d4b4a-c555-45d3-ab67-1cdcbae8abf8" ] } ], "mendeley" : { "formattedCitation" : "[3]", "plainTextFormattedCitation" : "[3]", "previouslyFormattedCitation" : "[3]" }, "properties" : { "noteIndex" : 0 }, "schema" : "https://github.com/citation-style-language/schema/raw/master/csl-citation.json" }</w:instrText>
      </w:r>
      <w:r w:rsidR="00CD3E55" w:rsidRPr="00363B40">
        <w:rPr>
          <w:szCs w:val="24"/>
        </w:rPr>
        <w:fldChar w:fldCharType="separate"/>
      </w:r>
      <w:r w:rsidR="00B850E6" w:rsidRPr="00B850E6">
        <w:rPr>
          <w:noProof/>
          <w:szCs w:val="24"/>
        </w:rPr>
        <w:t>[3]</w:t>
      </w:r>
      <w:r w:rsidR="00CD3E55" w:rsidRPr="00363B40">
        <w:rPr>
          <w:szCs w:val="24"/>
        </w:rPr>
        <w:fldChar w:fldCharType="end"/>
      </w:r>
      <w:r w:rsidRPr="00363B40">
        <w:rPr>
          <w:szCs w:val="24"/>
        </w:rPr>
        <w:t xml:space="preserve">. </w:t>
      </w:r>
      <w:r w:rsidR="00046BEF">
        <w:rPr>
          <w:szCs w:val="24"/>
        </w:rPr>
        <w:t>However, t</w:t>
      </w:r>
      <w:r w:rsidRPr="00363B40">
        <w:rPr>
          <w:szCs w:val="24"/>
        </w:rPr>
        <w:t xml:space="preserve">hese electrolytes have some major </w:t>
      </w:r>
      <w:r w:rsidR="00046BEF">
        <w:rPr>
          <w:szCs w:val="24"/>
        </w:rPr>
        <w:t>drawbacks</w:t>
      </w:r>
      <w:r w:rsidR="00046BEF" w:rsidRPr="00363B40">
        <w:rPr>
          <w:szCs w:val="24"/>
        </w:rPr>
        <w:t xml:space="preserve"> </w:t>
      </w:r>
      <w:r w:rsidRPr="00363B40">
        <w:rPr>
          <w:szCs w:val="24"/>
        </w:rPr>
        <w:t>such as limited temperature range of operation</w:t>
      </w:r>
      <w:r w:rsidR="00046BEF">
        <w:rPr>
          <w:szCs w:val="24"/>
        </w:rPr>
        <w:t xml:space="preserve"> and </w:t>
      </w:r>
      <w:r w:rsidRPr="00363B40">
        <w:rPr>
          <w:szCs w:val="24"/>
        </w:rPr>
        <w:t xml:space="preserve"> device failure due to</w:t>
      </w:r>
      <w:r w:rsidR="00657F14">
        <w:rPr>
          <w:szCs w:val="24"/>
        </w:rPr>
        <w:t xml:space="preserve"> the</w:t>
      </w:r>
      <w:r w:rsidR="00657F14" w:rsidRPr="00363B40">
        <w:rPr>
          <w:szCs w:val="24"/>
        </w:rPr>
        <w:t xml:space="preserve"> </w:t>
      </w:r>
      <w:r w:rsidR="00657F14">
        <w:rPr>
          <w:szCs w:val="24"/>
        </w:rPr>
        <w:t xml:space="preserve">electrode </w:t>
      </w:r>
      <w:r w:rsidRPr="00363B40">
        <w:rPr>
          <w:szCs w:val="24"/>
        </w:rPr>
        <w:t>corrosion</w:t>
      </w:r>
      <w:r w:rsidR="00657F14">
        <w:rPr>
          <w:szCs w:val="24"/>
        </w:rPr>
        <w:t xml:space="preserve"> effect</w:t>
      </w:r>
      <w:r w:rsidRPr="00363B40">
        <w:rPr>
          <w:szCs w:val="24"/>
        </w:rPr>
        <w:t xml:space="preserve"> by </w:t>
      </w:r>
      <w:r w:rsidR="00657F14">
        <w:rPr>
          <w:szCs w:val="24"/>
        </w:rPr>
        <w:t xml:space="preserve">the </w:t>
      </w:r>
      <w:r w:rsidRPr="00363B40">
        <w:rPr>
          <w:szCs w:val="24"/>
        </w:rPr>
        <w:t xml:space="preserve">electrolyte solution. In this respect, the replacement of organic liquid electrolytes with inorganic solid electrolytes (SEs) is required to overcome these disadvantages </w:t>
      </w:r>
      <w:r w:rsidR="00CD3E55" w:rsidRPr="00363B40">
        <w:rPr>
          <w:szCs w:val="24"/>
        </w:rPr>
        <w:fldChar w:fldCharType="begin" w:fldLock="1"/>
      </w:r>
      <w:r w:rsidR="002A0130" w:rsidRPr="00363B40">
        <w:rPr>
          <w:szCs w:val="24"/>
        </w:rPr>
        <w:instrText>ADDIN CSL_CITATION { "citationItems" : [ { "id" : "ITEM-1", "itemData" : { "DOI" : "10.3389/fenrg.2014.00025", "ISSN" : "2296-598X", "author" : [ { "dropping-particle" : "", "family" : "Cao", "given" : "Can", "non-dropping-particle" : "", "parse-names" : false, "suffix" : "" }, { "dropping-particle" : "", "family" : "Li", "given" : "Zhuo-bin", "non-dropping-particle" : "", "parse-names" : false, "suffix" : "" }, { "dropping-particle" : "", "family" : "Wang", "given" : "Xiao-liang", "non-dropping-particle" : "", "parse-names" : false, "suffix" : "" }, { "dropping-particle" : "", "family" : "Zhao", "given" : "Xin-bing", "non-dropping-particle" : "", "parse-names" : false, "suffix" : "" }, { "dropping-particle" : "", "family" : "Han", "given" : "Wei-qiang", "non-dropping-particle" : "", "parse-names" : false, "suffix" : "" } ], "id" : "ITEM-1", "issue" : "June", "issued" : { "date-parts" : [ [ "2014" ] ] }, "page" : "1-10", "title" : "Recent advances in inorganic solid electrolytes for lithium batteries", "type" : "article-journal", "volume" : "2" }, "uris" : [ "http://www.mendeley.com/documents/?uuid=d362c3c7-3f60-4034-b37c-0cd2e6124bea" ] } ], "mendeley" : { "formattedCitation" : "[4]", "plainTextFormattedCitation" : "[4]", "previouslyFormattedCitation" : "[4]" }, "properties" : { "noteIndex" : 0 }, "schema" : "https://github.com/citation-style-language/schema/raw/master/csl-citation.json" }</w:instrText>
      </w:r>
      <w:r w:rsidR="00CD3E55" w:rsidRPr="00363B40">
        <w:rPr>
          <w:szCs w:val="24"/>
        </w:rPr>
        <w:fldChar w:fldCharType="separate"/>
      </w:r>
      <w:r w:rsidR="00B850E6" w:rsidRPr="00B850E6">
        <w:rPr>
          <w:noProof/>
          <w:szCs w:val="24"/>
        </w:rPr>
        <w:t>[4]</w:t>
      </w:r>
      <w:r w:rsidR="00CD3E55" w:rsidRPr="00363B40">
        <w:rPr>
          <w:szCs w:val="24"/>
        </w:rPr>
        <w:fldChar w:fldCharType="end"/>
      </w:r>
      <w:r w:rsidRPr="00363B40">
        <w:rPr>
          <w:szCs w:val="24"/>
        </w:rPr>
        <w:t>.</w:t>
      </w:r>
    </w:p>
    <w:p w:rsidR="00AC76AB" w:rsidRPr="00363B40" w:rsidRDefault="00657F14" w:rsidP="00F96BD1">
      <w:pPr>
        <w:autoSpaceDE w:val="0"/>
        <w:autoSpaceDN w:val="0"/>
        <w:adjustRightInd w:val="0"/>
        <w:ind w:firstLine="720"/>
        <w:jc w:val="both"/>
        <w:rPr>
          <w:szCs w:val="24"/>
        </w:rPr>
      </w:pPr>
      <w:r>
        <w:rPr>
          <w:szCs w:val="24"/>
        </w:rPr>
        <w:t>S</w:t>
      </w:r>
      <w:r w:rsidR="00AC76AB" w:rsidRPr="00363B40">
        <w:rPr>
          <w:szCs w:val="24"/>
        </w:rPr>
        <w:t xml:space="preserve">olid electrolytes (or super ionic conductors) offer the opportunity to produce highly efficient electrolytes materials. These needs to meet several requirements, including high ionic conductivity, high lithium ion transference number, wide electrochemical window, low electronic conductivity, low interfacial resistance, high stability during fabrication, moderate mechanical properties, low cost, </w:t>
      </w:r>
      <w:r w:rsidR="00AC76AB" w:rsidRPr="00363B40">
        <w:rPr>
          <w:szCs w:val="24"/>
        </w:rPr>
        <w:lastRenderedPageBreak/>
        <w:t xml:space="preserve">nontoxic and easy handling </w:t>
      </w:r>
      <w:r w:rsidR="00CD3E55" w:rsidRPr="00363B40">
        <w:rPr>
          <w:szCs w:val="24"/>
        </w:rPr>
        <w:fldChar w:fldCharType="begin" w:fldLock="1"/>
      </w:r>
      <w:r w:rsidR="002A0130" w:rsidRPr="00363B40">
        <w:rPr>
          <w:szCs w:val="24"/>
        </w:rPr>
        <w:instrText>ADDIN CSL_CITATION { "citationItems" : [ { "id" : "ITEM-1", "itemData" : { "DOI" : "10.1016/j.ssi.2014.10.004", "ISSN" : "0167-2738", "author" : [ { "dropping-particle" : "", "family" : "Wang", "given" : "Shaofei", "non-dropping-particle" : "", "parse-names" : false, "suffix" : "" }, { "dropping-particle" : "", "family" : "Ben", "given" : "Liubin", "non-dropping-particle" : "", "parse-names" : false, "suffix" : "" }, { "dropping-particle" : "", "family" : "Li", "given" : "Hong", "non-dropping-particle" : "", "parse-names" : false, "suffix" : "" }, { "dropping-particle" : "", "family" : "Chen", "given" : "Liquan", "non-dropping-particle" : "", "parse-names" : false, "suffix" : "" } ], "container-title" : "Solid State Ionics", "id" : "ITEM-1", "issued" : { "date-parts" : [ [ "2014" ] ] }, "page" : "110-116", "publisher" : "Elsevier B.V.", "title" : "Identifying Li+ ion transport properties of aluminum doped lithium titanium phosphate solid electrolyte at wide temperature range", "type" : "article-journal", "volume" : "268" }, "uris" : [ "http://www.mendeley.com/documents/?uuid=55255673-3158-4cd6-a8c1-d393289e92d5" ] } ], "mendeley" : { "formattedCitation" : "[5]", "plainTextFormattedCitation" : "[5]", "previouslyFormattedCitation" : "[5]" }, "properties" : { "noteIndex" : 0 }, "schema" : "https://github.com/citation-style-language/schema/raw/master/csl-citation.json" }</w:instrText>
      </w:r>
      <w:r w:rsidR="00CD3E55" w:rsidRPr="00363B40">
        <w:rPr>
          <w:szCs w:val="24"/>
        </w:rPr>
        <w:fldChar w:fldCharType="separate"/>
      </w:r>
      <w:r w:rsidR="00B850E6" w:rsidRPr="00B850E6">
        <w:rPr>
          <w:noProof/>
          <w:szCs w:val="24"/>
        </w:rPr>
        <w:t>[5]</w:t>
      </w:r>
      <w:r w:rsidR="00CD3E55" w:rsidRPr="00363B40">
        <w:rPr>
          <w:szCs w:val="24"/>
        </w:rPr>
        <w:fldChar w:fldCharType="end"/>
      </w:r>
      <w:r w:rsidR="00AC76AB" w:rsidRPr="00363B40">
        <w:rPr>
          <w:szCs w:val="24"/>
        </w:rPr>
        <w:t>.</w:t>
      </w:r>
    </w:p>
    <w:p w:rsidR="00AC76AB" w:rsidRPr="00363B40" w:rsidRDefault="00AC76AB" w:rsidP="00F96BD1">
      <w:pPr>
        <w:autoSpaceDE w:val="0"/>
        <w:autoSpaceDN w:val="0"/>
        <w:adjustRightInd w:val="0"/>
        <w:ind w:firstLine="720"/>
        <w:jc w:val="both"/>
        <w:rPr>
          <w:szCs w:val="24"/>
        </w:rPr>
      </w:pPr>
      <w:r w:rsidRPr="00363B40">
        <w:rPr>
          <w:szCs w:val="24"/>
        </w:rPr>
        <w:t>LTAP solid electrolytes is a member of Li ion conductive ceramics with NASICON (Na super ion conductor) type structure. Its Li ion conductivity was reported around  10</w:t>
      </w:r>
      <w:r w:rsidRPr="00363B40">
        <w:rPr>
          <w:szCs w:val="24"/>
          <w:vertAlign w:val="superscript"/>
        </w:rPr>
        <w:t>-3</w:t>
      </w:r>
      <w:r w:rsidRPr="00363B40">
        <w:rPr>
          <w:szCs w:val="24"/>
        </w:rPr>
        <w:t xml:space="preserve"> S cm</w:t>
      </w:r>
      <w:r w:rsidRPr="00363B40">
        <w:rPr>
          <w:szCs w:val="24"/>
          <w:vertAlign w:val="superscript"/>
        </w:rPr>
        <w:t>-1</w:t>
      </w:r>
      <w:r w:rsidRPr="00363B40">
        <w:rPr>
          <w:szCs w:val="24"/>
        </w:rPr>
        <w:t xml:space="preserve"> </w:t>
      </w:r>
      <w:r w:rsidR="00CD3E55" w:rsidRPr="00363B40">
        <w:rPr>
          <w:szCs w:val="24"/>
        </w:rPr>
        <w:fldChar w:fldCharType="begin" w:fldLock="1"/>
      </w:r>
      <w:r w:rsidR="002A0130" w:rsidRPr="00363B40">
        <w:rPr>
          <w:szCs w:val="24"/>
        </w:rPr>
        <w:instrText>ADDIN CSL_CITATION { "citationItems" : [ { "id" : "ITEM-1", "itemData" : { "DOI" : "10.1016/j.ssi.2014.10.004", "ISSN" : "0167-2738", "author" : [ { "dropping-particle" : "", "family" : "Wang", "given" : "Shaofei", "non-dropping-particle" : "", "parse-names" : false, "suffix" : "" }, { "dropping-particle" : "", "family" : "Ben", "given" : "Liubin", "non-dropping-particle" : "", "parse-names" : false, "suffix" : "" }, { "dropping-particle" : "", "family" : "Li", "given" : "Hong", "non-dropping-particle" : "", "parse-names" : false, "suffix" : "" }, { "dropping-particle" : "", "family" : "Chen", "given" : "Liquan", "non-dropping-particle" : "", "parse-names" : false, "suffix" : "" } ], "container-title" : "Solid State Ionics", "id" : "ITEM-1", "issued" : { "date-parts" : [ [ "2014" ] ] }, "page" : "110-116", "publisher" : "Elsevier B.V.", "title" : "Identifying Li+ ion transport properties of aluminum doped lithium titanium phosphate solid electrolyte at wide temperature range", "type" : "article-journal", "volume" : "268" }, "uris" : [ "http://www.mendeley.com/documents/?uuid=d0d3e3e1-d9e7-480c-ae32-8b3baf94d871" ] } ], "mendeley" : { "formattedCitation" : "[5]", "manualFormatting" : "[5", "plainTextFormattedCitation" : "[5]", "previouslyFormattedCitation" : "[5]" }, "properties" : { "noteIndex" : 0 }, "schema" : "https://github.com/citation-style-language/schema/raw/master/csl-citation.json" }</w:instrText>
      </w:r>
      <w:r w:rsidR="00CD3E55" w:rsidRPr="00363B40">
        <w:rPr>
          <w:szCs w:val="24"/>
        </w:rPr>
        <w:fldChar w:fldCharType="separate"/>
      </w:r>
      <w:r w:rsidR="00B850E6" w:rsidRPr="00B850E6">
        <w:rPr>
          <w:noProof/>
          <w:szCs w:val="24"/>
        </w:rPr>
        <w:t>[5</w:t>
      </w:r>
      <w:r w:rsidR="00CD3E55" w:rsidRPr="00363B40">
        <w:rPr>
          <w:szCs w:val="24"/>
        </w:rPr>
        <w:fldChar w:fldCharType="end"/>
      </w:r>
      <w:r w:rsidRPr="00363B40">
        <w:rPr>
          <w:szCs w:val="24"/>
        </w:rPr>
        <w:t>,</w:t>
      </w:r>
      <w:r w:rsidR="00C47606" w:rsidRPr="00363B40">
        <w:rPr>
          <w:szCs w:val="24"/>
        </w:rPr>
        <w:t xml:space="preserve"> </w:t>
      </w:r>
      <w:r w:rsidR="00CD3E55" w:rsidRPr="00363B40">
        <w:rPr>
          <w:szCs w:val="24"/>
        </w:rPr>
        <w:fldChar w:fldCharType="begin" w:fldLock="1"/>
      </w:r>
      <w:r w:rsidR="002A0130" w:rsidRPr="00363B40">
        <w:rPr>
          <w:szCs w:val="24"/>
        </w:rPr>
        <w:instrText>ADDIN CSL_CITATION { "citationItems" : [ { "id" : "ITEM-1", "itemData" : { "DOI" : "10.1016/j.jeurceramsoc.2014.11.023", "ISSN" : "09552219", "author" : [ { "dropping-particle" : "", "family" : "Arbi", "given" : "K.", "non-dropping-particle" : "", "parse-names" : false, "suffix" : "" }, { "dropping-particle" : "", "family" : "Bucheli", "given" : "W.", "non-dropping-particle" : "", "parse-names" : false, "suffix" : "" }, { "dropping-particle" : "", "family" : "Jim\u00e9nez", "given" : "R.", "non-dropping-particle" : "", "parse-names" : false, "suffix" : "" }, { "dropping-particle" : "", "family" : "Sanz", "given" : "J.", "non-dropping-particle" : "", "parse-names" : false, "suffix" : "" } ], "container-title" : "Journal of the European Ceramic Society", "id" : "ITEM-1", "issue" : "5", "issued" : { "date-parts" : [ [ "2015" ] ] }, "page" : "1477-1484", "publisher" : "Elsevier Ltd", "title" : "High lithium ion conducting solid electrolytes based on NASICON Li1+xAlxM2\u2212x(PO4)3 materials (M=Ti, Ge and 0\u2264x\u22640.5)", "type" : "article-journal", "volume" : "35" }, "uris" : [ "http://www.mendeley.com/documents/?uuid=d83647af-f53b-4580-95ad-af97603fe7e9" ] } ], "mendeley" : { "formattedCitation" : "[6]", "manualFormatting" : "6]", "plainTextFormattedCitation" : "[6]", "previouslyFormattedCitation" : "[6]" }, "properties" : { "noteIndex" : 0 }, "schema" : "https://github.com/citation-style-language/schema/raw/master/csl-citation.json" }</w:instrText>
      </w:r>
      <w:r w:rsidR="00CD3E55" w:rsidRPr="00363B40">
        <w:rPr>
          <w:szCs w:val="24"/>
        </w:rPr>
        <w:fldChar w:fldCharType="separate"/>
      </w:r>
      <w:r w:rsidR="00B850E6" w:rsidRPr="00B850E6">
        <w:rPr>
          <w:noProof/>
          <w:szCs w:val="24"/>
        </w:rPr>
        <w:t>6]</w:t>
      </w:r>
      <w:r w:rsidR="00CD3E55" w:rsidRPr="00363B40">
        <w:rPr>
          <w:szCs w:val="24"/>
        </w:rPr>
        <w:fldChar w:fldCharType="end"/>
      </w:r>
      <w:r w:rsidRPr="00363B40">
        <w:rPr>
          <w:color w:val="FF0000"/>
          <w:szCs w:val="24"/>
        </w:rPr>
        <w:t xml:space="preserve"> </w:t>
      </w:r>
      <w:r w:rsidRPr="00363B40">
        <w:rPr>
          <w:szCs w:val="24"/>
        </w:rPr>
        <w:t>which is quite similar to the organic electrolyte currently used in commercial Li ion batteries. Therefore, the</w:t>
      </w:r>
      <w:r w:rsidR="00657F14">
        <w:rPr>
          <w:szCs w:val="24"/>
        </w:rPr>
        <w:t xml:space="preserve"> fabrication of</w:t>
      </w:r>
      <w:r w:rsidRPr="00363B40">
        <w:rPr>
          <w:szCs w:val="24"/>
        </w:rPr>
        <w:t xml:space="preserve"> LTAP solid electrolyte</w:t>
      </w:r>
      <w:r w:rsidR="00657F14">
        <w:rPr>
          <w:szCs w:val="24"/>
        </w:rPr>
        <w:t xml:space="preserve"> as all-solid-state Li-</w:t>
      </w:r>
      <w:r w:rsidR="00657F14" w:rsidRPr="00363B40">
        <w:rPr>
          <w:szCs w:val="24"/>
        </w:rPr>
        <w:t xml:space="preserve">ion battery </w:t>
      </w:r>
      <w:r w:rsidRPr="00363B40">
        <w:rPr>
          <w:szCs w:val="24"/>
        </w:rPr>
        <w:t xml:space="preserve">has </w:t>
      </w:r>
      <w:r w:rsidR="00657F14">
        <w:rPr>
          <w:szCs w:val="24"/>
        </w:rPr>
        <w:t xml:space="preserve">attacts </w:t>
      </w:r>
      <w:r w:rsidRPr="00363B40">
        <w:rPr>
          <w:szCs w:val="24"/>
        </w:rPr>
        <w:t>attention</w:t>
      </w:r>
      <w:r w:rsidR="00657F14">
        <w:rPr>
          <w:szCs w:val="24"/>
        </w:rPr>
        <w:t xml:space="preserve"> of many researchers and industries</w:t>
      </w:r>
      <w:r w:rsidRPr="00363B40">
        <w:rPr>
          <w:szCs w:val="24"/>
        </w:rPr>
        <w:t>. LTAP preparation has been performed by a</w:t>
      </w:r>
      <w:r w:rsidR="00516D33">
        <w:rPr>
          <w:szCs w:val="24"/>
        </w:rPr>
        <w:t xml:space="preserve"> complex</w:t>
      </w:r>
      <w:r w:rsidRPr="00363B40">
        <w:rPr>
          <w:szCs w:val="24"/>
        </w:rPr>
        <w:t xml:space="preserve"> sol-gel and spark plasma</w:t>
      </w:r>
      <w:r w:rsidR="001E6E70" w:rsidRPr="00363B40">
        <w:rPr>
          <w:szCs w:val="24"/>
        </w:rPr>
        <w:t xml:space="preserve"> sintering</w:t>
      </w:r>
      <w:r w:rsidRPr="00363B40">
        <w:rPr>
          <w:szCs w:val="24"/>
        </w:rPr>
        <w:t xml:space="preserve"> methods </w:t>
      </w:r>
      <w:r w:rsidR="00CD3E55" w:rsidRPr="00363B40">
        <w:rPr>
          <w:szCs w:val="24"/>
        </w:rPr>
        <w:fldChar w:fldCharType="begin" w:fldLock="1"/>
      </w:r>
      <w:r w:rsidR="002A0130" w:rsidRPr="00363B40">
        <w:rPr>
          <w:szCs w:val="24"/>
        </w:rPr>
        <w:instrText>ADDIN CSL_CITATION { "citationItems" : [ { "id" : "ITEM-1", "itemData" : { "author" : [ { "dropping-particle" : "", "family" : "Kotobuki", "given" : "Masashi", "non-dropping-particle" : "", "parse-names" : false, "suffix" : "" } ], "container-title" : "Psrcentre.Org", "id" : "ITEM-1", "issued" : { "date-parts" : [ [ "2012" ] ] }, "page" : "165-167", "title" : "Preparation of Li-ion conductive ceramics through a sol-gel route", "type" : "article-journal", "volume" : "3" }, "uris" : [ "http://www.mendeley.com/documents/?uuid=83e85dce-7e17-498d-b99c-e8aa53fb65bf" ] } ], "mendeley" : { "formattedCitation" : "[2]", "manualFormatting" : "[2", "plainTextFormattedCitation" : "[2]", "previouslyFormattedCitation" : "[2]" }, "properties" : { "noteIndex" : 0 }, "schema" : "https://github.com/citation-style-language/schema/raw/master/csl-citation.json" }</w:instrText>
      </w:r>
      <w:r w:rsidR="00CD3E55" w:rsidRPr="00363B40">
        <w:rPr>
          <w:szCs w:val="24"/>
        </w:rPr>
        <w:fldChar w:fldCharType="separate"/>
      </w:r>
      <w:r w:rsidR="00B850E6" w:rsidRPr="00B850E6">
        <w:rPr>
          <w:noProof/>
          <w:szCs w:val="24"/>
        </w:rPr>
        <w:t>[2</w:t>
      </w:r>
      <w:r w:rsidR="00CD3E55" w:rsidRPr="00363B40">
        <w:rPr>
          <w:szCs w:val="24"/>
        </w:rPr>
        <w:fldChar w:fldCharType="end"/>
      </w:r>
      <w:r w:rsidR="00CD3E55" w:rsidRPr="00363B40">
        <w:rPr>
          <w:szCs w:val="24"/>
        </w:rPr>
        <w:fldChar w:fldCharType="begin" w:fldLock="1"/>
      </w:r>
      <w:r w:rsidR="0095385A">
        <w:rPr>
          <w:szCs w:val="24"/>
        </w:rPr>
        <w:instrText>ADDIN CSL_CITATION { "citationItems" : [ { "id" : "ITEM-1", "itemData" : { "DOI" : "10.1016/j.jallcom.2015.08.126", "ISSN" : "09258388", "author" : [ { "dropping-particle" : "", "family" : "P\u00e9rez-Est\u00e9banez", "given" : "M.", "non-dropping-particle" : "", "parse-names" : false, "suffix" : "" }, { "dropping-particle" : "", "family" : "Isasi-Mar\u00edn", "given" : "J.", "non-dropping-particle" : "", "parse-names" : false, "suffix" : "" }, { "dropping-particle" : "", "family" : "Rivera-Calzada", "given" : "a.", "non-dropping-particle" : "", "parse-names" : false, "suffix" : "" }, { "dropping-particle" : "", "family" : "Le\u00f3n", "given" : "C.", "non-dropping-particle" : "", "parse-names" : false, "suffix" : "" }, { "dropping-particle" : "", "family" : "Nygren", "given" : "M.", "non-dropping-particle" : "", "parse-names" : false, "suffix" : "" } ], "container-title" : "Journal of Alloys and Compounds", "id" : "ITEM-1", "issued" : { "date-parts" : [ [ "2015" ] ] }, "page" : "636-642", "publisher" : "Elsevier Ltd", "title" : "Spark plasma versus conventional sintering in the electrical properties of Nasicon-type materials", "type" : "article-journal", "volume" : "651" }, "uris" : [ "http://www.mendeley.com/documents/?uuid=b4e0eea1-92f6-43c8-b31d-1b6d04000698" ] } ], "mendeley" : { "formattedCitation" : "[7]", "manualFormatting" : ", 7]", "plainTextFormattedCitation" : "[7]", "previouslyFormattedCitation" : "[7]" }, "properties" : { "noteIndex" : 0 }, "schema" : "https://github.com/citation-style-language/schema/raw/master/csl-citation.json" }</w:instrText>
      </w:r>
      <w:r w:rsidR="00CD3E55" w:rsidRPr="00363B40">
        <w:rPr>
          <w:szCs w:val="24"/>
        </w:rPr>
        <w:fldChar w:fldCharType="separate"/>
      </w:r>
      <w:r w:rsidR="00B850E6" w:rsidRPr="00B850E6">
        <w:rPr>
          <w:noProof/>
          <w:szCs w:val="24"/>
        </w:rPr>
        <w:t>, 7]</w:t>
      </w:r>
      <w:r w:rsidR="00CD3E55" w:rsidRPr="00363B40">
        <w:rPr>
          <w:szCs w:val="24"/>
        </w:rPr>
        <w:fldChar w:fldCharType="end"/>
      </w:r>
      <w:r w:rsidR="001E6E70" w:rsidRPr="00363B40">
        <w:rPr>
          <w:szCs w:val="24"/>
        </w:rPr>
        <w:t>.</w:t>
      </w:r>
      <w:r w:rsidRPr="00363B40">
        <w:rPr>
          <w:color w:val="FF0000"/>
          <w:szCs w:val="24"/>
        </w:rPr>
        <w:t xml:space="preserve"> </w:t>
      </w:r>
      <w:r w:rsidRPr="00363B40">
        <w:rPr>
          <w:szCs w:val="24"/>
        </w:rPr>
        <w:t xml:space="preserve">Conventional solid state reaction method required high </w:t>
      </w:r>
      <w:r w:rsidR="001E6E70" w:rsidRPr="00363B40">
        <w:rPr>
          <w:szCs w:val="24"/>
        </w:rPr>
        <w:t xml:space="preserve">temperature </w:t>
      </w:r>
      <w:r w:rsidR="00516D33">
        <w:rPr>
          <w:szCs w:val="24"/>
        </w:rPr>
        <w:t>compared to</w:t>
      </w:r>
      <w:r w:rsidRPr="00363B40">
        <w:rPr>
          <w:szCs w:val="24"/>
        </w:rPr>
        <w:t xml:space="preserve"> sol-gel and spark plasma sintering method</w:t>
      </w:r>
      <w:r w:rsidR="00516D33">
        <w:rPr>
          <w:szCs w:val="24"/>
        </w:rPr>
        <w:t>s, which</w:t>
      </w:r>
      <w:r w:rsidRPr="00363B40">
        <w:rPr>
          <w:szCs w:val="24"/>
        </w:rPr>
        <w:t xml:space="preserve"> allows </w:t>
      </w:r>
      <w:r w:rsidR="00516D33">
        <w:rPr>
          <w:szCs w:val="24"/>
        </w:rPr>
        <w:t>the preparation of</w:t>
      </w:r>
      <w:r w:rsidRPr="00363B40">
        <w:rPr>
          <w:szCs w:val="24"/>
        </w:rPr>
        <w:t xml:space="preserve"> inorganic materials at low temperature </w:t>
      </w:r>
      <w:r w:rsidR="00CD3E55" w:rsidRPr="00363B40">
        <w:rPr>
          <w:szCs w:val="24"/>
        </w:rPr>
        <w:fldChar w:fldCharType="begin" w:fldLock="1"/>
      </w:r>
      <w:r w:rsidR="0095385A">
        <w:rPr>
          <w:szCs w:val="24"/>
        </w:rPr>
        <w:instrText>ADDIN CSL_CITATION { "citationItems" : [ { "id" : "ITEM-1", "itemData" : { "DOI" : "10.1016/j.actamat.2012.10.034", "ISBN" : "1359-6454", "ISSN" : "13596454", "PMID" : "23379681", "abstract" : "The development of lithium-ion batteries has energized studies of solid-state batteries, because the non-flammability of their solid electrolytes offers a fundamental solution to safety concerns. Since poor ionic conduction in solid electrolytes is a major drawback in solid-state batteries, such studies have been focused on the enhancement of ionic conductivity. The studies have identified some high performance solid electrolytes; however, some disadvantages have remained hidden until their use in batteries. This paper reviews the development of solid electrolytes and their application to solid-state lithium batteries. ?? 2012 Acta Materialia Inc. Published by Elsevier Ltd. All rights reserved.", "author" : [ { "dropping-particle" : "", "family" : "Takada", "given" : "Kazunori", "non-dropping-particle" : "", "parse-names" : false, "suffix" : "" } ], "container-title" : "Acta Materialia", "id" : "ITEM-1", "issue" : "3", "issued" : { "date-parts" : [ [ "2013" ] ] }, "page" : "759-770", "publisher" : "Acta Materialia Inc.", "title" : "Progress and prospective of solid-state lithium batteries", "type" : "article-journal", "volume" : "61" }, "uris" : [ "http://www.mendeley.com/documents/?uuid=0911bbef-ccce-4777-a4f5-5459f7ce00df" ] } ], "mendeley" : { "formattedCitation" : "[8]", "manualFormatting" : "[2, 8", "plainTextFormattedCitation" : "[8]", "previouslyFormattedCitation" : "[8]" }, "properties" : { "noteIndex" : 0 }, "schema" : "https://github.com/citation-style-language/schema/raw/master/csl-citation.json" }</w:instrText>
      </w:r>
      <w:r w:rsidR="00CD3E55" w:rsidRPr="00363B40">
        <w:rPr>
          <w:szCs w:val="24"/>
        </w:rPr>
        <w:fldChar w:fldCharType="separate"/>
      </w:r>
      <w:r w:rsidR="00B850E6" w:rsidRPr="00B850E6">
        <w:rPr>
          <w:noProof/>
          <w:szCs w:val="24"/>
        </w:rPr>
        <w:t>[2, 8</w:t>
      </w:r>
      <w:r w:rsidR="00CD3E55" w:rsidRPr="00363B40">
        <w:rPr>
          <w:szCs w:val="24"/>
        </w:rPr>
        <w:fldChar w:fldCharType="end"/>
      </w:r>
      <w:r w:rsidR="00C47606" w:rsidRPr="00363B40">
        <w:rPr>
          <w:szCs w:val="24"/>
        </w:rPr>
        <w:t xml:space="preserve"> &amp;</w:t>
      </w:r>
      <w:r w:rsidR="00CD3E55" w:rsidRPr="00363B40">
        <w:rPr>
          <w:szCs w:val="24"/>
        </w:rPr>
        <w:fldChar w:fldCharType="begin" w:fldLock="1"/>
      </w:r>
      <w:r w:rsidR="0095385A">
        <w:rPr>
          <w:szCs w:val="24"/>
        </w:rPr>
        <w:instrText>ADDIN CSL_CITATION { "citationItems" : [ { "id" : "ITEM-1", "itemData" : { "DOI" : "10.1016/j.actamat.2012.10.034", "ISBN" : "1359-6454", "ISSN" : "13596454", "PMID" : "23379681", "abstract" : "The development of lithium-ion batteries has energized studies of solid-state batteries, because the non-flammability of their solid electrolytes offers a fundamental solution to safety concerns. Since poor ionic conduction in solid electrolytes is a major drawback in solid-state batteries, such studies have been focused on the enhancement of ionic conductivity. The studies have identified some high performance solid electrolytes; however, some disadvantages have remained hidden until their use in batteries. This paper reviews the development of solid electrolytes and their application to solid-state lithium batteries. ?? 2012 Acta Materialia Inc. Published by Elsevier Ltd. All rights reserved.", "author" : [ { "dropping-particle" : "", "family" : "Takada", "given" : "Kazunori", "non-dropping-particle" : "", "parse-names" : false, "suffix" : "" } ], "container-title" : "Acta Materialia", "id" : "ITEM-1", "issue" : "3", "issued" : { "date-parts" : [ [ "2013" ] ] }, "page" : "759-770", "publisher" : "Acta Materialia Inc.", "title" : "Progress and prospective of solid-state lithium batteries", "type" : "article-journal", "volume" : "61" }, "uris" : [ "http://www.mendeley.com/documents/?uuid=0911bbef-ccce-4777-a4f5-5459f7ce00df" ] } ], "mendeley" : { "formattedCitation" : "[8]", "manualFormatting" : " ", "plainTextFormattedCitation" : "[8]", "previouslyFormattedCitation" : "[8]" }, "properties" : { "noteIndex" : 0 }, "schema" : "https://github.com/citation-style-language/schema/raw/master/csl-citation.json" }</w:instrText>
      </w:r>
      <w:r w:rsidR="00CD3E55" w:rsidRPr="00363B40">
        <w:rPr>
          <w:szCs w:val="24"/>
        </w:rPr>
        <w:fldChar w:fldCharType="separate"/>
      </w:r>
      <w:r w:rsidR="00B850E6" w:rsidRPr="00B850E6">
        <w:rPr>
          <w:noProof/>
          <w:szCs w:val="24"/>
        </w:rPr>
        <w:t xml:space="preserve"> </w:t>
      </w:r>
      <w:r w:rsidR="00CD3E55" w:rsidRPr="00363B40">
        <w:rPr>
          <w:szCs w:val="24"/>
        </w:rPr>
        <w:fldChar w:fldCharType="end"/>
      </w:r>
      <w:r w:rsidR="00CD3E55" w:rsidRPr="00363B40">
        <w:rPr>
          <w:szCs w:val="24"/>
        </w:rPr>
        <w:fldChar w:fldCharType="begin" w:fldLock="1"/>
      </w:r>
      <w:r w:rsidR="002A0130" w:rsidRPr="00363B40">
        <w:rPr>
          <w:szCs w:val="24"/>
        </w:rPr>
        <w:instrText>ADDIN CSL_CITATION { "citationItems" : [ { "id" : "ITEM-1", "itemData" : { "DOI" : "10.1016/S0378-7753(02)00266-5", "ISSN" : "03787753", "abstract" : "Electrochemical insertion of lithium into the Cr2(SO4)3 framework was carried out in a \"Li|LiClO4:EC-PC (3:1)|cathode\" cylindrical cell (EC: ethylene carbonate, PC: propylene carbonate). Preliminary electrochemical data revealed that the Cr2(SO4)3 sample exhibit poor performance compared to the cation- and polyanion-substituted samples. Depending on the cation (Nb) substitution and the nature of the polyanion (XO4) (X = P and S): (a) a clear dependence of the shape of the discharge curve versus capacity; and (b) an enhancement of voltage and capacity rate have been obtained and their difference is discussed in terms of redox potential. The cathodes with Nb substitution and polyanion having (PO4)3- are more tolerant to repeated lithium insertion and extraction than a standard Cr2(SO4)3 framework electrode in spite of a small reduction in the open-circuit voltage. The improvement in cycling performance is attributed to the presence of Nb cations that enhance the stability of the octahedral sites in the structure. ?? 2002 Elsevier Science B.V. All rights reserved.", "author" : [ { "dropping-particle" : "", "family" : "Manickam", "given" : "M.", "non-dropping-particle" : "", "parse-names" : false, "suffix" : "" }, { "dropping-particle" : "", "family" : "Takata", "given" : "M.", "non-dropping-particle" : "", "parse-names" : false, "suffix" : "" } ], "container-title" : "Journal of Power Sources", "id" : "ITEM-1", "issue" : "1", "issued" : { "date-parts" : [ [ "2002" ] ] }, "page" : "104-108", "title" : "Lithium insertion into Cr2(So4)3 frameworks: Variation of electrochemical behavior with cation substitution and nature of polyanion", "type" : "article-journal", "volume" : "111" }, "uris" : [ "http://www.mendeley.com/documents/?uuid=9c513518-ac0f-4305-b1aa-220b52030a1a" ] } ], "mendeley" : { "formattedCitation" : "[9]", "manualFormatting" : "9", "plainTextFormattedCitation" : "[9]", "previouslyFormattedCitation" : "[9]" }, "properties" : { "noteIndex" : 0 }, "schema" : "https://github.com/citation-style-language/schema/raw/master/csl-citation.json" }</w:instrText>
      </w:r>
      <w:r w:rsidR="00CD3E55" w:rsidRPr="00363B40">
        <w:rPr>
          <w:szCs w:val="24"/>
        </w:rPr>
        <w:fldChar w:fldCharType="separate"/>
      </w:r>
      <w:r w:rsidR="00B850E6" w:rsidRPr="00B850E6">
        <w:rPr>
          <w:noProof/>
          <w:szCs w:val="24"/>
        </w:rPr>
        <w:t>9</w:t>
      </w:r>
      <w:r w:rsidR="00CD3E55" w:rsidRPr="00363B40">
        <w:rPr>
          <w:szCs w:val="24"/>
        </w:rPr>
        <w:fldChar w:fldCharType="end"/>
      </w:r>
      <w:r w:rsidR="00CD3E55" w:rsidRPr="00363B40">
        <w:rPr>
          <w:szCs w:val="24"/>
        </w:rPr>
        <w:fldChar w:fldCharType="begin" w:fldLock="1"/>
      </w:r>
      <w:r w:rsidR="0095385A">
        <w:rPr>
          <w:szCs w:val="24"/>
        </w:rPr>
        <w:instrText>ADDIN CSL_CITATION { "citationItems" : [ { "id" : "ITEM-1", "itemData" : { "author" : [ { "dropping-particle" : "", "family" : "Kotobuki", "given" : "Masashi", "non-dropping-particle" : "", "parse-names" : false, "suffix" : "" } ], "container-title" : "Psrcentre.Org", "id" : "ITEM-1", "issued" : { "date-parts" : [ [ "2012" ] ] }, "page" : "165-167", "title" : "Preparation of Li-ion conductive ceramics through a sol-gel route", "type" : "article-journal", "volume" : "3" }, "uris" : [ "http://www.mendeley.com/documents/?uuid=83e85dce-7e17-498d-b99c-e8aa53fb65bf" ] } ], "mendeley" : { "formattedCitation" : "[2]", "manualFormatting" : "]", "plainTextFormattedCitation" : "[2]", "previouslyFormattedCitation" : "[2]" }, "properties" : { "noteIndex" : 0 }, "schema" : "https://github.com/citation-style-language/schema/raw/master/csl-citation.json" }</w:instrText>
      </w:r>
      <w:r w:rsidR="00CD3E55" w:rsidRPr="00363B40">
        <w:rPr>
          <w:szCs w:val="24"/>
        </w:rPr>
        <w:fldChar w:fldCharType="separate"/>
      </w:r>
      <w:r w:rsidR="00B850E6" w:rsidRPr="00B850E6">
        <w:rPr>
          <w:noProof/>
          <w:szCs w:val="24"/>
        </w:rPr>
        <w:t>]</w:t>
      </w:r>
      <w:r w:rsidR="00CD3E55" w:rsidRPr="00363B40">
        <w:rPr>
          <w:szCs w:val="24"/>
        </w:rPr>
        <w:fldChar w:fldCharType="end"/>
      </w:r>
      <w:r w:rsidRPr="00363B40">
        <w:rPr>
          <w:szCs w:val="24"/>
        </w:rPr>
        <w:t xml:space="preserve">. </w:t>
      </w:r>
      <w:r w:rsidR="00516D33">
        <w:rPr>
          <w:szCs w:val="24"/>
        </w:rPr>
        <w:t xml:space="preserve">Nontheless, the latter methods are very complex, time consuming and </w:t>
      </w:r>
      <w:r w:rsidR="00516D33" w:rsidRPr="00516D33">
        <w:rPr>
          <w:szCs w:val="24"/>
        </w:rPr>
        <w:t>cost ineffective</w:t>
      </w:r>
      <w:r w:rsidR="00516D33">
        <w:rPr>
          <w:szCs w:val="24"/>
        </w:rPr>
        <w:t xml:space="preserve">. </w:t>
      </w:r>
    </w:p>
    <w:p w:rsidR="00336A9D" w:rsidRDefault="004F16B5">
      <w:pPr>
        <w:autoSpaceDE w:val="0"/>
        <w:autoSpaceDN w:val="0"/>
        <w:adjustRightInd w:val="0"/>
        <w:jc w:val="both"/>
        <w:rPr>
          <w:szCs w:val="24"/>
        </w:rPr>
      </w:pPr>
      <w:r>
        <w:rPr>
          <w:szCs w:val="24"/>
        </w:rPr>
        <w:tab/>
      </w:r>
      <w:r w:rsidR="00516D33">
        <w:rPr>
          <w:szCs w:val="24"/>
        </w:rPr>
        <w:t xml:space="preserve">Recent research </w:t>
      </w:r>
      <w:r w:rsidR="00AC76AB" w:rsidRPr="00363B40">
        <w:rPr>
          <w:szCs w:val="24"/>
        </w:rPr>
        <w:t>on LTAP using solid</w:t>
      </w:r>
      <w:r w:rsidR="00516D33">
        <w:rPr>
          <w:szCs w:val="24"/>
        </w:rPr>
        <w:t>-</w:t>
      </w:r>
      <w:r w:rsidR="00AC76AB" w:rsidRPr="00363B40">
        <w:rPr>
          <w:szCs w:val="24"/>
        </w:rPr>
        <w:t xml:space="preserve">state reaction method </w:t>
      </w:r>
      <w:r w:rsidR="00516D33">
        <w:rPr>
          <w:szCs w:val="24"/>
        </w:rPr>
        <w:t xml:space="preserve">has reported that </w:t>
      </w:r>
      <w:r w:rsidR="00AC76AB" w:rsidRPr="00363B40">
        <w:rPr>
          <w:szCs w:val="24"/>
        </w:rPr>
        <w:t xml:space="preserve">their system </w:t>
      </w:r>
      <w:r>
        <w:rPr>
          <w:szCs w:val="24"/>
        </w:rPr>
        <w:t>m</w:t>
      </w:r>
      <w:r w:rsidR="00516D33">
        <w:rPr>
          <w:szCs w:val="24"/>
        </w:rPr>
        <w:t xml:space="preserve">anaged to </w:t>
      </w:r>
      <w:r>
        <w:rPr>
          <w:szCs w:val="24"/>
        </w:rPr>
        <w:t>obtain</w:t>
      </w:r>
      <w:r w:rsidR="00516D33" w:rsidRPr="00363B40">
        <w:rPr>
          <w:szCs w:val="24"/>
        </w:rPr>
        <w:t xml:space="preserve"> </w:t>
      </w:r>
      <w:r w:rsidR="00AC76AB" w:rsidRPr="00363B40">
        <w:rPr>
          <w:szCs w:val="24"/>
        </w:rPr>
        <w:t>conductivity values of 10</w:t>
      </w:r>
      <w:r w:rsidR="00AC76AB" w:rsidRPr="00363B40">
        <w:rPr>
          <w:szCs w:val="24"/>
          <w:vertAlign w:val="superscript"/>
        </w:rPr>
        <w:t>-3</w:t>
      </w:r>
      <w:r w:rsidR="00AC76AB" w:rsidRPr="00363B40">
        <w:rPr>
          <w:szCs w:val="24"/>
        </w:rPr>
        <w:t xml:space="preserve"> S cm</w:t>
      </w:r>
      <w:r w:rsidR="00AC76AB" w:rsidRPr="00363B40">
        <w:rPr>
          <w:szCs w:val="24"/>
          <w:vertAlign w:val="superscript"/>
        </w:rPr>
        <w:t>-2</w:t>
      </w:r>
      <w:r w:rsidR="00AC76AB" w:rsidRPr="00363B40">
        <w:rPr>
          <w:szCs w:val="24"/>
        </w:rPr>
        <w:t xml:space="preserve"> using expensive reagent</w:t>
      </w:r>
      <w:r>
        <w:rPr>
          <w:szCs w:val="24"/>
        </w:rPr>
        <w:t>s</w:t>
      </w:r>
      <w:r w:rsidR="00516D33">
        <w:rPr>
          <w:szCs w:val="24"/>
        </w:rPr>
        <w:t xml:space="preserve"> </w:t>
      </w:r>
      <w:r w:rsidR="00CD3E55" w:rsidRPr="00363B40">
        <w:rPr>
          <w:szCs w:val="24"/>
        </w:rPr>
        <w:fldChar w:fldCharType="begin" w:fldLock="1"/>
      </w:r>
      <w:r w:rsidR="00516D33" w:rsidRPr="00363B40">
        <w:rPr>
          <w:szCs w:val="24"/>
        </w:rPr>
        <w:instrText>ADDIN CSL_CITATION { "citationItems" : [ { "id" : "ITEM-1", "itemData" : { "DOI" : "10.4028/www.scientific.net/AMR.545.190", "ISBN" : "9783037854495", "ISSN" : "10226680", "author" : [ { "dropping-particle" : "", "family" : "Rusdi", "given" : "Hashlina", "non-dropping-particle" : "", "parse-names" : false, "suffix" : "" }, { "dropping-particle" : "", "family" : "Abd Rahman", "given" : "Azilah", "non-dropping-particle" : "", "parse-names" : false, "suffix" : "" }, { "dropping-particle" : "", "family" : "Subban", "given" : "R.H.Y.", "non-dropping-particle" : "", "parse-names" : false, "suffix" : "" }, { "dropping-particle" : "", "family" : "Mohamed", "given" : "N.S.", "non-dropping-particle" : "", "parse-names" : false, "suffix" : "" } ], "container-title" : "Advanced Materials Research", "id" : "ITEM-1", "issued" : { "date-parts" : [ [ "2012" ] ] }, "page" : "190-194", "title" : "Characterisation of Lithium Aluminium Titanium Phosphate as Solid Electrolytes Synthesized by Mechanical Milling Method", "type" : "article-journal", "volume" : "545" }, "uris" : [ "http://www.mendeley.com/documents/?uuid=c20e84e7-1ae7-4d10-b8b4-44972ece1a20" ] } ], "mendeley" : { "formattedCitation" : "[10]", "plainTextFormattedCitation" : "[10]", "previouslyFormattedCitation" : "[10]" }, "properties" : { "noteIndex" : 0 }, "schema" : "https://github.com/citation-style-language/schema/raw/master/csl-citation.json" }</w:instrText>
      </w:r>
      <w:r w:rsidR="00CD3E55" w:rsidRPr="00363B40">
        <w:rPr>
          <w:szCs w:val="24"/>
        </w:rPr>
        <w:fldChar w:fldCharType="separate"/>
      </w:r>
      <w:r w:rsidR="00516D33" w:rsidRPr="00E459E7">
        <w:rPr>
          <w:noProof/>
          <w:szCs w:val="24"/>
        </w:rPr>
        <w:t>[10]</w:t>
      </w:r>
      <w:r w:rsidR="00CD3E55" w:rsidRPr="00363B40">
        <w:rPr>
          <w:szCs w:val="24"/>
        </w:rPr>
        <w:fldChar w:fldCharType="end"/>
      </w:r>
      <w:r w:rsidR="00AC76AB" w:rsidRPr="00363B40">
        <w:rPr>
          <w:szCs w:val="24"/>
        </w:rPr>
        <w:t>.</w:t>
      </w:r>
      <w:r w:rsidR="00516D33">
        <w:rPr>
          <w:szCs w:val="24"/>
        </w:rPr>
        <w:t xml:space="preserve"> This shed light on how to reduce the cost of processing for mass production of </w:t>
      </w:r>
      <w:r>
        <w:rPr>
          <w:szCs w:val="24"/>
        </w:rPr>
        <w:t>all-solid-state Li-</w:t>
      </w:r>
      <w:r w:rsidRPr="00363B40">
        <w:rPr>
          <w:szCs w:val="24"/>
        </w:rPr>
        <w:t>ion battery</w:t>
      </w:r>
      <w:r>
        <w:rPr>
          <w:szCs w:val="24"/>
        </w:rPr>
        <w:t xml:space="preserve">. Thus, in </w:t>
      </w:r>
      <w:r w:rsidR="00AC76AB" w:rsidRPr="00363B40">
        <w:rPr>
          <w:szCs w:val="24"/>
        </w:rPr>
        <w:t xml:space="preserve">this study, </w:t>
      </w:r>
      <w:r>
        <w:rPr>
          <w:szCs w:val="24"/>
        </w:rPr>
        <w:t xml:space="preserve">the </w:t>
      </w:r>
      <w:r w:rsidR="00B65164" w:rsidRPr="00363B40">
        <w:rPr>
          <w:szCs w:val="24"/>
        </w:rPr>
        <w:t xml:space="preserve">LTAP </w:t>
      </w:r>
      <w:r>
        <w:rPr>
          <w:szCs w:val="24"/>
        </w:rPr>
        <w:t xml:space="preserve">with </w:t>
      </w:r>
      <w:r w:rsidRPr="004F16B5">
        <w:rPr>
          <w:szCs w:val="24"/>
        </w:rPr>
        <w:t>stoichiometric</w:t>
      </w:r>
      <w:r>
        <w:rPr>
          <w:szCs w:val="24"/>
        </w:rPr>
        <w:t xml:space="preserve"> ratio of </w:t>
      </w:r>
      <w:r w:rsidR="00B65164" w:rsidRPr="00363B40">
        <w:rPr>
          <w:szCs w:val="24"/>
        </w:rPr>
        <w:t>x = 0.0, 0.2</w:t>
      </w:r>
      <w:r w:rsidR="00863E13" w:rsidRPr="00363B40">
        <w:rPr>
          <w:szCs w:val="24"/>
        </w:rPr>
        <w:t xml:space="preserve"> and 1.0</w:t>
      </w:r>
      <w:r w:rsidR="00516D33" w:rsidRPr="00363B40">
        <w:rPr>
          <w:szCs w:val="24"/>
        </w:rPr>
        <w:t xml:space="preserve"> compound</w:t>
      </w:r>
      <w:r>
        <w:rPr>
          <w:szCs w:val="24"/>
        </w:rPr>
        <w:t>s</w:t>
      </w:r>
      <w:r w:rsidR="00863E13" w:rsidRPr="00363B40">
        <w:rPr>
          <w:szCs w:val="24"/>
        </w:rPr>
        <w:t xml:space="preserve"> </w:t>
      </w:r>
      <w:r>
        <w:rPr>
          <w:szCs w:val="24"/>
        </w:rPr>
        <w:t>are</w:t>
      </w:r>
      <w:r w:rsidRPr="00363B40">
        <w:rPr>
          <w:szCs w:val="24"/>
        </w:rPr>
        <w:t xml:space="preserve"> </w:t>
      </w:r>
      <w:r w:rsidR="00AC76AB" w:rsidRPr="00363B40">
        <w:rPr>
          <w:szCs w:val="24"/>
        </w:rPr>
        <w:t xml:space="preserve">prepared </w:t>
      </w:r>
      <w:r>
        <w:rPr>
          <w:szCs w:val="24"/>
        </w:rPr>
        <w:t>using</w:t>
      </w:r>
      <w:r w:rsidRPr="00363B40">
        <w:rPr>
          <w:szCs w:val="24"/>
        </w:rPr>
        <w:t xml:space="preserve"> </w:t>
      </w:r>
      <w:r w:rsidR="00B141D9" w:rsidRPr="00363B40">
        <w:rPr>
          <w:szCs w:val="24"/>
        </w:rPr>
        <w:t>solid</w:t>
      </w:r>
      <w:r>
        <w:rPr>
          <w:szCs w:val="24"/>
        </w:rPr>
        <w:t>-</w:t>
      </w:r>
      <w:r w:rsidR="00B141D9" w:rsidRPr="00363B40">
        <w:rPr>
          <w:szCs w:val="24"/>
        </w:rPr>
        <w:t>state reaction method</w:t>
      </w:r>
      <w:r w:rsidR="00AC76AB" w:rsidRPr="00363B40">
        <w:rPr>
          <w:szCs w:val="24"/>
        </w:rPr>
        <w:t xml:space="preserve"> using inexpensive starting materials</w:t>
      </w:r>
      <w:r>
        <w:rPr>
          <w:szCs w:val="24"/>
        </w:rPr>
        <w:t>.</w:t>
      </w:r>
      <w:r w:rsidR="00AC76AB" w:rsidRPr="00363B40">
        <w:rPr>
          <w:szCs w:val="24"/>
        </w:rPr>
        <w:t xml:space="preserve"> </w:t>
      </w:r>
      <w:r w:rsidR="004C72AB">
        <w:rPr>
          <w:szCs w:val="24"/>
        </w:rPr>
        <w:t xml:space="preserve">The work is aiming to investigate the </w:t>
      </w:r>
      <w:r w:rsidR="00AC76AB" w:rsidRPr="00363B40">
        <w:rPr>
          <w:szCs w:val="24"/>
        </w:rPr>
        <w:t xml:space="preserve">ionic conductivity </w:t>
      </w:r>
      <w:r w:rsidR="004C72AB">
        <w:rPr>
          <w:szCs w:val="24"/>
        </w:rPr>
        <w:t xml:space="preserve">of the samples using </w:t>
      </w:r>
      <w:r w:rsidR="004C72AB" w:rsidRPr="00363B40">
        <w:t>impedance</w:t>
      </w:r>
      <w:r w:rsidR="004C72AB">
        <w:rPr>
          <w:szCs w:val="24"/>
        </w:rPr>
        <w:t xml:space="preserve"> spectroscopy</w:t>
      </w:r>
      <w:r w:rsidR="00863E13" w:rsidRPr="00363B40">
        <w:rPr>
          <w:szCs w:val="24"/>
        </w:rPr>
        <w:t xml:space="preserve">. </w:t>
      </w:r>
    </w:p>
    <w:p w:rsidR="003F305F" w:rsidRDefault="003F305F" w:rsidP="00F96BD1">
      <w:pPr>
        <w:autoSpaceDE w:val="0"/>
        <w:autoSpaceDN w:val="0"/>
        <w:adjustRightInd w:val="0"/>
        <w:jc w:val="both"/>
        <w:rPr>
          <w:b/>
          <w:szCs w:val="24"/>
        </w:rPr>
      </w:pPr>
    </w:p>
    <w:p w:rsidR="004C72AB" w:rsidRPr="00363B40" w:rsidRDefault="004C72AB" w:rsidP="00F96BD1">
      <w:pPr>
        <w:autoSpaceDE w:val="0"/>
        <w:autoSpaceDN w:val="0"/>
        <w:adjustRightInd w:val="0"/>
        <w:jc w:val="both"/>
        <w:rPr>
          <w:b/>
          <w:szCs w:val="24"/>
        </w:rPr>
      </w:pPr>
    </w:p>
    <w:p w:rsidR="003F305F" w:rsidRPr="00363B40" w:rsidRDefault="003F305F" w:rsidP="00F96BD1">
      <w:pPr>
        <w:autoSpaceDE w:val="0"/>
        <w:autoSpaceDN w:val="0"/>
        <w:adjustRightInd w:val="0"/>
        <w:jc w:val="both"/>
        <w:rPr>
          <w:b/>
          <w:szCs w:val="24"/>
        </w:rPr>
      </w:pPr>
      <w:r w:rsidRPr="00363B40">
        <w:rPr>
          <w:b/>
          <w:szCs w:val="24"/>
        </w:rPr>
        <w:t>EXPERIMENTAL</w:t>
      </w:r>
    </w:p>
    <w:p w:rsidR="003F305F" w:rsidRPr="00363B40" w:rsidRDefault="003F305F" w:rsidP="00F96BD1">
      <w:pPr>
        <w:autoSpaceDE w:val="0"/>
        <w:autoSpaceDN w:val="0"/>
        <w:adjustRightInd w:val="0"/>
        <w:jc w:val="both"/>
        <w:rPr>
          <w:b/>
          <w:szCs w:val="24"/>
        </w:rPr>
      </w:pPr>
    </w:p>
    <w:p w:rsidR="003F305F" w:rsidRPr="00363B40" w:rsidRDefault="003F305F" w:rsidP="00F96BD1">
      <w:pPr>
        <w:autoSpaceDE w:val="0"/>
        <w:autoSpaceDN w:val="0"/>
        <w:adjustRightInd w:val="0"/>
        <w:jc w:val="both"/>
        <w:rPr>
          <w:b/>
          <w:szCs w:val="24"/>
        </w:rPr>
      </w:pPr>
      <w:r w:rsidRPr="00363B40">
        <w:rPr>
          <w:b/>
          <w:szCs w:val="24"/>
        </w:rPr>
        <w:t>Sample preparation</w:t>
      </w:r>
    </w:p>
    <w:p w:rsidR="003F305F" w:rsidRPr="00363B40" w:rsidRDefault="003F305F" w:rsidP="00F96BD1">
      <w:pPr>
        <w:autoSpaceDE w:val="0"/>
        <w:autoSpaceDN w:val="0"/>
        <w:adjustRightInd w:val="0"/>
        <w:jc w:val="both"/>
        <w:rPr>
          <w:b/>
          <w:szCs w:val="24"/>
        </w:rPr>
      </w:pPr>
    </w:p>
    <w:p w:rsidR="00C31ACC" w:rsidRPr="00363B40" w:rsidRDefault="00F96BD1" w:rsidP="00C31ACC">
      <w:pPr>
        <w:autoSpaceDE w:val="0"/>
        <w:autoSpaceDN w:val="0"/>
        <w:adjustRightInd w:val="0"/>
        <w:jc w:val="both"/>
      </w:pPr>
      <w:r w:rsidRPr="00363B40">
        <w:rPr>
          <w:szCs w:val="24"/>
        </w:rPr>
        <w:tab/>
      </w:r>
      <w:r w:rsidR="00B65164" w:rsidRPr="00363B40">
        <w:rPr>
          <w:szCs w:val="24"/>
        </w:rPr>
        <w:t>LTAP</w:t>
      </w:r>
      <w:r w:rsidR="007A568E">
        <w:rPr>
          <w:szCs w:val="24"/>
        </w:rPr>
        <w:t xml:space="preserve"> with</w:t>
      </w:r>
      <w:r w:rsidR="00B65164" w:rsidRPr="00363B40">
        <w:rPr>
          <w:szCs w:val="24"/>
        </w:rPr>
        <w:t xml:space="preserve"> x = 0.0, 0.2</w:t>
      </w:r>
      <w:r w:rsidR="003F305F" w:rsidRPr="00363B40">
        <w:rPr>
          <w:szCs w:val="24"/>
        </w:rPr>
        <w:t xml:space="preserve"> and 1.0 samples were prepared </w:t>
      </w:r>
      <w:r w:rsidR="007A568E">
        <w:rPr>
          <w:szCs w:val="24"/>
        </w:rPr>
        <w:t>using</w:t>
      </w:r>
      <w:r w:rsidR="007A568E" w:rsidRPr="00363B40">
        <w:rPr>
          <w:szCs w:val="24"/>
        </w:rPr>
        <w:t xml:space="preserve"> </w:t>
      </w:r>
      <w:r w:rsidR="003F305F" w:rsidRPr="00363B40">
        <w:rPr>
          <w:szCs w:val="24"/>
        </w:rPr>
        <w:t>high temperature solid</w:t>
      </w:r>
      <w:r w:rsidR="007A568E">
        <w:rPr>
          <w:szCs w:val="24"/>
        </w:rPr>
        <w:t>-</w:t>
      </w:r>
      <w:r w:rsidR="003F305F" w:rsidRPr="00363B40">
        <w:rPr>
          <w:szCs w:val="24"/>
        </w:rPr>
        <w:t>state reaction method. Stoichiometric amounts of reagent grade chemicals namely lithium carbonate (</w:t>
      </w:r>
      <w:r w:rsidR="003F305F" w:rsidRPr="00363B40">
        <w:t>Li</w:t>
      </w:r>
      <w:r w:rsidR="003F305F" w:rsidRPr="00363B40">
        <w:rPr>
          <w:vertAlign w:val="subscript"/>
        </w:rPr>
        <w:t>2</w:t>
      </w:r>
      <w:r w:rsidR="003F305F" w:rsidRPr="00363B40">
        <w:t>CO</w:t>
      </w:r>
      <w:r w:rsidR="003F305F" w:rsidRPr="00363B40">
        <w:rPr>
          <w:vertAlign w:val="subscript"/>
        </w:rPr>
        <w:t>3</w:t>
      </w:r>
      <w:r w:rsidR="003F305F" w:rsidRPr="00363B40">
        <w:t>), titanium oxide (TiO</w:t>
      </w:r>
      <w:r w:rsidR="003F305F" w:rsidRPr="00363B40">
        <w:rPr>
          <w:vertAlign w:val="subscript"/>
        </w:rPr>
        <w:t>2</w:t>
      </w:r>
      <w:r w:rsidR="003F305F" w:rsidRPr="00363B40">
        <w:t>), aluminium oxide (Al</w:t>
      </w:r>
      <w:r w:rsidR="003F305F" w:rsidRPr="00363B40">
        <w:rPr>
          <w:vertAlign w:val="subscript"/>
        </w:rPr>
        <w:t>2</w:t>
      </w:r>
      <w:r w:rsidR="003F305F" w:rsidRPr="00363B40">
        <w:t>O</w:t>
      </w:r>
      <w:r w:rsidR="003F305F" w:rsidRPr="00363B40">
        <w:rPr>
          <w:vertAlign w:val="subscript"/>
        </w:rPr>
        <w:t>3</w:t>
      </w:r>
      <w:r w:rsidR="003F305F" w:rsidRPr="00363B40">
        <w:t>) and ammonium dihydrogen phosphate (NH</w:t>
      </w:r>
      <w:r w:rsidR="003F305F" w:rsidRPr="00363B40">
        <w:rPr>
          <w:vertAlign w:val="subscript"/>
        </w:rPr>
        <w:t>4</w:t>
      </w:r>
      <w:r w:rsidR="003F305F" w:rsidRPr="00363B40">
        <w:t>H</w:t>
      </w:r>
      <w:r w:rsidR="003F305F" w:rsidRPr="00363B40">
        <w:rPr>
          <w:vertAlign w:val="subscript"/>
        </w:rPr>
        <w:t>2</w:t>
      </w:r>
      <w:r w:rsidR="003F305F" w:rsidRPr="00363B40">
        <w:t>PO</w:t>
      </w:r>
      <w:r w:rsidR="003F305F" w:rsidRPr="00363B40">
        <w:rPr>
          <w:vertAlign w:val="subscript"/>
        </w:rPr>
        <w:t>4</w:t>
      </w:r>
      <w:r w:rsidR="003F305F" w:rsidRPr="00363B40">
        <w:t xml:space="preserve">) were used as the </w:t>
      </w:r>
      <w:r w:rsidR="00AE7F16">
        <w:t>raw</w:t>
      </w:r>
      <w:r w:rsidR="00AE7F16" w:rsidRPr="00363B40">
        <w:t xml:space="preserve"> </w:t>
      </w:r>
      <w:r w:rsidR="003F305F" w:rsidRPr="00363B40">
        <w:t>materials.</w:t>
      </w:r>
      <w:r w:rsidR="00336A9D">
        <w:t xml:space="preserve"> The starting materials were of analytical reagent grade purchase from </w:t>
      </w:r>
      <w:r w:rsidR="00336A9D" w:rsidRPr="00854A6D">
        <w:rPr>
          <w:szCs w:val="24"/>
        </w:rPr>
        <w:t>R&amp;M Marketing, Essex, U.K.</w:t>
      </w:r>
      <w:r w:rsidR="003F305F" w:rsidRPr="00363B40">
        <w:t xml:space="preserve"> Th</w:t>
      </w:r>
      <w:r w:rsidR="00AE7F16">
        <w:t>ese</w:t>
      </w:r>
      <w:r w:rsidR="003F305F" w:rsidRPr="00363B40">
        <w:t xml:space="preserve"> precursor were weighed according</w:t>
      </w:r>
      <w:r w:rsidR="00AE7F16">
        <w:t>ly</w:t>
      </w:r>
      <w:r w:rsidR="003F305F" w:rsidRPr="00363B40">
        <w:t xml:space="preserve"> to their ratio and grounded for 1 h using agate mortar and pestle, acetone was added to the mixture </w:t>
      </w:r>
      <w:r w:rsidR="007A568E">
        <w:t>to achive</w:t>
      </w:r>
      <w:r w:rsidR="007A568E" w:rsidRPr="00363B40">
        <w:t xml:space="preserve"> </w:t>
      </w:r>
      <w:r w:rsidR="003F305F" w:rsidRPr="00363B40">
        <w:t>homogeneity. The mixture were initially calcined at 450</w:t>
      </w:r>
      <w:r w:rsidR="006B32B1">
        <w:rPr>
          <w:szCs w:val="24"/>
        </w:rPr>
        <w:t>°</w:t>
      </w:r>
      <w:r w:rsidR="003F305F" w:rsidRPr="00363B40">
        <w:t>C for 1.5 h and further calcined at 900</w:t>
      </w:r>
      <w:r w:rsidR="006B32B1">
        <w:rPr>
          <w:szCs w:val="24"/>
        </w:rPr>
        <w:t>°</w:t>
      </w:r>
      <w:r w:rsidR="003F305F" w:rsidRPr="00363B40">
        <w:t>C for 2 h in alumina crucible. The initial heating was done to decompose Li</w:t>
      </w:r>
      <w:r w:rsidR="003F305F" w:rsidRPr="00363B40">
        <w:rPr>
          <w:vertAlign w:val="subscript"/>
        </w:rPr>
        <w:t>2</w:t>
      </w:r>
      <w:r w:rsidR="003F305F" w:rsidRPr="00363B40">
        <w:t>CO</w:t>
      </w:r>
      <w:r w:rsidR="003F305F" w:rsidRPr="00363B40">
        <w:rPr>
          <w:vertAlign w:val="subscript"/>
        </w:rPr>
        <w:t>3</w:t>
      </w:r>
      <w:r w:rsidR="003F305F" w:rsidRPr="00363B40">
        <w:t xml:space="preserve"> and NH</w:t>
      </w:r>
      <w:r w:rsidR="003F305F" w:rsidRPr="00363B40">
        <w:rPr>
          <w:vertAlign w:val="subscript"/>
        </w:rPr>
        <w:t>4</w:t>
      </w:r>
      <w:r w:rsidR="003F305F" w:rsidRPr="00363B40">
        <w:t>H</w:t>
      </w:r>
      <w:r w:rsidR="003F305F" w:rsidRPr="00363B40">
        <w:rPr>
          <w:vertAlign w:val="subscript"/>
        </w:rPr>
        <w:t>2</w:t>
      </w:r>
      <w:r w:rsidR="003F305F" w:rsidRPr="00363B40">
        <w:t>PO</w:t>
      </w:r>
      <w:r w:rsidR="003F305F" w:rsidRPr="00363B40">
        <w:rPr>
          <w:vertAlign w:val="subscript"/>
        </w:rPr>
        <w:t>4</w:t>
      </w:r>
      <w:r w:rsidR="003F305F" w:rsidRPr="00363B40">
        <w:t xml:space="preserve"> with the emission of ammonia, carbon dioxide gases and water vapour as illustrated in </w:t>
      </w:r>
      <w:r w:rsidR="00AE7F16">
        <w:t>E</w:t>
      </w:r>
      <w:r w:rsidR="003F305F" w:rsidRPr="00363B40">
        <w:t>quation 1. The calcin</w:t>
      </w:r>
      <w:r w:rsidR="00AE7F16">
        <w:t>ed</w:t>
      </w:r>
      <w:r w:rsidR="003F305F" w:rsidRPr="00363B40">
        <w:t xml:space="preserve"> sample</w:t>
      </w:r>
      <w:r w:rsidR="00AE7F16">
        <w:t>s</w:t>
      </w:r>
      <w:r w:rsidR="003F305F" w:rsidRPr="00363B40">
        <w:t xml:space="preserve"> were further re-grounded </w:t>
      </w:r>
      <w:r w:rsidR="00AE7F16">
        <w:t>with</w:t>
      </w:r>
      <w:r w:rsidR="00AE7F16" w:rsidRPr="00363B40">
        <w:t xml:space="preserve"> </w:t>
      </w:r>
      <w:r w:rsidR="003F305F" w:rsidRPr="00363B40">
        <w:t>planetary mono milling with zirconia jar and ball</w:t>
      </w:r>
      <w:r w:rsidR="00C63A97" w:rsidRPr="00363B40">
        <w:t>s as the media of grinding for 7</w:t>
      </w:r>
      <w:r w:rsidR="003F305F" w:rsidRPr="00363B40">
        <w:t xml:space="preserve"> h at 450 rpm including 2 h resting period for the mono milling mach</w:t>
      </w:r>
      <w:r w:rsidR="00863E13" w:rsidRPr="00363B40">
        <w:t>ine. The samples were</w:t>
      </w:r>
      <w:r w:rsidR="003F305F" w:rsidRPr="00363B40">
        <w:t xml:space="preserve"> pressed into pellet of 1</w:t>
      </w:r>
      <w:r w:rsidR="00C63A97" w:rsidRPr="00363B40">
        <w:t>.3 c</w:t>
      </w:r>
      <w:r w:rsidR="003F305F" w:rsidRPr="00363B40">
        <w:t>m in diameter and 2-3 mm thickness at a pressure of 5 to</w:t>
      </w:r>
      <w:r w:rsidR="00AE7F16">
        <w:t>n</w:t>
      </w:r>
      <w:r w:rsidR="003F305F" w:rsidRPr="00363B40">
        <w:t xml:space="preserve">s. The pellet </w:t>
      </w:r>
      <w:r w:rsidR="00863E13" w:rsidRPr="00363B40">
        <w:t>samples were</w:t>
      </w:r>
      <w:r w:rsidR="003F305F" w:rsidRPr="00363B40">
        <w:t xml:space="preserve"> sintered at 900</w:t>
      </w:r>
      <w:r w:rsidR="006B32B1">
        <w:rPr>
          <w:szCs w:val="24"/>
        </w:rPr>
        <w:t>°</w:t>
      </w:r>
      <w:r w:rsidR="003F305F" w:rsidRPr="00363B40">
        <w:t xml:space="preserve">C for 8 h. After polishing </w:t>
      </w:r>
      <w:r w:rsidR="00AE7F16">
        <w:t xml:space="preserve">down to 1 µm finish, </w:t>
      </w:r>
      <w:r w:rsidR="003F305F" w:rsidRPr="00363B40">
        <w:t xml:space="preserve">the </w:t>
      </w:r>
      <w:r w:rsidR="00AE7F16" w:rsidRPr="00363B40">
        <w:t xml:space="preserve">smooth surface </w:t>
      </w:r>
      <w:r w:rsidR="00AE7F16">
        <w:t xml:space="preserve">of </w:t>
      </w:r>
      <w:r w:rsidR="003F305F" w:rsidRPr="00363B40">
        <w:t>sintered</w:t>
      </w:r>
      <w:r w:rsidR="002342DD" w:rsidRPr="00363B40">
        <w:t xml:space="preserve"> pellet</w:t>
      </w:r>
      <w:r w:rsidR="00AE7F16">
        <w:t>s</w:t>
      </w:r>
      <w:r w:rsidR="002342DD" w:rsidRPr="00363B40">
        <w:t xml:space="preserve"> </w:t>
      </w:r>
      <w:r w:rsidR="00AE7F16">
        <w:t>were</w:t>
      </w:r>
      <w:r w:rsidR="003F305F" w:rsidRPr="00363B40">
        <w:t xml:space="preserve"> dried at 100 </w:t>
      </w:r>
      <w:r w:rsidR="003F305F" w:rsidRPr="00363B40">
        <w:rPr>
          <w:vertAlign w:val="superscript"/>
        </w:rPr>
        <w:t>0</w:t>
      </w:r>
      <w:r w:rsidR="003F305F" w:rsidRPr="00363B40">
        <w:t>C for 2 h</w:t>
      </w:r>
      <w:r w:rsidR="00AE7F16">
        <w:t xml:space="preserve"> and stored at room temperature for further examination</w:t>
      </w:r>
      <w:r w:rsidR="003F305F" w:rsidRPr="00363B40">
        <w:t xml:space="preserve">. The </w:t>
      </w:r>
      <w:r w:rsidR="00AE7F16">
        <w:t xml:space="preserve">designation of </w:t>
      </w:r>
      <w:r w:rsidR="003F305F" w:rsidRPr="00363B40">
        <w:t xml:space="preserve">samples </w:t>
      </w:r>
      <w:r w:rsidR="00B65164" w:rsidRPr="00363B40">
        <w:t>for x = 0.0, 0.2</w:t>
      </w:r>
      <w:r w:rsidR="003F305F" w:rsidRPr="00363B40">
        <w:t xml:space="preserve"> and 1.</w:t>
      </w:r>
      <w:r w:rsidR="00B65164" w:rsidRPr="00363B40">
        <w:t>0</w:t>
      </w:r>
      <w:r w:rsidR="00AE7F16">
        <w:t xml:space="preserve"> are</w:t>
      </w:r>
      <w:r w:rsidR="00B65164" w:rsidRPr="00363B40">
        <w:t xml:space="preserve"> LTP-0.0, LTAP-0.2</w:t>
      </w:r>
      <w:r w:rsidR="003F305F" w:rsidRPr="00363B40">
        <w:t xml:space="preserve"> and LTAP-1.0 respectively. </w:t>
      </w:r>
    </w:p>
    <w:p w:rsidR="00C31ACC" w:rsidRPr="00363B40" w:rsidRDefault="00C31ACC" w:rsidP="00C31ACC">
      <w:pPr>
        <w:autoSpaceDE w:val="0"/>
        <w:autoSpaceDN w:val="0"/>
        <w:adjustRightInd w:val="0"/>
        <w:jc w:val="both"/>
      </w:pPr>
    </w:p>
    <w:p w:rsidR="00C47606" w:rsidRPr="00363B40" w:rsidRDefault="00AB30E9" w:rsidP="00C31ACC">
      <w:pPr>
        <w:autoSpaceDE w:val="0"/>
        <w:autoSpaceDN w:val="0"/>
        <w:adjustRightInd w:val="0"/>
        <w:jc w:val="both"/>
        <w:rPr>
          <w:szCs w:val="24"/>
        </w:rPr>
      </w:pPr>
      <m:oMath>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r>
                      <w:rPr>
                        <w:rFonts w:ascii="Cambria Math"/>
                        <w:szCs w:val="24"/>
                      </w:rPr>
                      <m:t>1+</m:t>
                    </m:r>
                    <m:r>
                      <w:rPr>
                        <w:rFonts w:ascii="Cambria Math" w:hAnsi="Cambria Math"/>
                        <w:szCs w:val="24"/>
                      </w:rPr>
                      <m:t>x</m:t>
                    </m:r>
                  </m:e>
                </m:d>
              </m:num>
              <m:den>
                <m:r>
                  <w:rPr>
                    <w:rFonts w:ascii="Cambria Math"/>
                    <w:szCs w:val="24"/>
                  </w:rPr>
                  <m:t>2</m:t>
                </m:r>
              </m:den>
            </m:f>
          </m:e>
        </m:d>
        <m:sSub>
          <m:sSubPr>
            <m:ctrlPr>
              <w:rPr>
                <w:rFonts w:ascii="Cambria Math" w:hAnsi="Cambria Math"/>
                <w:i/>
                <w:szCs w:val="24"/>
              </w:rPr>
            </m:ctrlPr>
          </m:sSubPr>
          <m:e>
            <m:r>
              <w:rPr>
                <w:rFonts w:ascii="Cambria Math" w:hAnsi="Cambria Math"/>
                <w:szCs w:val="24"/>
              </w:rPr>
              <m:t>Li</m:t>
            </m:r>
          </m:e>
          <m:sub>
            <m:r>
              <w:rPr>
                <w:rFonts w:ascii="Cambria Math"/>
                <w:szCs w:val="24"/>
              </w:rPr>
              <m:t>2</m:t>
            </m:r>
          </m:sub>
        </m:sSub>
        <m:sSub>
          <m:sSubPr>
            <m:ctrlPr>
              <w:rPr>
                <w:rFonts w:ascii="Cambria Math" w:hAnsi="Cambria Math"/>
                <w:i/>
                <w:szCs w:val="24"/>
              </w:rPr>
            </m:ctrlPr>
          </m:sSubPr>
          <m:e>
            <m:r>
              <w:rPr>
                <w:rFonts w:ascii="Cambria Math" w:hAnsi="Cambria Math"/>
                <w:szCs w:val="24"/>
              </w:rPr>
              <m:t>CO</m:t>
            </m:r>
          </m:e>
          <m:sub>
            <m:r>
              <w:rPr>
                <w:rFonts w:ascii="Cambria Math"/>
                <w:szCs w:val="24"/>
              </w:rPr>
              <m:t>3</m:t>
            </m:r>
          </m:sub>
        </m:sSub>
        <m:r>
          <w:rPr>
            <w:rFonts w:ascii="Cambria Math"/>
            <w:szCs w:val="24"/>
          </w:rPr>
          <m:t xml:space="preserve"> +</m:t>
        </m:r>
        <m:d>
          <m:dPr>
            <m:ctrlPr>
              <w:rPr>
                <w:rFonts w:ascii="Cambria Math" w:hAnsi="Cambria Math"/>
                <w:i/>
                <w:szCs w:val="24"/>
              </w:rPr>
            </m:ctrlPr>
          </m:dPr>
          <m:e>
            <m:r>
              <w:rPr>
                <w:rFonts w:ascii="Cambria Math"/>
                <w:szCs w:val="24"/>
              </w:rPr>
              <m:t>2</m:t>
            </m:r>
            <m:r>
              <w:rPr>
                <w:rFonts w:ascii="Cambria Math" w:hAnsi="Cambria Math"/>
                <w:szCs w:val="24"/>
              </w:rPr>
              <m:t>-x</m:t>
            </m:r>
          </m:e>
        </m:d>
        <m:r>
          <w:rPr>
            <w:rFonts w:ascii="Cambria Math" w:hAnsi="Cambria Math"/>
            <w:szCs w:val="24"/>
          </w:rPr>
          <m:t>Ti</m:t>
        </m:r>
        <m:sSub>
          <m:sSubPr>
            <m:ctrlPr>
              <w:rPr>
                <w:rFonts w:ascii="Cambria Math" w:hAnsi="Cambria Math"/>
                <w:i/>
                <w:szCs w:val="24"/>
              </w:rPr>
            </m:ctrlPr>
          </m:sSubPr>
          <m:e>
            <m:r>
              <w:rPr>
                <w:rFonts w:ascii="Cambria Math" w:hAnsi="Cambria Math"/>
                <w:szCs w:val="24"/>
              </w:rPr>
              <m:t>O</m:t>
            </m:r>
          </m:e>
          <m:sub>
            <m:r>
              <w:rPr>
                <w:rFonts w:ascii="Cambria Math"/>
                <w:szCs w:val="24"/>
              </w:rPr>
              <m:t>2</m:t>
            </m:r>
          </m:sub>
        </m:sSub>
        <m:r>
          <w:rPr>
            <w:rFonts w:ascii="Cambria Math"/>
            <w:szCs w:val="24"/>
          </w:rPr>
          <m:t xml:space="preserve"> +</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x</m:t>
                </m:r>
              </m:num>
              <m:den>
                <m:r>
                  <w:rPr>
                    <w:rFonts w:ascii="Cambria Math"/>
                    <w:szCs w:val="24"/>
                  </w:rPr>
                  <m:t>2</m:t>
                </m:r>
              </m:den>
            </m:f>
          </m:e>
        </m:d>
        <m:sSub>
          <m:sSubPr>
            <m:ctrlPr>
              <w:rPr>
                <w:rFonts w:ascii="Cambria Math" w:hAnsi="Cambria Math"/>
                <w:i/>
                <w:szCs w:val="24"/>
              </w:rPr>
            </m:ctrlPr>
          </m:sSubPr>
          <m:e>
            <m:r>
              <w:rPr>
                <w:rFonts w:ascii="Cambria Math" w:hAnsi="Cambria Math"/>
                <w:szCs w:val="24"/>
              </w:rPr>
              <m:t>Al</m:t>
            </m:r>
          </m:e>
          <m:sub>
            <m:r>
              <w:rPr>
                <w:rFonts w:ascii="Cambria Math"/>
                <w:szCs w:val="24"/>
              </w:rPr>
              <m:t>2</m:t>
            </m:r>
          </m:sub>
        </m:sSub>
        <m:sSub>
          <m:sSubPr>
            <m:ctrlPr>
              <w:rPr>
                <w:rFonts w:ascii="Cambria Math" w:hAnsi="Cambria Math"/>
                <w:i/>
                <w:szCs w:val="24"/>
              </w:rPr>
            </m:ctrlPr>
          </m:sSubPr>
          <m:e>
            <m:r>
              <w:rPr>
                <w:rFonts w:ascii="Cambria Math" w:hAnsi="Cambria Math"/>
                <w:szCs w:val="24"/>
              </w:rPr>
              <m:t>O</m:t>
            </m:r>
          </m:e>
          <m:sub>
            <m:r>
              <w:rPr>
                <w:rFonts w:ascii="Cambria Math"/>
                <w:szCs w:val="24"/>
              </w:rPr>
              <m:t>3</m:t>
            </m:r>
          </m:sub>
        </m:sSub>
        <m:r>
          <w:rPr>
            <w:rFonts w:ascii="Cambria Math"/>
            <w:szCs w:val="24"/>
          </w:rPr>
          <m:t>+3</m:t>
        </m:r>
        <m:sSub>
          <m:sSubPr>
            <m:ctrlPr>
              <w:rPr>
                <w:rFonts w:ascii="Cambria Math" w:hAnsi="Cambria Math"/>
                <w:i/>
                <w:szCs w:val="24"/>
              </w:rPr>
            </m:ctrlPr>
          </m:sSubPr>
          <m:e>
            <m:r>
              <w:rPr>
                <w:rFonts w:ascii="Cambria Math" w:hAnsi="Cambria Math"/>
                <w:szCs w:val="24"/>
              </w:rPr>
              <m:t>NH</m:t>
            </m:r>
          </m:e>
          <m:sub>
            <m:r>
              <w:rPr>
                <w:rFonts w:ascii="Cambria Math"/>
                <w:szCs w:val="24"/>
              </w:rPr>
              <m:t>4</m:t>
            </m:r>
          </m:sub>
        </m:sSub>
        <m:sSub>
          <m:sSubPr>
            <m:ctrlPr>
              <w:rPr>
                <w:rFonts w:ascii="Cambria Math" w:hAnsi="Cambria Math"/>
                <w:i/>
                <w:szCs w:val="24"/>
              </w:rPr>
            </m:ctrlPr>
          </m:sSubPr>
          <m:e>
            <m:r>
              <w:rPr>
                <w:rFonts w:ascii="Cambria Math" w:hAnsi="Cambria Math"/>
                <w:szCs w:val="24"/>
              </w:rPr>
              <m:t>H</m:t>
            </m:r>
          </m:e>
          <m:sub>
            <m:r>
              <w:rPr>
                <w:rFonts w:ascii="Cambria Math"/>
                <w:szCs w:val="24"/>
              </w:rPr>
              <m:t>2</m:t>
            </m:r>
          </m:sub>
        </m:sSub>
        <m:sSub>
          <m:sSubPr>
            <m:ctrlPr>
              <w:rPr>
                <w:rFonts w:ascii="Cambria Math" w:hAnsi="Cambria Math"/>
                <w:i/>
                <w:szCs w:val="24"/>
                <w:vertAlign w:val="subscript"/>
              </w:rPr>
            </m:ctrlPr>
          </m:sSubPr>
          <m:e>
            <m:d>
              <m:dPr>
                <m:ctrlPr>
                  <w:rPr>
                    <w:rFonts w:ascii="Cambria Math" w:hAnsi="Cambria Math"/>
                    <w:i/>
                    <w:szCs w:val="24"/>
                    <w:vertAlign w:val="subscript"/>
                  </w:rPr>
                </m:ctrlPr>
              </m:dPr>
              <m:e>
                <m:sSub>
                  <m:sSubPr>
                    <m:ctrlPr>
                      <w:rPr>
                        <w:rFonts w:ascii="Cambria Math" w:hAnsi="Cambria Math"/>
                        <w:i/>
                        <w:szCs w:val="24"/>
                      </w:rPr>
                    </m:ctrlPr>
                  </m:sSubPr>
                  <m:e>
                    <m:r>
                      <w:rPr>
                        <w:rFonts w:ascii="Cambria Math" w:hAnsi="Cambria Math"/>
                        <w:szCs w:val="24"/>
                      </w:rPr>
                      <m:t>PO</m:t>
                    </m:r>
                  </m:e>
                  <m:sub>
                    <m:r>
                      <w:rPr>
                        <w:rFonts w:ascii="Cambria Math"/>
                        <w:szCs w:val="24"/>
                      </w:rPr>
                      <m:t>4</m:t>
                    </m:r>
                  </m:sub>
                </m:sSub>
              </m:e>
            </m:d>
          </m:e>
          <m:sub>
            <m:r>
              <w:rPr>
                <w:rFonts w:ascii="Cambria Math"/>
                <w:szCs w:val="24"/>
                <w:vertAlign w:val="subscript"/>
              </w:rPr>
              <m:t>3</m:t>
            </m:r>
          </m:sub>
        </m:sSub>
        <m:box>
          <m:boxPr>
            <m:opEmu m:val="1"/>
            <m:ctrlPr>
              <w:rPr>
                <w:rFonts w:ascii="Cambria Math" w:hAnsi="Cambria Math"/>
                <w:i/>
                <w:szCs w:val="24"/>
                <w:vertAlign w:val="subscript"/>
              </w:rPr>
            </m:ctrlPr>
          </m:boxPr>
          <m:e>
            <m:groupChr>
              <m:groupChrPr>
                <m:chr m:val="→"/>
                <m:vertJc m:val="bot"/>
                <m:ctrlPr>
                  <w:rPr>
                    <w:rFonts w:ascii="Cambria Math" w:hAnsi="Cambria Math"/>
                    <w:i/>
                    <w:szCs w:val="24"/>
                    <w:vertAlign w:val="subscript"/>
                  </w:rPr>
                </m:ctrlPr>
              </m:groupChrPr>
              <m:e>
                <m:r>
                  <w:rPr>
                    <w:rFonts w:ascii="Cambria Math" w:hAnsi="Cambria Math"/>
                    <w:szCs w:val="24"/>
                    <w:vertAlign w:val="subscript"/>
                  </w:rPr>
                  <m:t>∆</m:t>
                </m:r>
              </m:e>
            </m:groupChr>
          </m:e>
        </m:box>
        <m:sSub>
          <m:sSubPr>
            <m:ctrlPr>
              <w:rPr>
                <w:rFonts w:ascii="Cambria Math" w:hAnsi="Cambria Math"/>
                <w:i/>
                <w:szCs w:val="24"/>
              </w:rPr>
            </m:ctrlPr>
          </m:sSubPr>
          <m:e>
            <m:r>
              <w:rPr>
                <w:rFonts w:ascii="Cambria Math" w:hAnsi="Cambria Math"/>
                <w:szCs w:val="24"/>
              </w:rPr>
              <m:t>Li</m:t>
            </m:r>
          </m:e>
          <m:sub>
            <m:r>
              <w:rPr>
                <w:rFonts w:ascii="Cambria Math"/>
                <w:szCs w:val="24"/>
              </w:rPr>
              <m:t>1+</m:t>
            </m:r>
            <m:r>
              <w:rPr>
                <w:rFonts w:ascii="Cambria Math" w:hAnsi="Cambria Math"/>
                <w:szCs w:val="24"/>
              </w:rPr>
              <m:t>x</m:t>
            </m:r>
          </m:sub>
        </m:sSub>
        <m:sSub>
          <m:sSubPr>
            <m:ctrlPr>
              <w:rPr>
                <w:rFonts w:ascii="Cambria Math" w:hAnsi="Cambria Math"/>
                <w:i/>
                <w:szCs w:val="24"/>
              </w:rPr>
            </m:ctrlPr>
          </m:sSubPr>
          <m:e>
            <m:r>
              <w:rPr>
                <w:rFonts w:ascii="Cambria Math" w:hAnsi="Cambria Math"/>
                <w:szCs w:val="24"/>
              </w:rPr>
              <m:t>Ti</m:t>
            </m:r>
          </m:e>
          <m:sub>
            <m:r>
              <w:rPr>
                <w:rFonts w:ascii="Cambria Math"/>
                <w:szCs w:val="24"/>
              </w:rPr>
              <m:t>2</m:t>
            </m:r>
            <m:r>
              <w:rPr>
                <w:rFonts w:ascii="Cambria Math" w:hAnsi="Cambria Math"/>
                <w:szCs w:val="24"/>
              </w:rPr>
              <m:t>-x</m:t>
            </m:r>
          </m:sub>
        </m:sSub>
        <m:sSub>
          <m:sSubPr>
            <m:ctrlPr>
              <w:rPr>
                <w:rFonts w:ascii="Cambria Math" w:hAnsi="Cambria Math"/>
                <w:i/>
                <w:szCs w:val="24"/>
                <w:vertAlign w:val="subscript"/>
              </w:rPr>
            </m:ctrlPr>
          </m:sSubPr>
          <m:e>
            <m:r>
              <w:rPr>
                <w:rFonts w:ascii="Cambria Math" w:hAnsi="Cambria Math"/>
                <w:szCs w:val="24"/>
                <w:vertAlign w:val="subscript"/>
              </w:rPr>
              <m:t>Al</m:t>
            </m:r>
          </m:e>
          <m:sub>
            <m:r>
              <w:rPr>
                <w:rFonts w:ascii="Cambria Math" w:hAnsi="Cambria Math"/>
                <w:szCs w:val="24"/>
                <w:vertAlign w:val="subscript"/>
              </w:rPr>
              <m:t>x</m:t>
            </m:r>
          </m:sub>
        </m:sSub>
        <m:sSub>
          <m:sSubPr>
            <m:ctrlPr>
              <w:rPr>
                <w:rFonts w:ascii="Cambria Math" w:hAnsi="Cambria Math"/>
                <w:i/>
                <w:szCs w:val="24"/>
              </w:rPr>
            </m:ctrlPr>
          </m:sSub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PO</m:t>
                    </m:r>
                  </m:e>
                  <m:sub>
                    <m:r>
                      <w:rPr>
                        <w:rFonts w:ascii="Cambria Math"/>
                        <w:szCs w:val="24"/>
                      </w:rPr>
                      <m:t>4</m:t>
                    </m:r>
                  </m:sub>
                </m:sSub>
              </m:e>
            </m:d>
          </m:e>
          <m:sub>
            <m:r>
              <w:rPr>
                <w:rFonts w:ascii="Cambria Math"/>
                <w:szCs w:val="24"/>
              </w:rPr>
              <m:t>3</m:t>
            </m:r>
          </m:sub>
        </m:sSub>
        <m:r>
          <w:rPr>
            <w:rFonts w:ascii="Cambria Math"/>
            <w:szCs w:val="24"/>
          </w:rPr>
          <m:t xml:space="preserve"> + 3</m:t>
        </m:r>
        <m:sSub>
          <m:sSubPr>
            <m:ctrlPr>
              <w:rPr>
                <w:rFonts w:ascii="Cambria Math" w:hAnsi="Cambria Math"/>
                <w:i/>
                <w:szCs w:val="24"/>
              </w:rPr>
            </m:ctrlPr>
          </m:sSubPr>
          <m:e>
            <m:r>
              <w:rPr>
                <w:rFonts w:ascii="Cambria Math" w:hAnsi="Cambria Math"/>
                <w:szCs w:val="24"/>
              </w:rPr>
              <m:t>NH</m:t>
            </m:r>
          </m:e>
          <m:sub>
            <m:r>
              <w:rPr>
                <w:rFonts w:ascii="Cambria Math"/>
                <w:szCs w:val="24"/>
              </w:rPr>
              <m:t>3</m:t>
            </m:r>
          </m:sub>
        </m:sSub>
        <m:r>
          <w:rPr>
            <w:rFonts w:ascii="Cambria Math"/>
            <w:szCs w:val="24"/>
          </w:rPr>
          <m:t xml:space="preserve"> + </m:t>
        </m:r>
        <m:sSub>
          <m:sSubPr>
            <m:ctrlPr>
              <w:rPr>
                <w:rFonts w:ascii="Cambria Math" w:hAnsi="Cambria Math"/>
                <w:i/>
                <w:szCs w:val="24"/>
              </w:rPr>
            </m:ctrlPr>
          </m:sSubPr>
          <m:e>
            <m:d>
              <m:dPr>
                <m:begChr m:val="["/>
                <m:endChr m:val="]"/>
                <m:ctrlPr>
                  <w:rPr>
                    <w:rFonts w:ascii="Cambria Math" w:hAnsi="Cambria Math"/>
                    <w:i/>
                    <w:szCs w:val="24"/>
                  </w:rPr>
                </m:ctrlPr>
              </m:dPr>
              <m:e>
                <m:f>
                  <m:fPr>
                    <m:ctrlPr>
                      <w:rPr>
                        <w:rFonts w:ascii="Cambria Math" w:hAnsi="Cambria Math"/>
                        <w:i/>
                        <w:szCs w:val="24"/>
                      </w:rPr>
                    </m:ctrlPr>
                  </m:fPr>
                  <m:num>
                    <m:r>
                      <w:rPr>
                        <w:rFonts w:ascii="Cambria Math"/>
                        <w:szCs w:val="24"/>
                      </w:rPr>
                      <m:t>1+</m:t>
                    </m:r>
                    <m:r>
                      <w:rPr>
                        <w:rFonts w:ascii="Cambria Math" w:hAnsi="Cambria Math"/>
                        <w:szCs w:val="24"/>
                      </w:rPr>
                      <m:t>x</m:t>
                    </m:r>
                  </m:num>
                  <m:den>
                    <m:r>
                      <w:rPr>
                        <w:rFonts w:ascii="Cambria Math"/>
                        <w:szCs w:val="24"/>
                      </w:rPr>
                      <m:t>2</m:t>
                    </m:r>
                  </m:den>
                </m:f>
              </m:e>
            </m:d>
            <m:r>
              <w:rPr>
                <w:rFonts w:ascii="Cambria Math" w:hAnsi="Cambria Math"/>
                <w:szCs w:val="24"/>
              </w:rPr>
              <m:t>CO</m:t>
            </m:r>
          </m:e>
          <m:sub>
            <m:r>
              <w:rPr>
                <w:rFonts w:ascii="Cambria Math"/>
                <w:szCs w:val="24"/>
              </w:rPr>
              <m:t>2</m:t>
            </m:r>
          </m:sub>
        </m:sSub>
        <m:r>
          <w:rPr>
            <w:rFonts w:ascii="Cambria Math"/>
            <w:szCs w:val="24"/>
          </w:rPr>
          <m:t xml:space="preserve"> +(</m:t>
        </m:r>
        <m:f>
          <m:fPr>
            <m:ctrlPr>
              <w:rPr>
                <w:rFonts w:ascii="Cambria Math" w:hAnsi="Cambria Math"/>
                <w:i/>
                <w:szCs w:val="24"/>
              </w:rPr>
            </m:ctrlPr>
          </m:fPr>
          <m:num>
            <m:r>
              <w:rPr>
                <w:rFonts w:ascii="Cambria Math"/>
                <w:szCs w:val="24"/>
              </w:rPr>
              <m:t>9</m:t>
            </m:r>
          </m:num>
          <m:den>
            <m:r>
              <w:rPr>
                <w:rFonts w:ascii="Cambria Math"/>
                <w:szCs w:val="24"/>
              </w:rPr>
              <m:t>2</m:t>
            </m:r>
          </m:den>
        </m:f>
        <m:r>
          <w:rPr>
            <w:rFonts w:ascii="Cambria Math"/>
            <w:szCs w:val="24"/>
          </w:rPr>
          <m:t>)</m:t>
        </m:r>
        <m:sSub>
          <m:sSubPr>
            <m:ctrlPr>
              <w:rPr>
                <w:rFonts w:ascii="Cambria Math" w:hAnsi="Cambria Math"/>
                <w:i/>
                <w:szCs w:val="24"/>
              </w:rPr>
            </m:ctrlPr>
          </m:sSubPr>
          <m:e>
            <m:r>
              <w:rPr>
                <w:rFonts w:ascii="Cambria Math" w:hAnsi="Cambria Math"/>
                <w:szCs w:val="24"/>
              </w:rPr>
              <m:t>H</m:t>
            </m:r>
          </m:e>
          <m:sub>
            <m:r>
              <w:rPr>
                <w:rFonts w:ascii="Cambria Math"/>
                <w:szCs w:val="24"/>
              </w:rPr>
              <m:t>2</m:t>
            </m:r>
          </m:sub>
        </m:sSub>
        <m:r>
          <w:rPr>
            <w:rFonts w:ascii="Cambria Math" w:hAnsi="Cambria Math"/>
            <w:szCs w:val="24"/>
          </w:rPr>
          <m:t>O</m:t>
        </m:r>
      </m:oMath>
      <w:r w:rsidR="00C47606" w:rsidRPr="00367481">
        <w:rPr>
          <w:rFonts w:eastAsiaTheme="minorEastAsia"/>
          <w:szCs w:val="24"/>
        </w:rPr>
        <w:t xml:space="preserve"> </w:t>
      </w:r>
      <w:r w:rsidR="00C47606" w:rsidRPr="00363B40">
        <w:rPr>
          <w:rFonts w:eastAsiaTheme="minorEastAsia"/>
          <w:szCs w:val="24"/>
        </w:rPr>
        <w:t xml:space="preserve"> </w:t>
      </w:r>
      <w:r w:rsidR="00C47606" w:rsidRPr="00363B40">
        <w:rPr>
          <w:rFonts w:eastAsiaTheme="minorEastAsia"/>
          <w:szCs w:val="24"/>
        </w:rPr>
        <w:tab/>
      </w:r>
      <w:r w:rsidR="00C47606" w:rsidRPr="00363B40">
        <w:rPr>
          <w:rFonts w:eastAsiaTheme="minorEastAsia"/>
          <w:szCs w:val="24"/>
        </w:rPr>
        <w:tab/>
      </w:r>
      <w:r w:rsidR="00C47606" w:rsidRPr="00363B40">
        <w:rPr>
          <w:rFonts w:eastAsiaTheme="minorEastAsia"/>
          <w:szCs w:val="24"/>
        </w:rPr>
        <w:tab/>
      </w:r>
      <w:r w:rsidR="00C47606" w:rsidRPr="00363B40">
        <w:rPr>
          <w:rFonts w:eastAsiaTheme="minorEastAsia"/>
          <w:szCs w:val="24"/>
        </w:rPr>
        <w:tab/>
        <w:t xml:space="preserve">                                   </w:t>
      </w:r>
      <w:r w:rsidR="00C31ACC" w:rsidRPr="00363B40">
        <w:rPr>
          <w:rFonts w:eastAsiaTheme="minorEastAsia"/>
          <w:szCs w:val="24"/>
        </w:rPr>
        <w:t xml:space="preserve">                          </w:t>
      </w:r>
      <w:r w:rsidR="00C47606" w:rsidRPr="00363B40">
        <w:rPr>
          <w:rFonts w:eastAsiaTheme="minorEastAsia"/>
          <w:szCs w:val="24"/>
        </w:rPr>
        <w:t>(1)</w:t>
      </w:r>
    </w:p>
    <w:p w:rsidR="00C47606" w:rsidRPr="00363B40" w:rsidRDefault="00C47606" w:rsidP="00F96BD1">
      <w:pPr>
        <w:autoSpaceDE w:val="0"/>
        <w:autoSpaceDN w:val="0"/>
        <w:adjustRightInd w:val="0"/>
        <w:ind w:firstLine="720"/>
        <w:jc w:val="both"/>
      </w:pPr>
    </w:p>
    <w:p w:rsidR="003F305F" w:rsidRPr="00363B40" w:rsidRDefault="003F305F" w:rsidP="00F96BD1">
      <w:pPr>
        <w:autoSpaceDE w:val="0"/>
        <w:autoSpaceDN w:val="0"/>
        <w:adjustRightInd w:val="0"/>
        <w:jc w:val="both"/>
      </w:pPr>
    </w:p>
    <w:p w:rsidR="003F305F" w:rsidRPr="00363B40" w:rsidRDefault="003F305F" w:rsidP="00F96BD1">
      <w:pPr>
        <w:autoSpaceDE w:val="0"/>
        <w:autoSpaceDN w:val="0"/>
        <w:adjustRightInd w:val="0"/>
        <w:jc w:val="both"/>
        <w:rPr>
          <w:b/>
        </w:rPr>
      </w:pPr>
      <w:r w:rsidRPr="00363B40">
        <w:rPr>
          <w:b/>
        </w:rPr>
        <w:t>Characterisation</w:t>
      </w:r>
    </w:p>
    <w:p w:rsidR="003F305F" w:rsidRDefault="003F305F" w:rsidP="00F96BD1">
      <w:pPr>
        <w:autoSpaceDE w:val="0"/>
        <w:autoSpaceDN w:val="0"/>
        <w:adjustRightInd w:val="0"/>
        <w:jc w:val="both"/>
      </w:pPr>
    </w:p>
    <w:p w:rsidR="00336A9D" w:rsidRDefault="00AE7F16">
      <w:pPr>
        <w:autoSpaceDE w:val="0"/>
        <w:autoSpaceDN w:val="0"/>
        <w:adjustRightInd w:val="0"/>
        <w:jc w:val="both"/>
      </w:pPr>
      <w:r>
        <w:tab/>
      </w:r>
      <w:r w:rsidRPr="00363B40">
        <w:t>The bulk density was measured using Archimedes principle</w:t>
      </w:r>
      <w:r w:rsidR="00CB575D">
        <w:t xml:space="preserve"> (Mettler Toledo density balance XS64)</w:t>
      </w:r>
      <w:r w:rsidRPr="00363B40">
        <w:t xml:space="preserve"> to investigate the effect of sintering on the samples.</w:t>
      </w:r>
      <w:r w:rsidR="00CB575D">
        <w:t xml:space="preserve"> Distilled water was used as the immersion </w:t>
      </w:r>
      <w:r w:rsidR="00CB575D">
        <w:lastRenderedPageBreak/>
        <w:t>liquid at room temperature during the measurement.</w:t>
      </w:r>
    </w:p>
    <w:p w:rsidR="003F305F" w:rsidRPr="00363B40" w:rsidRDefault="003F305F" w:rsidP="00F96BD1">
      <w:pPr>
        <w:autoSpaceDE w:val="0"/>
        <w:autoSpaceDN w:val="0"/>
        <w:adjustRightInd w:val="0"/>
        <w:ind w:firstLine="720"/>
        <w:jc w:val="both"/>
        <w:rPr>
          <w:szCs w:val="24"/>
        </w:rPr>
      </w:pPr>
      <w:r w:rsidRPr="00363B40">
        <w:t xml:space="preserve">The </w:t>
      </w:r>
      <w:r w:rsidR="00C63A97" w:rsidRPr="00363B40">
        <w:t>structur</w:t>
      </w:r>
      <w:r w:rsidR="002342DD" w:rsidRPr="00363B40">
        <w:t>al identification of the pellet samples</w:t>
      </w:r>
      <w:r w:rsidR="00C63A97" w:rsidRPr="00363B40">
        <w:t xml:space="preserve"> before and after sintering at different composition</w:t>
      </w:r>
      <w:r w:rsidR="00AE7F16">
        <w:t>s</w:t>
      </w:r>
      <w:r w:rsidRPr="00363B40">
        <w:t xml:space="preserve"> were characterised</w:t>
      </w:r>
      <w:r w:rsidR="00AE7F16">
        <w:t xml:space="preserve"> using</w:t>
      </w:r>
      <w:r w:rsidRPr="00363B40">
        <w:t xml:space="preserve"> </w:t>
      </w:r>
      <w:r w:rsidR="00AE7F16">
        <w:t>X</w:t>
      </w:r>
      <w:r w:rsidRPr="00363B40">
        <w:t>-ray diffraction (XRD - PANalytical in 2θ range</w:t>
      </w:r>
      <w:r w:rsidR="00AE7F16">
        <w:t xml:space="preserve"> of</w:t>
      </w:r>
      <w:r w:rsidRPr="00363B40">
        <w:t xml:space="preserve"> 10 – 40</w:t>
      </w:r>
      <w:r w:rsidR="006B32B1">
        <w:rPr>
          <w:szCs w:val="24"/>
        </w:rPr>
        <w:t>°</w:t>
      </w:r>
      <w:r w:rsidRPr="00363B40">
        <w:t xml:space="preserve"> using Cu-kα radiation). </w:t>
      </w:r>
      <w:r w:rsidRPr="00363B40">
        <w:rPr>
          <w:szCs w:val="24"/>
        </w:rPr>
        <w:t xml:space="preserve">Scherrer’s equation was applied to obtain the average crystalline size </w:t>
      </w:r>
      <w:r w:rsidR="00FA7509">
        <w:rPr>
          <w:szCs w:val="24"/>
        </w:rPr>
        <w:t>(see E</w:t>
      </w:r>
      <w:r w:rsidRPr="00363B40">
        <w:rPr>
          <w:szCs w:val="24"/>
        </w:rPr>
        <w:t>quation 2</w:t>
      </w:r>
      <w:r w:rsidR="00AE7F16">
        <w:rPr>
          <w:szCs w:val="24"/>
        </w:rPr>
        <w:t>)</w:t>
      </w:r>
      <w:r w:rsidRPr="00363B40">
        <w:rPr>
          <w:szCs w:val="24"/>
        </w:rPr>
        <w:t>, where D is the crystalline size, K is the scherrer constant (K=0.9 by assuming the particle is spherical), λ is the wavelength of Cu Kα radiation = 1.5406</w:t>
      </w:r>
      <w:r w:rsidR="002342DD" w:rsidRPr="00363B40">
        <w:rPr>
          <w:szCs w:val="24"/>
        </w:rPr>
        <w:t xml:space="preserve"> Å</w:t>
      </w:r>
      <w:r w:rsidRPr="00363B40">
        <w:rPr>
          <w:rFonts w:eastAsiaTheme="minorEastAsia"/>
          <w:szCs w:val="24"/>
        </w:rPr>
        <w:t xml:space="preserve">, </w:t>
      </w:r>
      <w:r w:rsidR="002342DD" w:rsidRPr="00363B40">
        <w:rPr>
          <w:rFonts w:eastAsiaTheme="minorEastAsia"/>
          <w:szCs w:val="24"/>
        </w:rPr>
        <w:t xml:space="preserve">β </w:t>
      </w:r>
      <w:r w:rsidRPr="00363B40">
        <w:rPr>
          <w:rFonts w:eastAsiaTheme="minorEastAsia"/>
          <w:szCs w:val="24"/>
        </w:rPr>
        <w:t xml:space="preserve">is the full width at </w:t>
      </w:r>
      <w:r w:rsidR="00C63A97" w:rsidRPr="00363B40">
        <w:rPr>
          <w:rFonts w:eastAsiaTheme="minorEastAsia"/>
          <w:szCs w:val="24"/>
        </w:rPr>
        <w:t xml:space="preserve">half </w:t>
      </w:r>
      <w:r w:rsidRPr="00363B40">
        <w:rPr>
          <w:rFonts w:eastAsiaTheme="minorEastAsia"/>
          <w:szCs w:val="24"/>
        </w:rPr>
        <w:t xml:space="preserve">maximum (FWHM) for diffraction peak in radian and θ </w:t>
      </w:r>
      <w:r w:rsidRPr="00363B40">
        <w:rPr>
          <w:szCs w:val="24"/>
        </w:rPr>
        <w:t xml:space="preserve">is the diffraction angle </w:t>
      </w:r>
      <w:r w:rsidR="00CD3E55" w:rsidRPr="00363B40">
        <w:rPr>
          <w:szCs w:val="24"/>
        </w:rPr>
        <w:fldChar w:fldCharType="begin" w:fldLock="1"/>
      </w:r>
      <w:r w:rsidR="002A0130" w:rsidRPr="00363B40">
        <w:rPr>
          <w:szCs w:val="24"/>
        </w:rPr>
        <w:instrText>ADDIN CSL_CITATION { "citationItems" : [ { "id" : "ITEM-1", "itemData" : { "author" : [ { "dropping-particle" : "", "family" : "Ng Kei Hoa and Hasan Zuhudi Abdullah", "given" : "", "non-dropping-particle" : "", "parse-names" : false, "suffix" : "" } ], "container-title" : "Advanced Materials Research", "id" : "ITEM-1", "issue" : "August", "issued" : { "date-parts" : [ [ "2015" ] ] }, "page" : "345-349", "title" : "Preliminary Studies of the Effects of Polyethylene Glycol / Hydroxyapatite Powder- Binder System for 3D Printing Application", "type" : "article-journal", "volume" : "1087" }, "uris" : [ "http://www.mendeley.com/documents/?uuid=c657e27b-b1f7-48f9-b0e6-ced386400f12" ] } ], "mendeley" : { "formattedCitation" : "[11]", "plainTextFormattedCitation" : "[11]", "previouslyFormattedCitation" : "[11]" }, "properties" : { "noteIndex" : 0 }, "schema" : "https://github.com/citation-style-language/schema/raw/master/csl-citation.json" }</w:instrText>
      </w:r>
      <w:r w:rsidR="00CD3E55" w:rsidRPr="00363B40">
        <w:rPr>
          <w:szCs w:val="24"/>
        </w:rPr>
        <w:fldChar w:fldCharType="separate"/>
      </w:r>
      <w:r w:rsidR="00B850E6" w:rsidRPr="00B850E6">
        <w:rPr>
          <w:noProof/>
          <w:szCs w:val="24"/>
        </w:rPr>
        <w:t>[11]</w:t>
      </w:r>
      <w:r w:rsidR="00CD3E55" w:rsidRPr="00363B40">
        <w:rPr>
          <w:szCs w:val="24"/>
        </w:rPr>
        <w:fldChar w:fldCharType="end"/>
      </w:r>
      <w:r w:rsidR="00FA7509">
        <w:rPr>
          <w:szCs w:val="24"/>
        </w:rPr>
        <w:t>.</w:t>
      </w:r>
    </w:p>
    <w:p w:rsidR="003F305F" w:rsidRPr="00363B40" w:rsidRDefault="003F305F" w:rsidP="00F96BD1">
      <w:pPr>
        <w:autoSpaceDE w:val="0"/>
        <w:autoSpaceDN w:val="0"/>
        <w:adjustRightInd w:val="0"/>
        <w:ind w:left="480" w:hanging="480"/>
        <w:rPr>
          <w:szCs w:val="24"/>
        </w:rPr>
      </w:pPr>
    </w:p>
    <w:p w:rsidR="00336A9D" w:rsidRDefault="003F305F">
      <w:pPr>
        <w:autoSpaceDE w:val="0"/>
        <w:autoSpaceDN w:val="0"/>
        <w:adjustRightInd w:val="0"/>
        <w:rPr>
          <w:szCs w:val="24"/>
        </w:rPr>
      </w:pPr>
      <m:oMath>
        <m:r>
          <w:rPr>
            <w:rFonts w:ascii="Cambria Math" w:hAnsi="Cambria Math"/>
            <w:szCs w:val="24"/>
          </w:rPr>
          <m:t>D=</m:t>
        </m:r>
        <m:f>
          <m:fPr>
            <m:ctrlPr>
              <w:rPr>
                <w:rFonts w:ascii="Cambria Math" w:hAnsi="Cambria Math"/>
                <w:i/>
                <w:szCs w:val="24"/>
              </w:rPr>
            </m:ctrlPr>
          </m:fPr>
          <m:num>
            <m:r>
              <w:rPr>
                <w:rFonts w:ascii="Cambria Math" w:hAnsi="Cambria Math"/>
                <w:szCs w:val="24"/>
              </w:rPr>
              <m:t xml:space="preserve">0.9 </m:t>
            </m:r>
            <m:r>
              <m:rPr>
                <m:sty m:val="p"/>
              </m:rPr>
              <w:rPr>
                <w:rFonts w:ascii="Cambria Math" w:hAnsi="Cambria Math"/>
                <w:szCs w:val="24"/>
              </w:rPr>
              <m:t>λ</m:t>
            </m:r>
          </m:num>
          <m:den>
            <m:r>
              <w:rPr>
                <w:rFonts w:ascii="Cambria Math" w:eastAsiaTheme="minorEastAsia" w:hAnsi="Cambria Math"/>
                <w:szCs w:val="24"/>
              </w:rPr>
              <m:t>β</m:t>
            </m:r>
            <m:func>
              <m:funcPr>
                <m:ctrlPr>
                  <w:rPr>
                    <w:rFonts w:ascii="Cambria Math" w:eastAsiaTheme="minorEastAsia" w:hAnsi="Cambria Math" w:cs="Cambria Math"/>
                    <w:szCs w:val="24"/>
                  </w:rPr>
                </m:ctrlPr>
              </m:funcPr>
              <m:fName>
                <m:r>
                  <m:rPr>
                    <m:sty m:val="p"/>
                  </m:rPr>
                  <w:rPr>
                    <w:rFonts w:ascii="Cambria Math" w:eastAsiaTheme="minorEastAsia"/>
                    <w:szCs w:val="24"/>
                  </w:rPr>
                  <m:t>cos</m:t>
                </m:r>
                <m:ctrlPr>
                  <w:rPr>
                    <w:rFonts w:ascii="Cambria Math" w:eastAsiaTheme="minorEastAsia" w:hAnsi="Cambria Math"/>
                    <w:szCs w:val="24"/>
                  </w:rPr>
                </m:ctrlPr>
              </m:fName>
              <m:e>
                <m:r>
                  <m:rPr>
                    <m:sty m:val="p"/>
                  </m:rPr>
                  <w:rPr>
                    <w:rFonts w:ascii="Cambria Math" w:eastAsiaTheme="minorEastAsia" w:hAnsi="Cambria Math"/>
                    <w:szCs w:val="24"/>
                  </w:rPr>
                  <m:t>θ</m:t>
                </m:r>
                <m:ctrlPr>
                  <w:rPr>
                    <w:rFonts w:ascii="Cambria Math" w:eastAsiaTheme="minorEastAsia" w:hAnsi="Cambria Math"/>
                    <w:szCs w:val="24"/>
                  </w:rPr>
                </m:ctrlPr>
              </m:e>
            </m:func>
          </m:den>
        </m:f>
      </m:oMath>
      <w:r w:rsidRPr="00363B40">
        <w:rPr>
          <w:rFonts w:eastAsiaTheme="minorEastAsia"/>
          <w:szCs w:val="24"/>
        </w:rPr>
        <w:t xml:space="preserve">                                                                                     </w:t>
      </w:r>
      <w:r w:rsidR="00FA7509">
        <w:rPr>
          <w:rFonts w:eastAsiaTheme="minorEastAsia"/>
          <w:szCs w:val="24"/>
        </w:rPr>
        <w:tab/>
      </w:r>
      <w:r w:rsidR="00FA7509">
        <w:rPr>
          <w:rFonts w:eastAsiaTheme="minorEastAsia"/>
          <w:szCs w:val="24"/>
        </w:rPr>
        <w:tab/>
      </w:r>
      <w:r w:rsidR="00FA7509">
        <w:rPr>
          <w:rFonts w:eastAsiaTheme="minorEastAsia"/>
          <w:szCs w:val="24"/>
        </w:rPr>
        <w:tab/>
      </w:r>
      <w:r w:rsidR="00FA7509">
        <w:rPr>
          <w:rFonts w:eastAsiaTheme="minorEastAsia"/>
          <w:szCs w:val="24"/>
        </w:rPr>
        <w:tab/>
      </w:r>
      <w:r w:rsidR="00FA7509">
        <w:rPr>
          <w:rFonts w:eastAsiaTheme="minorEastAsia"/>
          <w:szCs w:val="24"/>
        </w:rPr>
        <w:tab/>
        <w:t xml:space="preserve">  </w:t>
      </w:r>
      <w:r w:rsidRPr="00363B40">
        <w:rPr>
          <w:rFonts w:eastAsiaTheme="minorEastAsia"/>
          <w:szCs w:val="24"/>
        </w:rPr>
        <w:t>(2)</w:t>
      </w:r>
    </w:p>
    <w:p w:rsidR="003F305F" w:rsidRPr="00363B40" w:rsidRDefault="003F305F" w:rsidP="00F96BD1">
      <w:pPr>
        <w:autoSpaceDE w:val="0"/>
        <w:autoSpaceDN w:val="0"/>
        <w:adjustRightInd w:val="0"/>
        <w:jc w:val="both"/>
      </w:pPr>
    </w:p>
    <w:p w:rsidR="003F305F" w:rsidRPr="00363B40" w:rsidRDefault="003F305F" w:rsidP="00F96BD1">
      <w:pPr>
        <w:autoSpaceDE w:val="0"/>
        <w:autoSpaceDN w:val="0"/>
        <w:adjustRightInd w:val="0"/>
        <w:ind w:firstLine="720"/>
        <w:jc w:val="both"/>
      </w:pPr>
      <w:r w:rsidRPr="00363B40">
        <w:t xml:space="preserve">Lattice parameters “a” and “c” were obtained from </w:t>
      </w:r>
      <w:r w:rsidR="00FA7509">
        <w:t>E</w:t>
      </w:r>
      <w:r w:rsidRPr="00363B40">
        <w:t>quation 3 for hexagonal crystal geometry</w:t>
      </w:r>
      <w:r w:rsidR="00FA7509">
        <w:t xml:space="preserve">, </w:t>
      </w:r>
      <w:r w:rsidRPr="00363B40">
        <w:t>R3-c space group NASICON structure.</w:t>
      </w:r>
    </w:p>
    <w:p w:rsidR="003F305F" w:rsidRPr="00363B40" w:rsidRDefault="003F305F" w:rsidP="00F96BD1">
      <w:pPr>
        <w:autoSpaceDE w:val="0"/>
        <w:autoSpaceDN w:val="0"/>
        <w:adjustRightInd w:val="0"/>
        <w:jc w:val="both"/>
      </w:pPr>
    </w:p>
    <w:p w:rsidR="003F305F" w:rsidRPr="00363B40" w:rsidRDefault="00AB30E9" w:rsidP="00F96BD1">
      <w:pPr>
        <w:autoSpaceDE w:val="0"/>
        <w:autoSpaceDN w:val="0"/>
        <w:adjustRightInd w:val="0"/>
        <w:jc w:val="both"/>
        <w:rPr>
          <w:rFonts w:eastAsiaTheme="minorEastAsia"/>
        </w:rPr>
      </w:pP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+hk+</m:t>
                </m:r>
                <m:sSup>
                  <m:sSupPr>
                    <m:ctrlPr>
                      <w:rPr>
                        <w:rFonts w:ascii="Cambria Math" w:hAnsi="Cambria Math"/>
                        <w:i/>
                      </w:rPr>
                    </m:ctrlPr>
                  </m:sSupPr>
                  <m:e>
                    <m:r>
                      <w:rPr>
                        <w:rFonts w:ascii="Cambria Math" w:hAnsi="Cambria Math"/>
                      </w:rPr>
                      <m:t>k</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2</m:t>
                    </m:r>
                  </m:sup>
                </m:sSup>
              </m:den>
            </m:f>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num>
          <m:den>
            <m:sSup>
              <m:sSupPr>
                <m:ctrlPr>
                  <w:rPr>
                    <w:rFonts w:ascii="Cambria Math" w:hAnsi="Cambria Math"/>
                    <w:i/>
                  </w:rPr>
                </m:ctrlPr>
              </m:sSupPr>
              <m:e>
                <m:r>
                  <w:rPr>
                    <w:rFonts w:ascii="Cambria Math" w:hAnsi="Cambria Math"/>
                  </w:rPr>
                  <m:t>c</m:t>
                </m:r>
              </m:e>
              <m:sup>
                <m:r>
                  <w:rPr>
                    <w:rFonts w:ascii="Cambria Math" w:hAnsi="Cambria Math"/>
                  </w:rPr>
                  <m:t>2</m:t>
                </m:r>
              </m:sup>
            </m:sSup>
          </m:den>
        </m:f>
      </m:oMath>
      <w:r w:rsidR="003F305F" w:rsidRPr="00363B40">
        <w:rPr>
          <w:rFonts w:eastAsiaTheme="minorEastAsia"/>
        </w:rPr>
        <w:t xml:space="preserve">                                                      </w:t>
      </w:r>
      <w:r w:rsidR="00F96BD1" w:rsidRPr="00363B40">
        <w:rPr>
          <w:rFonts w:eastAsiaTheme="minorEastAsia"/>
        </w:rPr>
        <w:t xml:space="preserve">               </w:t>
      </w:r>
      <w:r w:rsidR="00FA7509">
        <w:rPr>
          <w:rFonts w:eastAsiaTheme="minorEastAsia"/>
        </w:rPr>
        <w:tab/>
      </w:r>
      <w:r w:rsidR="00FA7509">
        <w:rPr>
          <w:rFonts w:eastAsiaTheme="minorEastAsia"/>
        </w:rPr>
        <w:tab/>
      </w:r>
      <w:r w:rsidR="00FA7509">
        <w:rPr>
          <w:rFonts w:eastAsiaTheme="minorEastAsia"/>
        </w:rPr>
        <w:tab/>
      </w:r>
      <w:r w:rsidR="00FA7509">
        <w:rPr>
          <w:rFonts w:eastAsiaTheme="minorEastAsia"/>
        </w:rPr>
        <w:tab/>
      </w:r>
      <w:r w:rsidR="00FA7509">
        <w:rPr>
          <w:rFonts w:eastAsiaTheme="minorEastAsia"/>
        </w:rPr>
        <w:tab/>
        <w:t xml:space="preserve">  </w:t>
      </w:r>
      <w:r w:rsidR="003F305F" w:rsidRPr="00363B40">
        <w:rPr>
          <w:rFonts w:eastAsiaTheme="minorEastAsia"/>
        </w:rPr>
        <w:t>(3)</w:t>
      </w:r>
    </w:p>
    <w:p w:rsidR="005803FC" w:rsidRPr="00363B40" w:rsidRDefault="005803FC" w:rsidP="00F96BD1">
      <w:pPr>
        <w:autoSpaceDE w:val="0"/>
        <w:autoSpaceDN w:val="0"/>
        <w:adjustRightInd w:val="0"/>
        <w:jc w:val="both"/>
        <w:rPr>
          <w:rFonts w:eastAsiaTheme="minorEastAsia"/>
        </w:rPr>
      </w:pPr>
    </w:p>
    <w:p w:rsidR="005803FC" w:rsidRPr="00363B40" w:rsidRDefault="00FA7509" w:rsidP="00F96BD1">
      <w:pPr>
        <w:autoSpaceDE w:val="0"/>
        <w:autoSpaceDN w:val="0"/>
        <w:adjustRightInd w:val="0"/>
        <w:jc w:val="both"/>
        <w:rPr>
          <w:rFonts w:eastAsiaTheme="minorEastAsia"/>
        </w:rPr>
      </w:pPr>
      <w:r>
        <w:rPr>
          <w:rFonts w:eastAsiaTheme="minorEastAsia"/>
        </w:rPr>
        <w:t>W</w:t>
      </w:r>
      <w:r w:rsidR="005803FC" w:rsidRPr="00363B40">
        <w:rPr>
          <w:rFonts w:eastAsiaTheme="minorEastAsia"/>
        </w:rPr>
        <w:t>here d is the d-spacing and h</w:t>
      </w:r>
      <w:r w:rsidR="006B32B1">
        <w:rPr>
          <w:rFonts w:eastAsiaTheme="minorEastAsia"/>
        </w:rPr>
        <w:t>,</w:t>
      </w:r>
      <w:r w:rsidR="005803FC" w:rsidRPr="00363B40">
        <w:rPr>
          <w:rFonts w:eastAsiaTheme="minorEastAsia"/>
        </w:rPr>
        <w:t xml:space="preserve"> k</w:t>
      </w:r>
      <w:r w:rsidR="006B32B1">
        <w:rPr>
          <w:rFonts w:eastAsiaTheme="minorEastAsia"/>
        </w:rPr>
        <w:t xml:space="preserve"> and</w:t>
      </w:r>
      <w:r w:rsidR="005803FC" w:rsidRPr="00363B40">
        <w:rPr>
          <w:rFonts w:eastAsiaTheme="minorEastAsia"/>
        </w:rPr>
        <w:t xml:space="preserve"> l </w:t>
      </w:r>
      <w:r w:rsidR="006B32B1">
        <w:rPr>
          <w:rFonts w:eastAsiaTheme="minorEastAsia"/>
        </w:rPr>
        <w:t>are</w:t>
      </w:r>
      <w:r w:rsidR="005803FC" w:rsidRPr="00363B40">
        <w:rPr>
          <w:rFonts w:eastAsiaTheme="minorEastAsia"/>
        </w:rPr>
        <w:t xml:space="preserve"> the miller índices.</w:t>
      </w:r>
    </w:p>
    <w:p w:rsidR="00FA7509" w:rsidRPr="00363B40" w:rsidRDefault="00FA7509" w:rsidP="00F96BD1">
      <w:pPr>
        <w:autoSpaceDE w:val="0"/>
        <w:autoSpaceDN w:val="0"/>
        <w:adjustRightInd w:val="0"/>
        <w:jc w:val="both"/>
      </w:pPr>
    </w:p>
    <w:p w:rsidR="003F305F" w:rsidRPr="00363B40" w:rsidRDefault="003F305F" w:rsidP="00F96BD1">
      <w:pPr>
        <w:autoSpaceDE w:val="0"/>
        <w:autoSpaceDN w:val="0"/>
        <w:adjustRightInd w:val="0"/>
        <w:ind w:firstLine="720"/>
        <w:jc w:val="both"/>
      </w:pPr>
      <w:r w:rsidRPr="00363B40">
        <w:t xml:space="preserve">A unit cell volume of all samples were calculated by </w:t>
      </w:r>
      <w:r w:rsidR="006B32B1">
        <w:t>using</w:t>
      </w:r>
      <w:r w:rsidR="002342DD" w:rsidRPr="00363B40">
        <w:t xml:space="preserve"> </w:t>
      </w:r>
      <w:r w:rsidR="006B32B1">
        <w:t>E</w:t>
      </w:r>
      <w:r w:rsidR="002342DD" w:rsidRPr="00363B40">
        <w:t xml:space="preserve">quation 4 </w:t>
      </w:r>
      <w:r w:rsidR="00CD3E55" w:rsidRPr="00363B40">
        <w:fldChar w:fldCharType="begin" w:fldLock="1"/>
      </w:r>
      <w:r w:rsidR="0095385A">
        <w:instrText>ADDIN CSL_CITATION { "citationItems" : [ { "id" : "ITEM-1", "itemData" : { "author" : [ { "dropping-particle" : "", "family" : "Ullah", "given" : "Z", "non-dropping-particle" : "", "parse-names" : false, "suffix" : "" }, { "dropping-particle" : "", "family" : "Atiq", "given" : "S", "non-dropping-particle" : "", "parse-names" : false, "suffix" : "" }, { "dropping-particle" : "", "family" : "Naseem", "given" : "S", "non-dropping-particle" : "", "parse-names" : false, "suffix" : "" } ], "container-title" : "Journal of Scientific Research", "id" : "ITEM-1", "issue" : "2", "issued" : { "date-parts" : [ [ "2013" ] ] }, "page" : "235-244", "title" : "Indexing the Diffraction Patterns and Investigating the Crystal Structure of Pb-doped Strontium Ferrites", "type" : "article-journal", "volume" : "5" }, "uris" : [ "http://www.mendeley.com/documents/?uuid=dc6ca3b4-c343-42a5-b360-c4f1dedc0194" ] } ], "mendeley" : { "formattedCitation" : "[12]", "plainTextFormattedCitation" : "[12]" }, "properties" : { "noteIndex" : 0 }, "schema" : "https://github.com/citation-style-language/schema/raw/master/csl-citation.json" }</w:instrText>
      </w:r>
      <w:r w:rsidR="00CD3E55" w:rsidRPr="00363B40">
        <w:fldChar w:fldCharType="separate"/>
      </w:r>
      <w:r w:rsidR="00B850E6" w:rsidRPr="0095385A">
        <w:rPr>
          <w:noProof/>
        </w:rPr>
        <w:t>[12]</w:t>
      </w:r>
      <w:r w:rsidR="00CD3E55" w:rsidRPr="00363B40">
        <w:fldChar w:fldCharType="end"/>
      </w:r>
      <w:r w:rsidRPr="00363B40">
        <w:t>:</w:t>
      </w:r>
    </w:p>
    <w:p w:rsidR="003F305F" w:rsidRPr="00363B40" w:rsidRDefault="003F305F" w:rsidP="00F96BD1">
      <w:pPr>
        <w:autoSpaceDE w:val="0"/>
        <w:autoSpaceDN w:val="0"/>
        <w:adjustRightInd w:val="0"/>
        <w:jc w:val="both"/>
      </w:pPr>
    </w:p>
    <w:p w:rsidR="003F305F" w:rsidRPr="00363B40" w:rsidRDefault="003F305F" w:rsidP="00F96BD1">
      <w:pPr>
        <w:autoSpaceDE w:val="0"/>
        <w:autoSpaceDN w:val="0"/>
        <w:adjustRightInd w:val="0"/>
        <w:jc w:val="both"/>
        <w:rPr>
          <w:rFonts w:eastAsiaTheme="minorEastAsia"/>
        </w:rPr>
      </w:pPr>
      <m:oMath>
        <m:r>
          <w:rPr>
            <w:rFonts w:ascii="Cambria Math" w:hAnsi="Cambria Math"/>
          </w:rPr>
          <m:t>V=</m:t>
        </m:r>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c</m:t>
            </m:r>
          </m:num>
          <m:den>
            <m:r>
              <w:rPr>
                <w:rFonts w:ascii="Cambria Math" w:hAnsi="Cambria Math"/>
              </w:rPr>
              <m:t>2</m:t>
            </m:r>
          </m:den>
        </m:f>
        <m:r>
          <w:rPr>
            <w:rFonts w:ascii="Cambria Math" w:hAnsi="Cambria Math"/>
          </w:rPr>
          <m:t xml:space="preserve"> or 0.886</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c</m:t>
        </m:r>
      </m:oMath>
      <w:r w:rsidRPr="00363B40">
        <w:rPr>
          <w:rFonts w:eastAsiaTheme="minorEastAsia"/>
        </w:rPr>
        <w:t xml:space="preserve">                                                                    </w:t>
      </w:r>
      <w:r w:rsidR="00FA7509">
        <w:rPr>
          <w:rFonts w:eastAsiaTheme="minorEastAsia"/>
        </w:rPr>
        <w:tab/>
      </w:r>
      <w:r w:rsidR="00FA7509">
        <w:rPr>
          <w:rFonts w:eastAsiaTheme="minorEastAsia"/>
        </w:rPr>
        <w:tab/>
      </w:r>
      <w:r w:rsidR="00FA7509">
        <w:rPr>
          <w:rFonts w:eastAsiaTheme="minorEastAsia"/>
        </w:rPr>
        <w:tab/>
      </w:r>
      <w:r w:rsidR="00FA7509">
        <w:rPr>
          <w:rFonts w:eastAsiaTheme="minorEastAsia"/>
        </w:rPr>
        <w:tab/>
        <w:t xml:space="preserve">  </w:t>
      </w:r>
      <w:r w:rsidRPr="00363B40">
        <w:rPr>
          <w:rFonts w:eastAsiaTheme="minorEastAsia"/>
        </w:rPr>
        <w:t>(4)</w:t>
      </w:r>
    </w:p>
    <w:p w:rsidR="003F305F" w:rsidRPr="00363B40" w:rsidRDefault="003F305F" w:rsidP="00F96BD1">
      <w:pPr>
        <w:autoSpaceDE w:val="0"/>
        <w:autoSpaceDN w:val="0"/>
        <w:adjustRightInd w:val="0"/>
        <w:jc w:val="both"/>
      </w:pPr>
    </w:p>
    <w:p w:rsidR="00FA7509" w:rsidRDefault="003F305F" w:rsidP="00F96BD1">
      <w:pPr>
        <w:autoSpaceDE w:val="0"/>
        <w:autoSpaceDN w:val="0"/>
        <w:adjustRightInd w:val="0"/>
        <w:ind w:firstLine="720"/>
        <w:jc w:val="both"/>
      </w:pPr>
      <w:r w:rsidRPr="00363B40">
        <w:t xml:space="preserve">Field </w:t>
      </w:r>
      <w:r w:rsidR="00FA7509">
        <w:t>e</w:t>
      </w:r>
      <w:r w:rsidRPr="00363B40">
        <w:t xml:space="preserve">mission </w:t>
      </w:r>
      <w:r w:rsidR="00FA7509">
        <w:t>s</w:t>
      </w:r>
      <w:r w:rsidRPr="00363B40">
        <w:t xml:space="preserve">canning </w:t>
      </w:r>
      <w:r w:rsidR="00FA7509">
        <w:t>e</w:t>
      </w:r>
      <w:r w:rsidRPr="00363B40">
        <w:t xml:space="preserve">lectron </w:t>
      </w:r>
      <w:r w:rsidR="00FA7509">
        <w:t>m</w:t>
      </w:r>
      <w:r w:rsidRPr="00363B40">
        <w:t>icroscope (FESEM-</w:t>
      </w:r>
      <w:r w:rsidRPr="00363B40">
        <w:rPr>
          <w:szCs w:val="24"/>
        </w:rPr>
        <w:t>JEOL</w:t>
      </w:r>
      <w:r w:rsidR="00FA7509">
        <w:rPr>
          <w:szCs w:val="24"/>
        </w:rPr>
        <w:t xml:space="preserve">, </w:t>
      </w:r>
      <w:r w:rsidRPr="00363B40">
        <w:rPr>
          <w:szCs w:val="24"/>
        </w:rPr>
        <w:t>JSM-7600F</w:t>
      </w:r>
      <w:r w:rsidRPr="00363B40">
        <w:t xml:space="preserve">) was used to investigate the </w:t>
      </w:r>
      <w:r w:rsidR="00B65164" w:rsidRPr="00363B40">
        <w:t>surface morphology of the</w:t>
      </w:r>
      <w:r w:rsidRPr="00363B40">
        <w:t xml:space="preserve"> sample</w:t>
      </w:r>
      <w:r w:rsidR="00FA7509">
        <w:t>s</w:t>
      </w:r>
      <w:r w:rsidRPr="00363B40">
        <w:t>.</w:t>
      </w:r>
      <w:r w:rsidR="00CB575D">
        <w:t xml:space="preserve"> Gold particle was used </w:t>
      </w:r>
      <w:r w:rsidR="00DD25A0">
        <w:t>to coat the sample using before the scanning.</w:t>
      </w:r>
      <w:r w:rsidRPr="00363B40">
        <w:t xml:space="preserve"> </w:t>
      </w:r>
    </w:p>
    <w:p w:rsidR="00FA7509" w:rsidRDefault="003F305F" w:rsidP="00F96BD1">
      <w:pPr>
        <w:autoSpaceDE w:val="0"/>
        <w:autoSpaceDN w:val="0"/>
        <w:adjustRightInd w:val="0"/>
        <w:ind w:firstLine="720"/>
        <w:jc w:val="both"/>
      </w:pPr>
      <w:r w:rsidRPr="00363B40">
        <w:rPr>
          <w:szCs w:val="24"/>
        </w:rPr>
        <w:t xml:space="preserve">The particle size of the </w:t>
      </w:r>
      <w:r w:rsidR="002342DD" w:rsidRPr="00363B40">
        <w:rPr>
          <w:szCs w:val="24"/>
        </w:rPr>
        <w:t>samples were</w:t>
      </w:r>
      <w:r w:rsidRPr="00363B40">
        <w:rPr>
          <w:szCs w:val="24"/>
        </w:rPr>
        <w:t xml:space="preserve"> </w:t>
      </w:r>
      <w:r w:rsidR="00B65164" w:rsidRPr="00363B40">
        <w:rPr>
          <w:szCs w:val="24"/>
        </w:rPr>
        <w:t>measured</w:t>
      </w:r>
      <w:r w:rsidRPr="00363B40">
        <w:rPr>
          <w:szCs w:val="24"/>
        </w:rPr>
        <w:t xml:space="preserve"> </w:t>
      </w:r>
      <w:r w:rsidR="00B65164" w:rsidRPr="00363B40">
        <w:rPr>
          <w:szCs w:val="24"/>
        </w:rPr>
        <w:t>using</w:t>
      </w:r>
      <w:r w:rsidRPr="00363B40">
        <w:rPr>
          <w:szCs w:val="24"/>
        </w:rPr>
        <w:t xml:space="preserve"> particle size analyser Fritsch standard F500 analysette 22 </w:t>
      </w:r>
      <w:r w:rsidR="00FA7509">
        <w:rPr>
          <w:szCs w:val="24"/>
        </w:rPr>
        <w:t>(</w:t>
      </w:r>
      <w:r w:rsidRPr="00363B40">
        <w:rPr>
          <w:szCs w:val="24"/>
        </w:rPr>
        <w:t xml:space="preserve">the particle size distribution </w:t>
      </w:r>
      <w:r w:rsidR="00FA7509">
        <w:rPr>
          <w:szCs w:val="24"/>
        </w:rPr>
        <w:t xml:space="preserve">is measured </w:t>
      </w:r>
      <w:r w:rsidRPr="00363B40">
        <w:rPr>
          <w:szCs w:val="24"/>
        </w:rPr>
        <w:t>in volume percentage</w:t>
      </w:r>
      <w:r w:rsidR="00FA7509">
        <w:rPr>
          <w:szCs w:val="24"/>
        </w:rPr>
        <w:t>)</w:t>
      </w:r>
      <w:r w:rsidRPr="00363B40">
        <w:rPr>
          <w:szCs w:val="24"/>
        </w:rPr>
        <w:t xml:space="preserve">. The samples were added gently to </w:t>
      </w:r>
      <w:r w:rsidR="00FA7509">
        <w:rPr>
          <w:szCs w:val="24"/>
        </w:rPr>
        <w:t>the</w:t>
      </w:r>
      <w:r w:rsidRPr="00363B40">
        <w:rPr>
          <w:szCs w:val="24"/>
        </w:rPr>
        <w:t xml:space="preserve"> liquid in ultra-sonic bath until the sample dilution absorption reach 7</w:t>
      </w:r>
      <w:r w:rsidR="006B32B1">
        <w:rPr>
          <w:szCs w:val="24"/>
        </w:rPr>
        <w:t xml:space="preserve"> </w:t>
      </w:r>
      <w:r w:rsidRPr="00363B40">
        <w:rPr>
          <w:szCs w:val="24"/>
        </w:rPr>
        <w:t xml:space="preserve">%, then </w:t>
      </w:r>
      <w:r w:rsidR="00FA7509">
        <w:rPr>
          <w:szCs w:val="24"/>
        </w:rPr>
        <w:t xml:space="preserve">only </w:t>
      </w:r>
      <w:r w:rsidRPr="00363B40">
        <w:rPr>
          <w:szCs w:val="24"/>
        </w:rPr>
        <w:t xml:space="preserve">the measurement </w:t>
      </w:r>
      <w:r w:rsidR="00FA7509">
        <w:rPr>
          <w:szCs w:val="24"/>
        </w:rPr>
        <w:t>is being started</w:t>
      </w:r>
      <w:r w:rsidRPr="00363B40">
        <w:rPr>
          <w:szCs w:val="24"/>
        </w:rPr>
        <w:t>. This procedure required sufficient pumping energy to avoid particle agglomeration using integrated ultra-sonic source.</w:t>
      </w:r>
      <w:r w:rsidRPr="00363B40">
        <w:t xml:space="preserve"> </w:t>
      </w:r>
    </w:p>
    <w:p w:rsidR="003F305F" w:rsidRPr="00363B40" w:rsidRDefault="003F305F" w:rsidP="00F96BD1">
      <w:pPr>
        <w:autoSpaceDE w:val="0"/>
        <w:autoSpaceDN w:val="0"/>
        <w:adjustRightInd w:val="0"/>
        <w:ind w:firstLine="720"/>
        <w:jc w:val="both"/>
      </w:pPr>
      <w:r w:rsidRPr="00363B40">
        <w:t>The electrical impedance response was recorded by an impedance analyser (</w:t>
      </w:r>
      <w:r w:rsidRPr="00363B40">
        <w:rPr>
          <w:szCs w:val="24"/>
        </w:rPr>
        <w:t>Hiok LCR Hi-tester-3532-50</w:t>
      </w:r>
      <w:r w:rsidRPr="00363B40">
        <w:t>) in a frequency range between 50 Hz and 5 MHz at room temperature.</w:t>
      </w:r>
    </w:p>
    <w:p w:rsidR="003F305F" w:rsidRDefault="003F305F" w:rsidP="00F96BD1">
      <w:pPr>
        <w:autoSpaceDE w:val="0"/>
        <w:autoSpaceDN w:val="0"/>
        <w:adjustRightInd w:val="0"/>
        <w:jc w:val="both"/>
      </w:pPr>
    </w:p>
    <w:p w:rsidR="00FA7509" w:rsidRPr="00363B40" w:rsidRDefault="00FA7509" w:rsidP="00F96BD1">
      <w:pPr>
        <w:autoSpaceDE w:val="0"/>
        <w:autoSpaceDN w:val="0"/>
        <w:adjustRightInd w:val="0"/>
        <w:jc w:val="both"/>
      </w:pPr>
    </w:p>
    <w:p w:rsidR="003F305F" w:rsidRPr="00363B40" w:rsidRDefault="003F305F" w:rsidP="00F96BD1">
      <w:pPr>
        <w:autoSpaceDE w:val="0"/>
        <w:autoSpaceDN w:val="0"/>
        <w:adjustRightInd w:val="0"/>
        <w:jc w:val="both"/>
        <w:rPr>
          <w:b/>
        </w:rPr>
      </w:pPr>
      <w:r w:rsidRPr="00363B40">
        <w:rPr>
          <w:b/>
        </w:rPr>
        <w:t>RESULTS AND DISCUSSION</w:t>
      </w:r>
    </w:p>
    <w:p w:rsidR="003F305F" w:rsidRPr="00363B40" w:rsidRDefault="003F305F" w:rsidP="00F96BD1">
      <w:pPr>
        <w:autoSpaceDE w:val="0"/>
        <w:autoSpaceDN w:val="0"/>
        <w:adjustRightInd w:val="0"/>
        <w:jc w:val="both"/>
      </w:pPr>
    </w:p>
    <w:p w:rsidR="00E16686" w:rsidRDefault="003F305F" w:rsidP="00F96BD1">
      <w:pPr>
        <w:autoSpaceDE w:val="0"/>
        <w:autoSpaceDN w:val="0"/>
        <w:adjustRightInd w:val="0"/>
        <w:ind w:firstLine="720"/>
        <w:jc w:val="both"/>
      </w:pPr>
      <w:r w:rsidRPr="00363B40">
        <w:t>Figure 1a shows the XRD patterns of the powder sample</w:t>
      </w:r>
      <w:r w:rsidR="008912F0">
        <w:t>s</w:t>
      </w:r>
      <w:r w:rsidRPr="00363B40">
        <w:t xml:space="preserve"> calcined at 450 and 900</w:t>
      </w:r>
      <w:r w:rsidR="006B32B1">
        <w:rPr>
          <w:szCs w:val="24"/>
        </w:rPr>
        <w:t>°</w:t>
      </w:r>
      <w:r w:rsidRPr="00363B40">
        <w:t xml:space="preserve">C. </w:t>
      </w:r>
      <w:r w:rsidR="008912F0">
        <w:t>In all cases, t</w:t>
      </w:r>
      <w:r w:rsidRPr="00363B40">
        <w:t>he diffraction peaks of the powder sample</w:t>
      </w:r>
      <w:r w:rsidR="008912F0">
        <w:t>s</w:t>
      </w:r>
      <w:r w:rsidRPr="00363B40">
        <w:t xml:space="preserve"> before sintering </w:t>
      </w:r>
      <w:r w:rsidR="008912F0">
        <w:t>indicate</w:t>
      </w:r>
      <w:r w:rsidR="00FA7509">
        <w:t xml:space="preserve"> that</w:t>
      </w:r>
      <w:r w:rsidR="00FA7509" w:rsidRPr="00363B40">
        <w:t xml:space="preserve"> </w:t>
      </w:r>
      <w:r w:rsidRPr="00363B40">
        <w:t>the peaks corresponding to LiTi</w:t>
      </w:r>
      <w:r w:rsidRPr="00363B40">
        <w:rPr>
          <w:vertAlign w:val="subscript"/>
        </w:rPr>
        <w:t>2</w:t>
      </w:r>
      <w:r w:rsidRPr="00363B40">
        <w:t>(PO</w:t>
      </w:r>
      <w:r w:rsidRPr="00363B40">
        <w:rPr>
          <w:vertAlign w:val="subscript"/>
        </w:rPr>
        <w:t>4</w:t>
      </w:r>
      <w:r w:rsidRPr="00363B40">
        <w:t>)</w:t>
      </w:r>
      <w:r w:rsidRPr="00363B40">
        <w:rPr>
          <w:vertAlign w:val="subscript"/>
        </w:rPr>
        <w:t>3</w:t>
      </w:r>
      <w:r w:rsidR="00D312FA" w:rsidRPr="00363B40">
        <w:t xml:space="preserve"> with minor impurities (AlPO</w:t>
      </w:r>
      <w:r w:rsidR="00D312FA" w:rsidRPr="00363B40">
        <w:rPr>
          <w:vertAlign w:val="subscript"/>
        </w:rPr>
        <w:t>4</w:t>
      </w:r>
      <w:r w:rsidR="00D312FA" w:rsidRPr="00363B40">
        <w:t xml:space="preserve"> and TiO</w:t>
      </w:r>
      <w:r w:rsidR="00D312FA" w:rsidRPr="00363B40">
        <w:rPr>
          <w:vertAlign w:val="subscript"/>
        </w:rPr>
        <w:t>2</w:t>
      </w:r>
      <w:r w:rsidR="00D312FA" w:rsidRPr="00363B40">
        <w:t>)</w:t>
      </w:r>
      <w:r w:rsidRPr="00363B40">
        <w:t xml:space="preserve"> at </w:t>
      </w:r>
      <w:r w:rsidR="00B850E6" w:rsidRPr="00B850E6">
        <w:rPr>
          <w:i/>
        </w:rPr>
        <w:t>2θ</w:t>
      </w:r>
      <w:r w:rsidRPr="00363B40">
        <w:t xml:space="preserve"> = 22.5</w:t>
      </w:r>
      <w:r w:rsidR="006B32B1">
        <w:rPr>
          <w:szCs w:val="24"/>
        </w:rPr>
        <w:t>°</w:t>
      </w:r>
      <w:r w:rsidRPr="00363B40">
        <w:t xml:space="preserve"> and 27.7</w:t>
      </w:r>
      <w:r w:rsidR="006B32B1">
        <w:rPr>
          <w:szCs w:val="24"/>
        </w:rPr>
        <w:t>°</w:t>
      </w:r>
      <w:r w:rsidR="00D312FA" w:rsidRPr="00363B40">
        <w:t xml:space="preserve"> </w:t>
      </w:r>
      <w:r w:rsidR="008912F0">
        <w:t xml:space="preserve">as well as </w:t>
      </w:r>
      <w:r w:rsidR="00D312FA" w:rsidRPr="00363B40">
        <w:t xml:space="preserve">phosphorus (P) </w:t>
      </w:r>
      <w:r w:rsidR="008912F0">
        <w:t>peak</w:t>
      </w:r>
      <w:r w:rsidR="008912F0" w:rsidRPr="00363B40">
        <w:t xml:space="preserve"> </w:t>
      </w:r>
      <w:r w:rsidR="00D312FA" w:rsidRPr="00363B40">
        <w:t>that appears at 2θ = 25.5</w:t>
      </w:r>
      <w:r w:rsidR="006B32B1">
        <w:rPr>
          <w:szCs w:val="24"/>
        </w:rPr>
        <w:t>°</w:t>
      </w:r>
      <w:r w:rsidR="008912F0">
        <w:t>, repectively</w:t>
      </w:r>
      <w:r w:rsidR="00D312FA" w:rsidRPr="00363B40">
        <w:t>.</w:t>
      </w:r>
      <w:r w:rsidRPr="00363B40">
        <w:t xml:space="preserve"> The intense peak </w:t>
      </w:r>
      <w:r w:rsidR="008912F0">
        <w:t>of</w:t>
      </w:r>
      <w:r w:rsidR="008912F0" w:rsidRPr="00363B40">
        <w:t xml:space="preserve"> </w:t>
      </w:r>
      <w:r w:rsidRPr="00363B40">
        <w:t>NASICON phase decrease</w:t>
      </w:r>
      <w:r w:rsidR="008912F0">
        <w:t>d</w:t>
      </w:r>
      <w:r w:rsidRPr="00363B40">
        <w:t xml:space="preserve"> with </w:t>
      </w:r>
      <w:r w:rsidR="008912F0">
        <w:t xml:space="preserve">the </w:t>
      </w:r>
      <w:r w:rsidR="00B36CBB" w:rsidRPr="00363B40">
        <w:t>increa</w:t>
      </w:r>
      <w:r w:rsidR="008912F0">
        <w:t>sing</w:t>
      </w:r>
      <w:r w:rsidR="00B36CBB" w:rsidRPr="00363B40">
        <w:t xml:space="preserve"> </w:t>
      </w:r>
      <w:r w:rsidR="008912F0">
        <w:t>of</w:t>
      </w:r>
      <w:r w:rsidR="00B36CBB" w:rsidRPr="00363B40">
        <w:t xml:space="preserve"> aluminium content</w:t>
      </w:r>
      <w:r w:rsidRPr="00363B40">
        <w:t xml:space="preserve">. </w:t>
      </w:r>
      <w:r w:rsidR="002342DD" w:rsidRPr="00363B40">
        <w:t>Figure 1b shows the XRD patterns</w:t>
      </w:r>
      <w:r w:rsidRPr="00363B40">
        <w:t xml:space="preserve"> of the sintered pellet</w:t>
      </w:r>
      <w:r w:rsidR="008912F0">
        <w:t>s</w:t>
      </w:r>
      <w:r w:rsidRPr="00363B40">
        <w:t xml:space="preserve"> at 900</w:t>
      </w:r>
      <w:r w:rsidR="006B32B1">
        <w:rPr>
          <w:szCs w:val="24"/>
        </w:rPr>
        <w:t>°</w:t>
      </w:r>
      <w:r w:rsidR="00D312FA" w:rsidRPr="00363B40">
        <w:t>C for 8 h</w:t>
      </w:r>
      <w:r w:rsidR="00067384" w:rsidRPr="00363B40">
        <w:t>.</w:t>
      </w:r>
      <w:r w:rsidRPr="00363B40">
        <w:t xml:space="preserve"> </w:t>
      </w:r>
      <w:r w:rsidR="00E16686">
        <w:t>All sintered</w:t>
      </w:r>
      <w:r w:rsidR="00E16686" w:rsidRPr="00363B40">
        <w:t xml:space="preserve"> </w:t>
      </w:r>
      <w:r w:rsidRPr="00363B40">
        <w:t>pellet</w:t>
      </w:r>
      <w:r w:rsidR="00E16686">
        <w:t>s</w:t>
      </w:r>
      <w:r w:rsidRPr="00363B40">
        <w:t xml:space="preserve"> show a pure NASICON phase </w:t>
      </w:r>
      <w:r w:rsidR="008912F0">
        <w:t>that attributed</w:t>
      </w:r>
      <w:r w:rsidR="008912F0" w:rsidRPr="00363B40">
        <w:t xml:space="preserve"> </w:t>
      </w:r>
      <w:r w:rsidRPr="00363B40">
        <w:t>to LiTi</w:t>
      </w:r>
      <w:r w:rsidRPr="00363B40">
        <w:rPr>
          <w:vertAlign w:val="subscript"/>
        </w:rPr>
        <w:t>2</w:t>
      </w:r>
      <w:r w:rsidRPr="00363B40">
        <w:t>(PO</w:t>
      </w:r>
      <w:r w:rsidRPr="00363B40">
        <w:rPr>
          <w:vertAlign w:val="subscript"/>
        </w:rPr>
        <w:t>4</w:t>
      </w:r>
      <w:r w:rsidRPr="00363B40">
        <w:t>)</w:t>
      </w:r>
      <w:r w:rsidRPr="00363B40">
        <w:rPr>
          <w:vertAlign w:val="subscript"/>
        </w:rPr>
        <w:t>3</w:t>
      </w:r>
      <w:r w:rsidR="008912F0">
        <w:t xml:space="preserve">. It is clear from the figure that </w:t>
      </w:r>
      <w:r w:rsidR="004B50B4">
        <w:t xml:space="preserve">LTP-0.0 and </w:t>
      </w:r>
      <w:r w:rsidR="00067384" w:rsidRPr="00363B40">
        <w:t>LTAP-0.2</w:t>
      </w:r>
      <w:r w:rsidR="004B50B4">
        <w:t xml:space="preserve"> have</w:t>
      </w:r>
      <w:r w:rsidR="008912F0">
        <w:t xml:space="preserve"> very </w:t>
      </w:r>
      <w:r w:rsidR="004B50B4">
        <w:t>minor</w:t>
      </w:r>
      <w:r w:rsidR="008912F0">
        <w:t xml:space="preserve"> contamination of</w:t>
      </w:r>
      <w:r w:rsidR="004B50B4">
        <w:t xml:space="preserve"> Ti</w:t>
      </w:r>
      <w:r w:rsidR="00B850E6" w:rsidRPr="00B850E6">
        <w:rPr>
          <w:vertAlign w:val="subscript"/>
        </w:rPr>
        <w:t>4</w:t>
      </w:r>
      <w:r w:rsidR="004B50B4">
        <w:t>(PO</w:t>
      </w:r>
      <w:r w:rsidR="00B850E6" w:rsidRPr="00B850E6">
        <w:rPr>
          <w:vertAlign w:val="subscript"/>
        </w:rPr>
        <w:t>5</w:t>
      </w:r>
      <w:r w:rsidR="004B50B4">
        <w:t>)</w:t>
      </w:r>
      <w:r w:rsidR="00B850E6" w:rsidRPr="00B850E6">
        <w:rPr>
          <w:vertAlign w:val="subscript"/>
        </w:rPr>
        <w:t>3</w:t>
      </w:r>
      <w:r w:rsidR="004B50B4">
        <w:t xml:space="preserve"> and TiO</w:t>
      </w:r>
      <w:r w:rsidR="00B850E6" w:rsidRPr="00B850E6">
        <w:rPr>
          <w:vertAlign w:val="subscript"/>
        </w:rPr>
        <w:t>2</w:t>
      </w:r>
      <w:r w:rsidR="004B50B4">
        <w:t xml:space="preserve"> impurities</w:t>
      </w:r>
      <w:r w:rsidRPr="00363B40">
        <w:t>.</w:t>
      </w:r>
      <w:r w:rsidR="00E16686">
        <w:t xml:space="preserve"> </w:t>
      </w:r>
      <w:r w:rsidR="00281E47" w:rsidRPr="00363B40">
        <w:t xml:space="preserve">This result </w:t>
      </w:r>
      <w:r w:rsidR="00E16686">
        <w:t xml:space="preserve">is in </w:t>
      </w:r>
      <w:r w:rsidR="00281E47" w:rsidRPr="00363B40">
        <w:t>agree</w:t>
      </w:r>
      <w:r w:rsidR="00E16686">
        <w:t>ment</w:t>
      </w:r>
      <w:r w:rsidR="00281E47" w:rsidRPr="00363B40">
        <w:t xml:space="preserve"> with the</w:t>
      </w:r>
      <w:r w:rsidR="002A0130" w:rsidRPr="00363B40">
        <w:t xml:space="preserve"> XRD pattern</w:t>
      </w:r>
      <w:r w:rsidR="00281E47" w:rsidRPr="00363B40">
        <w:t xml:space="preserve"> </w:t>
      </w:r>
      <w:r w:rsidR="00E16686">
        <w:t>of</w:t>
      </w:r>
      <w:r w:rsidR="00E16686" w:rsidRPr="00363B40">
        <w:t xml:space="preserve"> </w:t>
      </w:r>
      <w:r w:rsidR="002A0130" w:rsidRPr="00363B40">
        <w:t xml:space="preserve">LTAP compositions reported </w:t>
      </w:r>
      <w:r w:rsidR="00E16686">
        <w:t>in the literature</w:t>
      </w:r>
      <w:r w:rsidR="002A0130" w:rsidRPr="00363B40">
        <w:t xml:space="preserve"> </w:t>
      </w:r>
      <w:r w:rsidR="00CD3E55" w:rsidRPr="00363B40">
        <w:fldChar w:fldCharType="begin" w:fldLock="1"/>
      </w:r>
      <w:r w:rsidR="0095385A">
        <w:instrText>ADDIN CSL_CITATION { "citationItems" : [ { "id" : "ITEM-1", "itemData" : { "DOI" : "10.1016/S1003-6326(11)61036-4", "ISBN" : "1003-6326", "ISSN" : "10036326", "abstract" : "The sintered Li1.3Al0.3Ti1.7(PO4)3 pellets with different mole fractions of Li3PO4 were prepared by sol-gel method. The structure, surface morphology, electrochemical window, ionic conductivity and activation energy of the sintered pellets were studied by X-ray diffraction, scan electron microscopy, cyclic voltammetry, and electrochemical impedance spectroscopy. The results show that all the sintered Li1.3Al0.3Ti1.7(PO4)3 pellets with different mole fractions of Li3PO4 have similar X-ray diffraction patterns. The sintered Li1.3Al0.3Ti1.7(PO4)3 pellet with Li3PO4 shows a lower porosity and is denser than the one without Li3PO4. The addition of Li3PO4 has a large effect on the porosity and density of the sintered Li1.3Al0.3Ti1.7(PO3)4 pellet, and little effect on its electrochemical window. Among the sintered Li1.3Al0.3Ti1.7(PO3)4 pellets with different mole fractions of Li3PO4, the one with 1% Li3PO4 shows the activation energy of 0.314 2 eV and the highest ionic conductivity of 6.15\u00d710\u22124 S/cm.", "author" : [ { "dropping-particle" : "", "family" : "Xiao", "given" : "Zhuo-bing", "non-dropping-particle" : "", "parse-names" : false, "suffix" : "" }, { "dropping-particle" : "", "family" : "Chen", "given" : "Shang", "non-dropping-particle" : "", "parse-names" : false, "suffix" : "" }, { "dropping-particle" : "", "family" : "Guo", "given" : "Man-man", "non-dropping-particle" : "", "parse-names" : false, "suffix" : "" } ], "container-title" : "Transactions of Nonferrous Metals Society of China", "id" : "ITEM-1", "issue" : "11", "issued" : { "date-parts" : [ [ "2011" ] ] }, "page" : "2454-2458", "publisher" : "The Nonferrous Metals Society of China", "title" : "Influence of Li3PO4 addition on properties of lithium ion-conductive electrolyte Li1.3Al0.3Ti1.7(PO4)3", "type" : "article-journal", "volume" : "21" }, "uris" : [ "http://www.mendeley.com/documents/?uuid=9d56e385-881b-41a9-8095-7ad977a6c080" ] } ], "mendeley" : { "formattedCitation" : "[13]", "manualFormatting" : "[5, 13", "plainTextFormattedCitation" : "[13]", "previouslyFormattedCitation" : "[13]" }, "properties" : { "noteIndex" : 0 }, "schema" : "https://github.com/citation-style-language/schema/raw/master/csl-citation.json" }</w:instrText>
      </w:r>
      <w:r w:rsidR="00CD3E55" w:rsidRPr="00363B40">
        <w:fldChar w:fldCharType="separate"/>
      </w:r>
      <w:r w:rsidR="00B850E6" w:rsidRPr="00B850E6">
        <w:rPr>
          <w:noProof/>
        </w:rPr>
        <w:t>[5, 13</w:t>
      </w:r>
      <w:r w:rsidR="00CD3E55" w:rsidRPr="00363B40">
        <w:fldChar w:fldCharType="end"/>
      </w:r>
      <w:r w:rsidR="002342DD" w:rsidRPr="00363B40">
        <w:t xml:space="preserve"> &amp; </w:t>
      </w:r>
      <w:r w:rsidR="00CD3E55" w:rsidRPr="00363B40">
        <w:fldChar w:fldCharType="begin" w:fldLock="1"/>
      </w:r>
      <w:r w:rsidR="00083C06" w:rsidRPr="00363B40">
        <w:instrText>ADDIN CSL_CITATION { "citationItems" : [ { "id" : "ITEM-1", "itemData" : { "DOI" : "10.1111/j.1551-2916.2005.00246.x", "ISSN" : "1551-2916", "abstract" : "Solid electrolytes, LiTi2(PO4)3 (LTP), Li1.3Al0.3Ti1.7(PO4)3 (LATP),\\nand Li1.3Al0.3Ti1.7(PO4)2.9(VO4)0.1 (LATPV), were prepared by conventional\\nsintering (CS) and spark plasma sintering (SPS) methods, and the\\nLi+ ion conductivity of the sintered pellets was examined using an\\nimpedance analyzer. SPS remarkably improved the densification compared\\nto CS and resulted in dense ceramics (95\u201397% of theoretical density)\\nirrespective of the substituted ions. The highest conductivity of\\n2.6 \u00d7 10\u22124 S/cm was found for the LATPV specimen sintered by spark\\nplasma at 1100\u00b0C. LATP and LATPV exhibited an order of magnitude\\nhigher ionic conductivity than LTP in the specimens of similar densities.\\nThe results demonstrated that the enhanced conductivity in substituted\\nLTP is not due to the enhanced densification alone. The other possible\\nexplanations are discussed in terms of bottleneck size, lithium content,\\nand grain boundary characteristics.", "author" : [ { "dropping-particle" : "", "family" : "Chang", "given" : "Chae-Myung", "non-dropping-particle" : "", "parse-names" : false, "suffix" : "" }, { "dropping-particle" : "Il", "family" : "Lee", "given" : "Young", "non-dropping-particle" : "", "parse-names" : false, "suffix" : "" }, { "dropping-particle" : "", "family" : "Hong", "given" : "Seong-Hyeon", "non-dropping-particle" : "", "parse-names" : false, "suffix" : "" }, { "dropping-particle" : "", "family" : "Park", "given" : "Hyun-Min", "non-dropping-particle" : "", "parse-names" : false, "suffix" : "" } ], "container-title" : "Journal of the American Ceramic Society", "id" : "ITEM-1", "issue" : "7", "issued" : { "date-parts" : [ [ "2005" ] ] }, "page" : "1803-1807", "title" : "Spark Plasma Sintering of LiTi2(PO4)3-Based Solid Electrolytes", "type" : "article-journal", "volume" : "88" }, "uris" : [ "http://www.mendeley.com/documents/?uuid=017473ca-8aff-4900-a69c-361688c4b36f" ] } ], "mendeley" : { "formattedCitation" : "[14]", "manualFormatting" : "14", "plainTextFormattedCitation" : "[14]", "previouslyFormattedCitation" : "[14]" }, "properties" : { "noteIndex" : 0 }, "schema" : "https://github.com/citation-style-language/schema/raw/master/csl-citation.json" }</w:instrText>
      </w:r>
      <w:r w:rsidR="00CD3E55" w:rsidRPr="00363B40">
        <w:fldChar w:fldCharType="separate"/>
      </w:r>
      <w:r w:rsidR="00B850E6" w:rsidRPr="00B850E6">
        <w:rPr>
          <w:noProof/>
        </w:rPr>
        <w:t>14</w:t>
      </w:r>
      <w:r w:rsidR="00CD3E55" w:rsidRPr="00363B40">
        <w:fldChar w:fldCharType="end"/>
      </w:r>
      <w:r w:rsidR="00CD3E55" w:rsidRPr="00363B40">
        <w:fldChar w:fldCharType="begin" w:fldLock="1"/>
      </w:r>
      <w:r w:rsidR="0095385A">
        <w:instrText>ADDIN CSL_CITATION { "citationItems" : [ { "id" : "ITEM-1", "itemData" : { "DOI" : "10.1016/j.ssi.2014.10.004", "ISSN" : "0167-2738", "author" : [ { "dropping-particle" : "", "family" : "Wang", "given" : "Shaofei", "non-dropping-particle" : "", "parse-names" : false, "suffix" : "" }, { "dropping-particle" : "", "family" : "Ben", "given" : "Liubin", "non-dropping-particle" : "", "parse-names" : false, "suffix" : "" }, { "dropping-particle" : "", "family" : "Li", "given" : "Hong", "non-dropping-particle" : "", "parse-names" : false, "suffix" : "" }, { "dropping-particle" : "", "family" : "Chen", "given" : "Liquan", "non-dropping-particle" : "", "parse-names" : false, "suffix" : "" } ], "container-title" : "Solid State Ionics", "id" : "ITEM-1", "issued" : { "date-parts" : [ [ "2014" ] ] }, "page" : "110-116", "publisher" : "Elsevier B.V.", "title" : "Identifying Li+ ion transport properties of aluminum doped lithium titanium phosphate solid electrolyte at wide temperature range", "type" : "article-journal", "volume" : "268" }, "uris" : [ "http://www.mendeley.com/documents/?uuid=55255673-3158-4cd6-a8c1-d393289e92d5" ] } ], "mendeley" : { "formattedCitation" : "[5]", "manualFormatting" : "]", "plainTextFormattedCitation" : "[5]", "previouslyFormattedCitation" : "[5]" }, "properties" : { "noteIndex" : 0 }, "schema" : "https://github.com/citation-style-language/schema/raw/master/csl-citation.json" }</w:instrText>
      </w:r>
      <w:r w:rsidR="00CD3E55" w:rsidRPr="00363B40">
        <w:fldChar w:fldCharType="separate"/>
      </w:r>
      <w:r w:rsidR="00B850E6" w:rsidRPr="00B850E6">
        <w:rPr>
          <w:noProof/>
        </w:rPr>
        <w:t>]</w:t>
      </w:r>
      <w:r w:rsidR="00CD3E55" w:rsidRPr="00363B40">
        <w:fldChar w:fldCharType="end"/>
      </w:r>
      <w:r w:rsidR="00083C06" w:rsidRPr="00363B40">
        <w:t>.</w:t>
      </w:r>
      <w:r w:rsidR="002A0130" w:rsidRPr="00363B40">
        <w:t xml:space="preserve"> </w:t>
      </w:r>
      <w:r w:rsidRPr="00363B40">
        <w:t>Aluminium doped sample fo</w:t>
      </w:r>
      <w:r w:rsidR="00083C06" w:rsidRPr="00363B40">
        <w:t xml:space="preserve">r </w:t>
      </w:r>
      <w:r w:rsidR="00C87825" w:rsidRPr="00363B40">
        <w:t>LTAP-</w:t>
      </w:r>
      <w:r w:rsidR="00083C06" w:rsidRPr="00363B40">
        <w:t>1.0 exhibit secondary</w:t>
      </w:r>
      <w:r w:rsidRPr="00363B40">
        <w:t xml:space="preserve"> phases known as orthorhombic and mono</w:t>
      </w:r>
      <w:r w:rsidR="002342DD" w:rsidRPr="00363B40">
        <w:t>clinic. This new phases</w:t>
      </w:r>
      <w:r w:rsidR="00C87825" w:rsidRPr="00363B40">
        <w:t xml:space="preserve"> </w:t>
      </w:r>
      <w:r w:rsidRPr="00363B40">
        <w:t>appear at h</w:t>
      </w:r>
      <w:r w:rsidR="008011AD" w:rsidRPr="00363B40">
        <w:t>igher a</w:t>
      </w:r>
      <w:r w:rsidR="00266087" w:rsidRPr="00363B40">
        <w:t>luminium dopant of</w:t>
      </w:r>
      <w:r w:rsidR="008011AD" w:rsidRPr="00363B40">
        <w:t xml:space="preserve"> LTAP-</w:t>
      </w:r>
      <w:r w:rsidRPr="00363B40">
        <w:t xml:space="preserve">1.0 </w:t>
      </w:r>
      <w:r w:rsidR="00E16686">
        <w:t xml:space="preserve">and </w:t>
      </w:r>
      <w:r w:rsidRPr="00363B40">
        <w:t xml:space="preserve">could be </w:t>
      </w:r>
      <w:r w:rsidR="00067384" w:rsidRPr="00363B40">
        <w:t>a result of</w:t>
      </w:r>
      <w:r w:rsidRPr="00363B40">
        <w:t xml:space="preserve"> </w:t>
      </w:r>
      <w:r w:rsidR="00E16686">
        <w:t>using inexpensive</w:t>
      </w:r>
      <w:r w:rsidR="00E16686" w:rsidRPr="00363B40">
        <w:t xml:space="preserve"> </w:t>
      </w:r>
      <w:r w:rsidRPr="00363B40">
        <w:t>starting material</w:t>
      </w:r>
      <w:r w:rsidR="00E16686">
        <w:t>s</w:t>
      </w:r>
      <w:r w:rsidRPr="00363B40">
        <w:t>.</w:t>
      </w:r>
      <w:r w:rsidRPr="00363B40">
        <w:rPr>
          <w:vertAlign w:val="subscript"/>
        </w:rPr>
        <w:t xml:space="preserve">  </w:t>
      </w:r>
      <w:r w:rsidR="00E16686">
        <w:lastRenderedPageBreak/>
        <w:t>Nevertheless, i</w:t>
      </w:r>
      <w:r w:rsidRPr="00363B40">
        <w:t>t was reported previously that</w:t>
      </w:r>
      <w:r w:rsidR="00067384" w:rsidRPr="00363B40">
        <w:t xml:space="preserve"> impurity phases</w:t>
      </w:r>
      <w:r w:rsidRPr="00363B40">
        <w:t xml:space="preserve"> do appear at higher value of </w:t>
      </w:r>
      <w:r w:rsidR="00067384" w:rsidRPr="00363B40">
        <w:t>Al content and tend to shift</w:t>
      </w:r>
      <w:r w:rsidRPr="00363B40">
        <w:t xml:space="preserve"> </w:t>
      </w:r>
      <w:r w:rsidR="00E16686">
        <w:t xml:space="preserve">the </w:t>
      </w:r>
      <w:r w:rsidRPr="00363B40">
        <w:t>diffraction peak</w:t>
      </w:r>
      <w:r w:rsidR="00067384" w:rsidRPr="00363B40">
        <w:t>s</w:t>
      </w:r>
      <w:r w:rsidRPr="00363B40">
        <w:t xml:space="preserve"> away from LiTi</w:t>
      </w:r>
      <w:r w:rsidRPr="00363B40">
        <w:rPr>
          <w:vertAlign w:val="subscript"/>
        </w:rPr>
        <w:t>2</w:t>
      </w:r>
      <w:r w:rsidRPr="00363B40">
        <w:t>(PO</w:t>
      </w:r>
      <w:r w:rsidRPr="00363B40">
        <w:rPr>
          <w:vertAlign w:val="subscript"/>
        </w:rPr>
        <w:t>4</w:t>
      </w:r>
      <w:r w:rsidRPr="00363B40">
        <w:t>)</w:t>
      </w:r>
      <w:r w:rsidRPr="00363B40">
        <w:rPr>
          <w:vertAlign w:val="subscript"/>
        </w:rPr>
        <w:t>3</w:t>
      </w:r>
      <w:r w:rsidRPr="00363B40">
        <w:t xml:space="preserve"> phase position</w:t>
      </w:r>
      <w:r w:rsidR="00A25D46" w:rsidRPr="00363B40">
        <w:t xml:space="preserve"> </w:t>
      </w:r>
      <w:r w:rsidR="00CD3E55" w:rsidRPr="00363B40">
        <w:fldChar w:fldCharType="begin" w:fldLock="1"/>
      </w:r>
      <w:r w:rsidR="00A25D46" w:rsidRPr="00363B40">
        <w:instrText>ADDIN CSL_CITATION { "citationItems" : [ { "id" : "ITEM-1", "itemData" : { "DOI" : "10.1016/j.jeurceramsoc.2014.11.023", "ISSN" : "09552219", "author" : [ { "dropping-particle" : "", "family" : "Arbi", "given" : "K.", "non-dropping-particle" : "", "parse-names" : false, "suffix" : "" }, { "dropping-particle" : "", "family" : "Bucheli", "given" : "W.", "non-dropping-particle" : "", "parse-names" : false, "suffix" : "" }, { "dropping-particle" : "", "family" : "Jim\u00e9nez", "given" : "R.", "non-dropping-particle" : "", "parse-names" : false, "suffix" : "" }, { "dropping-particle" : "", "family" : "Sanz", "given" : "J.", "non-dropping-particle" : "", "parse-names" : false, "suffix" : "" } ], "container-title" : "Journal of the European Ceramic Society", "id" : "ITEM-1", "issue" : "5", "issued" : { "date-parts" : [ [ "2015" ] ] }, "page" : "1477-1484", "publisher" : "Elsevier Ltd", "title" : "High lithium ion conducting solid electrolytes based on NASICON Li1+xAlxM2\u2212x(PO4)3 materials (M=Ti, Ge and 0\u2264x\u22640.5)", "type" : "article-journal", "volume" : "35" }, "uris" : [ "http://www.mendeley.com/documents/?uuid=d83647af-f53b-4580-95ad-af97603fe7e9" ] } ], "mendeley" : { "formattedCitation" : "[6]", "manualFormatting" : "[6", "plainTextFormattedCitation" : "[6]", "previouslyFormattedCitation" : "[6]" }, "properties" : { "noteIndex" : 0 }, "schema" : "https://github.com/citation-style-language/schema/raw/master/csl-citation.json" }</w:instrText>
      </w:r>
      <w:r w:rsidR="00CD3E55" w:rsidRPr="00363B40">
        <w:fldChar w:fldCharType="separate"/>
      </w:r>
      <w:r w:rsidR="00B850E6" w:rsidRPr="00B850E6">
        <w:rPr>
          <w:noProof/>
        </w:rPr>
        <w:t>[6</w:t>
      </w:r>
      <w:r w:rsidR="00CD3E55" w:rsidRPr="00363B40">
        <w:fldChar w:fldCharType="end"/>
      </w:r>
      <w:r w:rsidR="00A25D46" w:rsidRPr="00363B40">
        <w:t>,</w:t>
      </w:r>
      <w:r w:rsidR="00CD3E55" w:rsidRPr="00363B40">
        <w:fldChar w:fldCharType="begin" w:fldLock="1"/>
      </w:r>
      <w:r w:rsidR="00A25D46" w:rsidRPr="00363B40">
        <w:instrText>ADDIN CSL_CITATION { "citationItems" : [ { "id" : "ITEM-1", "itemData" : { "DOI" : "10.1016/j.elecom.2004.09.024", "ISSN" : "13882481", "author" : [ { "dropping-particle" : "", "family" : "Xu", "given" : "Xiaoxiong", "non-dropping-particle" : "", "parse-names" : false, "suffix" : "" }, { "dropping-particle" : "", "family" : "Wen", "given" : "Zhaoyin", "non-dropping-particle" : "", "parse-names" : false, "suffix" : "" }, { "dropping-particle" : "", "family" : "Gu", "given" : "Zhonghua", "non-dropping-particle" : "", "parse-names" : false, "suffix" : "" }, { "dropping-particle" : "", "family" : "Xu", "given" : "Xiaohe", "non-dropping-particle" : "", "parse-names" : false, "suffix" : "" }, { "dropping-particle" : "", "family" : "Lin", "given" : "Zuxiang", "non-dropping-particle" : "", "parse-names" : false, "suffix" : "" } ], "container-title" : "Electrochemistry Communications", "id" : "ITEM-1", "issue" : "12", "issued" : { "date-parts" : [ [ "2004" ] ] }, "page" : "1233-1237", "title" : "Preparation and characterization of lithium ion-conducting glass-ceramics in the Li1+xCrxGe2\u2212x(PO4)3 system", "type" : "article-journal", "volume" : "6" }, "uris" : [ "http://www.mendeley.com/documents/?uuid=91c7d797-9887-48e1-aefa-3889b3ecf063" ] } ], "mendeley" : { "formattedCitation" : "[15]", "manualFormatting" : "15]", "plainTextFormattedCitation" : "[15]", "previouslyFormattedCitation" : "[15]" }, "properties" : { "noteIndex" : 0 }, "schema" : "https://github.com/citation-style-language/schema/raw/master/csl-citation.json" }</w:instrText>
      </w:r>
      <w:r w:rsidR="00CD3E55" w:rsidRPr="00363B40">
        <w:fldChar w:fldCharType="separate"/>
      </w:r>
      <w:r w:rsidR="00B850E6" w:rsidRPr="00B850E6">
        <w:rPr>
          <w:noProof/>
        </w:rPr>
        <w:t>15]</w:t>
      </w:r>
      <w:r w:rsidR="00CD3E55" w:rsidRPr="00363B40">
        <w:fldChar w:fldCharType="end"/>
      </w:r>
      <w:r w:rsidRPr="00363B40">
        <w:t>. These impurity phases</w:t>
      </w:r>
      <w:r w:rsidR="00067384" w:rsidRPr="00363B40">
        <w:t xml:space="preserve"> sometimes</w:t>
      </w:r>
      <w:r w:rsidRPr="00363B40">
        <w:t xml:space="preserve"> have negative influence on Li</w:t>
      </w:r>
      <w:r w:rsidRPr="00363B40">
        <w:rPr>
          <w:vertAlign w:val="superscript"/>
        </w:rPr>
        <w:t>+</w:t>
      </w:r>
      <w:r w:rsidRPr="00363B40">
        <w:t xml:space="preserve"> passageway for ionic conductivity. The author</w:t>
      </w:r>
      <w:r w:rsidR="00E16686">
        <w:t>s</w:t>
      </w:r>
      <w:r w:rsidRPr="00363B40">
        <w:t xml:space="preserve"> suggest </w:t>
      </w:r>
      <w:r w:rsidR="00067384" w:rsidRPr="00363B40">
        <w:t xml:space="preserve">here </w:t>
      </w:r>
      <w:r w:rsidRPr="00363B40">
        <w:t xml:space="preserve">that, in </w:t>
      </w:r>
      <w:r w:rsidRPr="00363B40">
        <w:rPr>
          <w:szCs w:val="24"/>
        </w:rPr>
        <w:t>Li</w:t>
      </w:r>
      <w:r w:rsidRPr="00363B40">
        <w:rPr>
          <w:szCs w:val="24"/>
          <w:vertAlign w:val="subscript"/>
        </w:rPr>
        <w:t>1+x</w:t>
      </w:r>
      <w:r w:rsidRPr="00363B40">
        <w:rPr>
          <w:szCs w:val="24"/>
        </w:rPr>
        <w:t>Ti</w:t>
      </w:r>
      <w:r w:rsidRPr="00363B40">
        <w:rPr>
          <w:szCs w:val="24"/>
          <w:vertAlign w:val="subscript"/>
        </w:rPr>
        <w:t>2-x</w:t>
      </w:r>
      <w:r w:rsidRPr="00363B40">
        <w:rPr>
          <w:szCs w:val="24"/>
        </w:rPr>
        <w:t>Al</w:t>
      </w:r>
      <w:r w:rsidRPr="00363B40">
        <w:rPr>
          <w:szCs w:val="24"/>
          <w:vertAlign w:val="subscript"/>
        </w:rPr>
        <w:t>x</w:t>
      </w:r>
      <w:r w:rsidRPr="00363B40">
        <w:rPr>
          <w:szCs w:val="24"/>
        </w:rPr>
        <w:t>(PO</w:t>
      </w:r>
      <w:r w:rsidRPr="00363B40">
        <w:rPr>
          <w:szCs w:val="24"/>
          <w:vertAlign w:val="subscript"/>
        </w:rPr>
        <w:t>4</w:t>
      </w:r>
      <w:r w:rsidRPr="00363B40">
        <w:rPr>
          <w:szCs w:val="24"/>
        </w:rPr>
        <w:t>)</w:t>
      </w:r>
      <w:r w:rsidRPr="00363B40">
        <w:rPr>
          <w:szCs w:val="24"/>
          <w:vertAlign w:val="subscript"/>
        </w:rPr>
        <w:t>3</w:t>
      </w:r>
      <w:r w:rsidRPr="00363B40">
        <w:rPr>
          <w:szCs w:val="24"/>
        </w:rPr>
        <w:t xml:space="preserve"> </w:t>
      </w:r>
      <w:r w:rsidRPr="00363B40">
        <w:t>composition, future research should be focus</w:t>
      </w:r>
      <w:r w:rsidR="00E16686">
        <w:t>ed</w:t>
      </w:r>
      <w:r w:rsidRPr="00363B40">
        <w:t xml:space="preserve"> </w:t>
      </w:r>
      <w:r w:rsidR="00E16686">
        <w:t>at</w:t>
      </w:r>
      <w:r w:rsidR="00E16686" w:rsidRPr="00363B40">
        <w:t xml:space="preserve"> </w:t>
      </w:r>
      <w:r w:rsidR="00266087" w:rsidRPr="00363B40">
        <w:t>lower</w:t>
      </w:r>
      <w:r w:rsidRPr="00363B40">
        <w:t xml:space="preserve"> aluminium content.</w:t>
      </w:r>
      <w:r w:rsidR="009A0983" w:rsidRPr="00363B40">
        <w:t xml:space="preserve"> </w:t>
      </w:r>
    </w:p>
    <w:p w:rsidR="003F305F" w:rsidRPr="00363B40" w:rsidRDefault="009A0983" w:rsidP="00F96BD1">
      <w:pPr>
        <w:autoSpaceDE w:val="0"/>
        <w:autoSpaceDN w:val="0"/>
        <w:adjustRightInd w:val="0"/>
        <w:ind w:firstLine="720"/>
        <w:jc w:val="both"/>
      </w:pPr>
      <w:r w:rsidRPr="00363B40">
        <w:t xml:space="preserve">The results for the refinement of the lattice parameters are presented in Table </w:t>
      </w:r>
      <w:r w:rsidR="00E16686">
        <w:t>1.</w:t>
      </w:r>
      <w:r w:rsidRPr="00363B40">
        <w:t xml:space="preserve"> </w:t>
      </w:r>
      <w:r w:rsidR="00E16686">
        <w:t>L</w:t>
      </w:r>
      <w:r w:rsidRPr="00363B40">
        <w:t xml:space="preserve">attice parameter </w:t>
      </w:r>
      <w:r w:rsidR="007E663F" w:rsidRPr="00363B40">
        <w:t>“</w:t>
      </w:r>
      <w:r w:rsidRPr="00363B40">
        <w:t>a</w:t>
      </w:r>
      <w:r w:rsidR="007E663F" w:rsidRPr="00363B40">
        <w:t>”</w:t>
      </w:r>
      <w:r w:rsidRPr="00363B40">
        <w:t xml:space="preserve"> </w:t>
      </w:r>
      <w:r w:rsidR="00D016AE">
        <w:t xml:space="preserve">and </w:t>
      </w:r>
      <w:r w:rsidR="00D016AE" w:rsidRPr="00363B40">
        <w:t>“c”</w:t>
      </w:r>
      <w:r w:rsidR="00D016AE">
        <w:t xml:space="preserve"> are </w:t>
      </w:r>
      <w:r w:rsidRPr="00363B40">
        <w:t>decrease</w:t>
      </w:r>
      <w:r w:rsidR="00E16686">
        <w:t>d</w:t>
      </w:r>
      <w:r w:rsidRPr="00363B40">
        <w:t xml:space="preserve"> with </w:t>
      </w:r>
      <w:r w:rsidR="00E16686">
        <w:t xml:space="preserve">the </w:t>
      </w:r>
      <w:r w:rsidRPr="00363B40">
        <w:t>inc</w:t>
      </w:r>
      <w:r w:rsidR="00266087" w:rsidRPr="00363B40">
        <w:t>reas</w:t>
      </w:r>
      <w:r w:rsidR="00E16686">
        <w:t>ing of</w:t>
      </w:r>
      <w:r w:rsidR="00266087" w:rsidRPr="00363B40">
        <w:t xml:space="preserve"> aluminium content</w:t>
      </w:r>
      <w:r w:rsidRPr="00363B40">
        <w:t>.</w:t>
      </w:r>
      <w:r w:rsidR="001D6EFE" w:rsidRPr="00363B40">
        <w:t xml:space="preserve"> </w:t>
      </w:r>
      <w:r w:rsidR="00207128" w:rsidRPr="00363B40">
        <w:t xml:space="preserve">It was earlier reported </w:t>
      </w:r>
      <w:r w:rsidR="00CD3E55" w:rsidRPr="00363B40">
        <w:fldChar w:fldCharType="begin" w:fldLock="1"/>
      </w:r>
      <w:r w:rsidR="00A25D46" w:rsidRPr="00363B40">
        <w:instrText>ADDIN CSL_CITATION { "citationItems" : [ { "id" : "ITEM-1", "itemData" : { "DOI" : "10.1021/cm010528i", "ISSN" : "08974756", "abstract" : "Materials with nominal compositions Li1+xTi2-xAlx(PO4)3, 0 e x e 0.7, have been prepared and studied with X-ray diffraction (XRD), nuclear magnetic resonance (NMR), and electrical impedance techniques. Substitution of Ti4+ by Al3+ reduces the unit cell dimensions of the NASICON framework but enhances the grain interior conductivity. The overall conductivity is dominated by the grain boundary composition. Detection of new broad peaks in the 31P and 27Al MAS NMR spectra supports the formation of an amorphous Li-conducting phase that accounts for the increase observed in the overall conductivity. In samples with x &gt; 0.5, crystallization of Li4P2O7 as a segregated phase is accompanied by the appearance of a new electrical response. In these samples, a decrease in overall conductivity, associated with a modification of the amorphous phase, is also observed.", "author" : [ { "dropping-particle" : "", "family" : "Arbi", "given" : "K", "non-dropping-particle" : "", "parse-names" : false, "suffix" : "" }, { "dropping-particle" : "", "family" : "Mandal", "given" : "S", "non-dropping-particle" : "", "parse-names" : false, "suffix" : "" }, { "dropping-particle" : "", "family" : "Rojo", "given" : "J M", "non-dropping-particle" : "", "parse-names" : false, "suffix" : "" }, { "dropping-particle" : "", "family" : "Sanz", "given" : "J", "non-dropping-particle" : "", "parse-names" : false, "suffix" : "" } ], "container-title" : "Chemistry of Materials", "id" : "ITEM-1", "issue" : "20", "issued" : { "date-parts" : [ [ "2002" ] ] }, "page" : "1091-1097", "title" : "Dependence of Ionic Conductivity on Composition of Fast Ionic Conductors Li1+xTi2-xAlx(PO4)3, 0 &lt; x &lt; 0.7. A Parallel NMR and Electric Impedance Study", "type" : "article-journal", "volume" : "14" }, "uris" : [ "http://www.mendeley.com/documents/?uuid=cfab18ed-8188-463a-931c-d6a2eebe3adf" ] } ], "mendeley" : { "formattedCitation" : "[16]", "plainTextFormattedCitation" : "[16]", "previouslyFormattedCitation" : "[16]" }, "properties" : { "noteIndex" : 0 }, "schema" : "https://github.com/citation-style-language/schema/raw/master/csl-citation.json" }</w:instrText>
      </w:r>
      <w:r w:rsidR="00CD3E55" w:rsidRPr="00363B40">
        <w:fldChar w:fldCharType="separate"/>
      </w:r>
      <w:r w:rsidR="00B850E6" w:rsidRPr="00B850E6">
        <w:rPr>
          <w:noProof/>
        </w:rPr>
        <w:t>[16]</w:t>
      </w:r>
      <w:r w:rsidR="00CD3E55" w:rsidRPr="00363B40">
        <w:fldChar w:fldCharType="end"/>
      </w:r>
      <w:r w:rsidR="00207128" w:rsidRPr="00363B40">
        <w:t xml:space="preserve"> that</w:t>
      </w:r>
      <w:r w:rsidR="00D016AE">
        <w:t xml:space="preserve"> the</w:t>
      </w:r>
      <w:r w:rsidR="00207128" w:rsidRPr="00363B40">
        <w:t xml:space="preserve"> lattice parameter </w:t>
      </w:r>
      <w:r w:rsidR="000030C5" w:rsidRPr="00363B40">
        <w:t>“</w:t>
      </w:r>
      <w:r w:rsidR="00207128" w:rsidRPr="00363B40">
        <w:t>a</w:t>
      </w:r>
      <w:r w:rsidR="000030C5" w:rsidRPr="00363B40">
        <w:t>”</w:t>
      </w:r>
      <w:r w:rsidR="00207128" w:rsidRPr="00363B40">
        <w:t xml:space="preserve"> and </w:t>
      </w:r>
      <w:r w:rsidR="000030C5" w:rsidRPr="00363B40">
        <w:t>“</w:t>
      </w:r>
      <w:r w:rsidR="00207128" w:rsidRPr="00363B40">
        <w:t>c</w:t>
      </w:r>
      <w:r w:rsidR="000030C5" w:rsidRPr="00363B40">
        <w:t>”</w:t>
      </w:r>
      <w:r w:rsidR="00207128" w:rsidRPr="00363B40">
        <w:t xml:space="preserve"> </w:t>
      </w:r>
      <w:r w:rsidR="00D016AE">
        <w:t xml:space="preserve">will be </w:t>
      </w:r>
      <w:r w:rsidR="00207128" w:rsidRPr="00363B40">
        <w:t>decrease</w:t>
      </w:r>
      <w:r w:rsidR="00D016AE">
        <w:t>d</w:t>
      </w:r>
      <w:r w:rsidR="00207128" w:rsidRPr="00363B40">
        <w:t xml:space="preserve"> as </w:t>
      </w:r>
      <w:r w:rsidR="00D016AE">
        <w:t xml:space="preserve">the </w:t>
      </w:r>
      <w:r w:rsidR="00D016AE" w:rsidRPr="00363B40">
        <w:t>increas</w:t>
      </w:r>
      <w:r w:rsidR="00D016AE">
        <w:t>es of</w:t>
      </w:r>
      <w:r w:rsidR="00D016AE" w:rsidRPr="00363B40">
        <w:t xml:space="preserve"> </w:t>
      </w:r>
      <w:r w:rsidR="00207128" w:rsidRPr="00363B40">
        <w:t>Al content</w:t>
      </w:r>
      <w:r w:rsidR="00D016AE">
        <w:t>.</w:t>
      </w:r>
      <w:r w:rsidR="00207128" w:rsidRPr="00363B40">
        <w:t xml:space="preserve"> </w:t>
      </w:r>
      <w:r w:rsidR="00D016AE">
        <w:t>T</w:t>
      </w:r>
      <w:r w:rsidR="00207128" w:rsidRPr="00363B40">
        <w:t>he var</w:t>
      </w:r>
      <w:r w:rsidR="00D97B80" w:rsidRPr="00363B40">
        <w:t>iation of the lattice parameter</w:t>
      </w:r>
      <w:r w:rsidR="00207128" w:rsidRPr="00363B40">
        <w:t xml:space="preserve"> </w:t>
      </w:r>
      <w:r w:rsidR="000030C5" w:rsidRPr="00363B40">
        <w:t>“</w:t>
      </w:r>
      <w:r w:rsidR="00207128" w:rsidRPr="00363B40">
        <w:t>c</w:t>
      </w:r>
      <w:r w:rsidR="000030C5" w:rsidRPr="00363B40">
        <w:t>”</w:t>
      </w:r>
      <w:r w:rsidR="00207128" w:rsidRPr="00363B40">
        <w:t xml:space="preserve"> is more important at lower Al content</w:t>
      </w:r>
      <w:r w:rsidR="00D97B80" w:rsidRPr="00363B40">
        <w:t xml:space="preserve"> than </w:t>
      </w:r>
      <w:r w:rsidR="000030C5" w:rsidRPr="00363B40">
        <w:t>“</w:t>
      </w:r>
      <w:r w:rsidR="00D97B80" w:rsidRPr="00363B40">
        <w:t>a</w:t>
      </w:r>
      <w:r w:rsidR="000030C5" w:rsidRPr="00363B40">
        <w:t>”</w:t>
      </w:r>
      <w:r w:rsidR="00D97B80" w:rsidRPr="00363B40">
        <w:t>,</w:t>
      </w:r>
      <w:r w:rsidR="00207128" w:rsidRPr="00363B40">
        <w:t xml:space="preserve"> </w:t>
      </w:r>
      <w:r w:rsidR="00D97B80" w:rsidRPr="00363B40">
        <w:t>whereas</w:t>
      </w:r>
      <w:r w:rsidR="00207128" w:rsidRPr="00363B40">
        <w:t xml:space="preserve"> </w:t>
      </w:r>
      <w:r w:rsidR="00D97B80" w:rsidRPr="00363B40">
        <w:t>lattice parameter</w:t>
      </w:r>
      <w:r w:rsidR="00207128" w:rsidRPr="00363B40">
        <w:t xml:space="preserve"> </w:t>
      </w:r>
      <w:r w:rsidR="000030C5" w:rsidRPr="00363B40">
        <w:t>“</w:t>
      </w:r>
      <w:r w:rsidR="00207128" w:rsidRPr="00363B40">
        <w:t>a</w:t>
      </w:r>
      <w:r w:rsidR="000030C5" w:rsidRPr="00363B40">
        <w:t>”</w:t>
      </w:r>
      <w:r w:rsidR="00207128" w:rsidRPr="00363B40">
        <w:t xml:space="preserve"> and </w:t>
      </w:r>
      <w:r w:rsidR="000030C5" w:rsidRPr="00363B40">
        <w:t>“</w:t>
      </w:r>
      <w:r w:rsidR="00207128" w:rsidRPr="00363B40">
        <w:t>c</w:t>
      </w:r>
      <w:r w:rsidR="000030C5" w:rsidRPr="00363B40">
        <w:t>”</w:t>
      </w:r>
      <w:r w:rsidR="00207128" w:rsidRPr="00363B40">
        <w:t xml:space="preserve"> are less important at higher Al content. </w:t>
      </w:r>
      <w:r w:rsidR="00D016AE">
        <w:t>In addition</w:t>
      </w:r>
      <w:r w:rsidR="00207128" w:rsidRPr="00363B40">
        <w:t xml:space="preserve">, </w:t>
      </w:r>
      <w:r w:rsidR="00C541F2" w:rsidRPr="00363B40">
        <w:t>formation of new crystalline phases does</w:t>
      </w:r>
      <w:r w:rsidR="00207128" w:rsidRPr="00363B40">
        <w:t xml:space="preserve"> occur at higher Al content.</w:t>
      </w:r>
      <w:r w:rsidRPr="00363B40">
        <w:t xml:space="preserve"> </w:t>
      </w:r>
      <w:r w:rsidR="00D97B80" w:rsidRPr="00363B40">
        <w:t xml:space="preserve">An increase of Al content </w:t>
      </w:r>
      <w:r w:rsidR="00A25D46" w:rsidRPr="00363B40">
        <w:t>slightly reduce</w:t>
      </w:r>
      <w:r w:rsidR="00D016AE">
        <w:t>d</w:t>
      </w:r>
      <w:r w:rsidR="00A25D46" w:rsidRPr="00363B40">
        <w:t xml:space="preserve"> the </w:t>
      </w:r>
      <w:r w:rsidR="00CB5D90" w:rsidRPr="00363B40">
        <w:t>volume</w:t>
      </w:r>
      <w:r w:rsidR="00A25D46" w:rsidRPr="00363B40">
        <w:t xml:space="preserve"> of the lattice parameter with partial substitution of</w:t>
      </w:r>
      <w:r w:rsidR="00A25D46" w:rsidRPr="00363B40">
        <w:rPr>
          <w:color w:val="FF0000"/>
        </w:rPr>
        <w:t xml:space="preserve"> </w:t>
      </w:r>
      <w:r w:rsidR="00A25D46" w:rsidRPr="00363B40">
        <w:t>Ti</w:t>
      </w:r>
      <w:r w:rsidR="00A25D46" w:rsidRPr="00363B40">
        <w:rPr>
          <w:vertAlign w:val="superscript"/>
        </w:rPr>
        <w:t>4+</w:t>
      </w:r>
      <w:r w:rsidR="00A25D46" w:rsidRPr="00363B40">
        <w:t xml:space="preserve"> cations (0.605 Å) by smaller Al</w:t>
      </w:r>
      <w:r w:rsidR="00A25D46" w:rsidRPr="00363B40">
        <w:rPr>
          <w:vertAlign w:val="superscript"/>
        </w:rPr>
        <w:t>3+</w:t>
      </w:r>
      <w:r w:rsidR="00A25D46" w:rsidRPr="00363B40">
        <w:t xml:space="preserve"> size (0.535 Å)</w:t>
      </w:r>
      <w:r w:rsidR="008011AD" w:rsidRPr="00363B40">
        <w:t xml:space="preserve">. From </w:t>
      </w:r>
      <w:r w:rsidR="00D016AE">
        <w:t>E</w:t>
      </w:r>
      <w:r w:rsidR="008011AD" w:rsidRPr="00363B40">
        <w:t>quation 2, the average crystallite sizes of the s</w:t>
      </w:r>
      <w:r w:rsidR="006A495E" w:rsidRPr="00363B40">
        <w:t>a</w:t>
      </w:r>
      <w:r w:rsidR="008011AD" w:rsidRPr="00363B40">
        <w:t>mples were calculated and the particle size increase</w:t>
      </w:r>
      <w:r w:rsidR="00D016AE">
        <w:t>d</w:t>
      </w:r>
      <w:r w:rsidR="008011AD" w:rsidRPr="00363B40">
        <w:t xml:space="preserve"> </w:t>
      </w:r>
      <w:r w:rsidR="000030C5" w:rsidRPr="00363B40">
        <w:t xml:space="preserve">with </w:t>
      </w:r>
      <w:r w:rsidR="00D016AE">
        <w:t xml:space="preserve">the </w:t>
      </w:r>
      <w:r w:rsidR="000030C5" w:rsidRPr="00363B40">
        <w:t>increas</w:t>
      </w:r>
      <w:r w:rsidR="00D016AE">
        <w:t>ing</w:t>
      </w:r>
      <w:r w:rsidR="000030C5" w:rsidRPr="00363B40">
        <w:t xml:space="preserve"> </w:t>
      </w:r>
      <w:r w:rsidR="00D016AE">
        <w:t>of</w:t>
      </w:r>
      <w:r w:rsidR="000030C5" w:rsidRPr="00363B40">
        <w:t xml:space="preserve"> Al content from</w:t>
      </w:r>
      <w:r w:rsidR="008011AD" w:rsidRPr="00363B40">
        <w:t xml:space="preserve"> 4.02 µm</w:t>
      </w:r>
      <w:r w:rsidR="006A495E" w:rsidRPr="00363B40">
        <w:t xml:space="preserve"> </w:t>
      </w:r>
      <w:r w:rsidR="00D016AE">
        <w:t>(</w:t>
      </w:r>
      <w:r w:rsidR="006A495E" w:rsidRPr="00363B40">
        <w:t>undoped sample</w:t>
      </w:r>
      <w:r w:rsidR="00D016AE">
        <w:t>)</w:t>
      </w:r>
      <w:r w:rsidR="006A495E" w:rsidRPr="00363B40">
        <w:t xml:space="preserve"> to 5.92 µm for Al doped sample </w:t>
      </w:r>
      <w:r w:rsidR="00D016AE">
        <w:t>(</w:t>
      </w:r>
      <w:r w:rsidR="00EB3F05" w:rsidRPr="00363B40">
        <w:t>LTAP-0.2</w:t>
      </w:r>
      <w:r w:rsidR="00D016AE">
        <w:t>)</w:t>
      </w:r>
      <w:r w:rsidR="00EB3F05" w:rsidRPr="00363B40">
        <w:t>. Further increas</w:t>
      </w:r>
      <w:r w:rsidR="00D016AE">
        <w:t>ing</w:t>
      </w:r>
      <w:r w:rsidR="00EB3F05" w:rsidRPr="00363B40">
        <w:t xml:space="preserve"> </w:t>
      </w:r>
      <w:r w:rsidR="00D016AE">
        <w:t>the</w:t>
      </w:r>
      <w:r w:rsidR="000030C5" w:rsidRPr="00363B40">
        <w:t xml:space="preserve"> Al content decrease</w:t>
      </w:r>
      <w:r w:rsidR="00D016AE">
        <w:t>d</w:t>
      </w:r>
      <w:r w:rsidR="000030C5" w:rsidRPr="00363B40">
        <w:t xml:space="preserve"> the particle size to 3.93 µm </w:t>
      </w:r>
      <w:r w:rsidR="00D016AE">
        <w:t>(</w:t>
      </w:r>
      <w:r w:rsidR="000030C5" w:rsidRPr="00363B40">
        <w:t>LTAP-1.0</w:t>
      </w:r>
      <w:r w:rsidR="00D016AE">
        <w:t>)</w:t>
      </w:r>
      <w:r w:rsidR="006A495E" w:rsidRPr="00363B40">
        <w:t>.</w:t>
      </w:r>
      <w:r w:rsidR="00EB3F05" w:rsidRPr="00363B40">
        <w:t xml:space="preserve"> The reason for </w:t>
      </w:r>
      <w:r w:rsidR="00D016AE">
        <w:t xml:space="preserve">the </w:t>
      </w:r>
      <w:r w:rsidR="00667B22" w:rsidRPr="00363B40">
        <w:t>decreas</w:t>
      </w:r>
      <w:r w:rsidR="00D016AE">
        <w:t>ing</w:t>
      </w:r>
      <w:r w:rsidR="00667B22" w:rsidRPr="00363B40">
        <w:t xml:space="preserve"> of</w:t>
      </w:r>
      <w:r w:rsidR="00EB3F05" w:rsidRPr="00363B40">
        <w:t xml:space="preserve"> particle</w:t>
      </w:r>
      <w:r w:rsidR="00667B22" w:rsidRPr="00363B40">
        <w:t xml:space="preserve"> size for LTAP-1.0</w:t>
      </w:r>
      <w:r w:rsidR="00D016AE">
        <w:t xml:space="preserve"> sample</w:t>
      </w:r>
      <w:r w:rsidR="00EB3F05" w:rsidRPr="00363B40">
        <w:t xml:space="preserve"> could be a result </w:t>
      </w:r>
      <w:r w:rsidR="00D016AE">
        <w:t>from</w:t>
      </w:r>
      <w:r w:rsidR="00EB3F05" w:rsidRPr="00363B40">
        <w:t xml:space="preserve"> impurity phases observed in XRD data. </w:t>
      </w:r>
    </w:p>
    <w:p w:rsidR="007411A9" w:rsidRPr="00363B40" w:rsidRDefault="007411A9" w:rsidP="00F96BD1">
      <w:pPr>
        <w:autoSpaceDE w:val="0"/>
        <w:autoSpaceDN w:val="0"/>
        <w:adjustRightInd w:val="0"/>
        <w:jc w:val="both"/>
      </w:pPr>
    </w:p>
    <w:p w:rsidR="003F305F" w:rsidRPr="00363B40" w:rsidRDefault="003F305F" w:rsidP="002A41F8">
      <w:pPr>
        <w:autoSpaceDE w:val="0"/>
        <w:autoSpaceDN w:val="0"/>
        <w:adjustRightInd w:val="0"/>
        <w:jc w:val="center"/>
        <w:rPr>
          <w:szCs w:val="24"/>
        </w:rPr>
      </w:pPr>
      <w:r w:rsidRPr="00363B40">
        <w:rPr>
          <w:b/>
          <w:szCs w:val="24"/>
        </w:rPr>
        <w:t>Table 1</w:t>
      </w:r>
      <w:r w:rsidRPr="00363B40">
        <w:rPr>
          <w:szCs w:val="24"/>
        </w:rPr>
        <w:t xml:space="preserve">. </w:t>
      </w:r>
      <w:r w:rsidR="00D016AE">
        <w:rPr>
          <w:szCs w:val="24"/>
        </w:rPr>
        <w:t>T</w:t>
      </w:r>
      <w:r w:rsidRPr="00363B40">
        <w:rPr>
          <w:szCs w:val="24"/>
        </w:rPr>
        <w:t>he grain size, lattice parameter</w:t>
      </w:r>
      <w:r w:rsidR="00D20180" w:rsidRPr="00363B40">
        <w:rPr>
          <w:szCs w:val="24"/>
        </w:rPr>
        <w:t>s</w:t>
      </w:r>
      <w:r w:rsidRPr="00363B40">
        <w:rPr>
          <w:szCs w:val="24"/>
        </w:rPr>
        <w:t>, volume and bulk densities</w:t>
      </w:r>
      <w:r w:rsidR="00D016AE">
        <w:rPr>
          <w:szCs w:val="24"/>
        </w:rPr>
        <w:t xml:space="preserve"> of </w:t>
      </w:r>
      <w:r w:rsidR="005945B5">
        <w:rPr>
          <w:szCs w:val="24"/>
        </w:rPr>
        <w:t>sintered samples.</w:t>
      </w:r>
    </w:p>
    <w:p w:rsidR="002A41F8" w:rsidRPr="00363B40" w:rsidRDefault="002A41F8" w:rsidP="002A41F8">
      <w:pPr>
        <w:autoSpaceDE w:val="0"/>
        <w:autoSpaceDN w:val="0"/>
        <w:adjustRightInd w:val="0"/>
        <w:jc w:val="center"/>
        <w:rPr>
          <w:szCs w:val="24"/>
        </w:rPr>
      </w:pPr>
    </w:p>
    <w:tbl>
      <w:tblPr>
        <w:tblStyle w:val="TableGrid"/>
        <w:tblW w:w="0" w:type="auto"/>
        <w:jc w:val="center"/>
        <w:tblLayout w:type="fixed"/>
        <w:tblLook w:val="04A0" w:firstRow="1" w:lastRow="0" w:firstColumn="1" w:lastColumn="0" w:noHBand="0" w:noVBand="1"/>
      </w:tblPr>
      <w:tblGrid>
        <w:gridCol w:w="1242"/>
        <w:gridCol w:w="1418"/>
        <w:gridCol w:w="1134"/>
        <w:gridCol w:w="992"/>
        <w:gridCol w:w="1843"/>
        <w:gridCol w:w="1843"/>
      </w:tblGrid>
      <w:tr w:rsidR="003F305F" w:rsidRPr="00363B40" w:rsidTr="002A41F8">
        <w:trPr>
          <w:trHeight w:val="390"/>
          <w:jc w:val="center"/>
        </w:trPr>
        <w:tc>
          <w:tcPr>
            <w:tcW w:w="1242" w:type="dxa"/>
            <w:vMerge w:val="restart"/>
          </w:tcPr>
          <w:p w:rsidR="003F305F" w:rsidRPr="00363B40" w:rsidRDefault="003F305F" w:rsidP="00367481">
            <w:pPr>
              <w:autoSpaceDE w:val="0"/>
              <w:autoSpaceDN w:val="0"/>
              <w:adjustRightInd w:val="0"/>
              <w:jc w:val="center"/>
              <w:rPr>
                <w:szCs w:val="24"/>
              </w:rPr>
            </w:pPr>
            <w:r w:rsidRPr="00363B40">
              <w:rPr>
                <w:szCs w:val="24"/>
              </w:rPr>
              <w:t>Sample name</w:t>
            </w:r>
          </w:p>
        </w:tc>
        <w:tc>
          <w:tcPr>
            <w:tcW w:w="1418" w:type="dxa"/>
            <w:vMerge w:val="restart"/>
          </w:tcPr>
          <w:p w:rsidR="003F305F" w:rsidRPr="00363B40" w:rsidRDefault="003F305F" w:rsidP="00367481">
            <w:pPr>
              <w:autoSpaceDE w:val="0"/>
              <w:autoSpaceDN w:val="0"/>
              <w:adjustRightInd w:val="0"/>
              <w:jc w:val="center"/>
              <w:rPr>
                <w:szCs w:val="24"/>
              </w:rPr>
            </w:pPr>
            <w:r w:rsidRPr="00363B40">
              <w:rPr>
                <w:szCs w:val="24"/>
              </w:rPr>
              <w:t>Grain size, D (µm)</w:t>
            </w:r>
          </w:p>
        </w:tc>
        <w:tc>
          <w:tcPr>
            <w:tcW w:w="2126" w:type="dxa"/>
            <w:gridSpan w:val="2"/>
          </w:tcPr>
          <w:p w:rsidR="003F305F" w:rsidRPr="00363B40" w:rsidRDefault="003F305F" w:rsidP="00367481">
            <w:pPr>
              <w:autoSpaceDE w:val="0"/>
              <w:autoSpaceDN w:val="0"/>
              <w:adjustRightInd w:val="0"/>
              <w:jc w:val="center"/>
              <w:rPr>
                <w:szCs w:val="24"/>
              </w:rPr>
            </w:pPr>
            <w:r w:rsidRPr="00363B40">
              <w:rPr>
                <w:szCs w:val="24"/>
              </w:rPr>
              <w:t>Lattice parameters</w:t>
            </w:r>
          </w:p>
        </w:tc>
        <w:tc>
          <w:tcPr>
            <w:tcW w:w="1843" w:type="dxa"/>
            <w:vMerge w:val="restart"/>
          </w:tcPr>
          <w:p w:rsidR="003F305F" w:rsidRPr="00363B40" w:rsidRDefault="003F305F" w:rsidP="00367481">
            <w:pPr>
              <w:autoSpaceDE w:val="0"/>
              <w:autoSpaceDN w:val="0"/>
              <w:adjustRightInd w:val="0"/>
              <w:jc w:val="center"/>
              <w:rPr>
                <w:szCs w:val="24"/>
              </w:rPr>
            </w:pPr>
            <w:r w:rsidRPr="00363B40">
              <w:rPr>
                <w:szCs w:val="24"/>
              </w:rPr>
              <w:t>Volume, V (Å</w:t>
            </w:r>
            <w:r w:rsidRPr="00363B40">
              <w:rPr>
                <w:szCs w:val="24"/>
                <w:vertAlign w:val="superscript"/>
              </w:rPr>
              <w:t>3</w:t>
            </w:r>
            <w:r w:rsidRPr="00363B40">
              <w:rPr>
                <w:szCs w:val="24"/>
              </w:rPr>
              <w:t>)</w:t>
            </w:r>
          </w:p>
        </w:tc>
        <w:tc>
          <w:tcPr>
            <w:tcW w:w="1843" w:type="dxa"/>
            <w:vMerge w:val="restart"/>
          </w:tcPr>
          <w:p w:rsidR="003F305F" w:rsidRPr="00363B40" w:rsidRDefault="003F305F" w:rsidP="00367481">
            <w:pPr>
              <w:autoSpaceDE w:val="0"/>
              <w:autoSpaceDN w:val="0"/>
              <w:adjustRightInd w:val="0"/>
              <w:jc w:val="center"/>
              <w:rPr>
                <w:szCs w:val="24"/>
              </w:rPr>
            </w:pPr>
            <w:r w:rsidRPr="00363B40">
              <w:rPr>
                <w:szCs w:val="24"/>
              </w:rPr>
              <w:t>Bulk density (Kgcm</w:t>
            </w:r>
            <w:r w:rsidRPr="00363B40">
              <w:rPr>
                <w:szCs w:val="24"/>
                <w:vertAlign w:val="superscript"/>
              </w:rPr>
              <w:t>-3</w:t>
            </w:r>
            <w:r w:rsidRPr="00363B40">
              <w:rPr>
                <w:szCs w:val="24"/>
              </w:rPr>
              <w:t>)</w:t>
            </w:r>
          </w:p>
        </w:tc>
      </w:tr>
      <w:tr w:rsidR="003F305F" w:rsidRPr="00363B40" w:rsidTr="002A41F8">
        <w:trPr>
          <w:trHeight w:val="360"/>
          <w:jc w:val="center"/>
        </w:trPr>
        <w:tc>
          <w:tcPr>
            <w:tcW w:w="1242" w:type="dxa"/>
            <w:vMerge/>
          </w:tcPr>
          <w:p w:rsidR="003F305F" w:rsidRPr="00363B40" w:rsidRDefault="003F305F" w:rsidP="00F96BD1">
            <w:pPr>
              <w:autoSpaceDE w:val="0"/>
              <w:autoSpaceDN w:val="0"/>
              <w:adjustRightInd w:val="0"/>
              <w:jc w:val="both"/>
              <w:rPr>
                <w:szCs w:val="24"/>
              </w:rPr>
            </w:pPr>
          </w:p>
        </w:tc>
        <w:tc>
          <w:tcPr>
            <w:tcW w:w="1418" w:type="dxa"/>
            <w:vMerge/>
          </w:tcPr>
          <w:p w:rsidR="003F305F" w:rsidRPr="00363B40" w:rsidRDefault="003F305F" w:rsidP="00F96BD1">
            <w:pPr>
              <w:autoSpaceDE w:val="0"/>
              <w:autoSpaceDN w:val="0"/>
              <w:adjustRightInd w:val="0"/>
              <w:jc w:val="both"/>
              <w:rPr>
                <w:szCs w:val="24"/>
              </w:rPr>
            </w:pPr>
          </w:p>
        </w:tc>
        <w:tc>
          <w:tcPr>
            <w:tcW w:w="1134" w:type="dxa"/>
          </w:tcPr>
          <w:p w:rsidR="003F305F" w:rsidRPr="00363B40" w:rsidRDefault="003F305F" w:rsidP="00367481">
            <w:pPr>
              <w:autoSpaceDE w:val="0"/>
              <w:autoSpaceDN w:val="0"/>
              <w:adjustRightInd w:val="0"/>
              <w:jc w:val="center"/>
              <w:rPr>
                <w:szCs w:val="24"/>
              </w:rPr>
            </w:pPr>
            <w:r w:rsidRPr="00363B40">
              <w:rPr>
                <w:szCs w:val="24"/>
              </w:rPr>
              <w:t>a (Å)</w:t>
            </w:r>
          </w:p>
        </w:tc>
        <w:tc>
          <w:tcPr>
            <w:tcW w:w="992" w:type="dxa"/>
          </w:tcPr>
          <w:p w:rsidR="003F305F" w:rsidRPr="00363B40" w:rsidRDefault="003F305F" w:rsidP="00367481">
            <w:pPr>
              <w:autoSpaceDE w:val="0"/>
              <w:autoSpaceDN w:val="0"/>
              <w:adjustRightInd w:val="0"/>
              <w:jc w:val="center"/>
              <w:rPr>
                <w:szCs w:val="24"/>
              </w:rPr>
            </w:pPr>
            <w:r w:rsidRPr="00363B40">
              <w:rPr>
                <w:szCs w:val="24"/>
              </w:rPr>
              <w:t>c (Å)</w:t>
            </w:r>
          </w:p>
        </w:tc>
        <w:tc>
          <w:tcPr>
            <w:tcW w:w="1843" w:type="dxa"/>
            <w:vMerge/>
          </w:tcPr>
          <w:p w:rsidR="003F305F" w:rsidRPr="00363B40" w:rsidRDefault="003F305F" w:rsidP="00F96BD1">
            <w:pPr>
              <w:autoSpaceDE w:val="0"/>
              <w:autoSpaceDN w:val="0"/>
              <w:adjustRightInd w:val="0"/>
              <w:jc w:val="both"/>
              <w:rPr>
                <w:szCs w:val="24"/>
              </w:rPr>
            </w:pPr>
          </w:p>
        </w:tc>
        <w:tc>
          <w:tcPr>
            <w:tcW w:w="1843" w:type="dxa"/>
            <w:vMerge/>
          </w:tcPr>
          <w:p w:rsidR="003F305F" w:rsidRPr="00363B40" w:rsidRDefault="003F305F" w:rsidP="00F96BD1">
            <w:pPr>
              <w:autoSpaceDE w:val="0"/>
              <w:autoSpaceDN w:val="0"/>
              <w:adjustRightInd w:val="0"/>
              <w:jc w:val="both"/>
              <w:rPr>
                <w:szCs w:val="24"/>
              </w:rPr>
            </w:pPr>
          </w:p>
        </w:tc>
      </w:tr>
      <w:tr w:rsidR="003F305F" w:rsidRPr="00363B40" w:rsidTr="002A41F8">
        <w:trPr>
          <w:jc w:val="center"/>
        </w:trPr>
        <w:tc>
          <w:tcPr>
            <w:tcW w:w="1242" w:type="dxa"/>
          </w:tcPr>
          <w:p w:rsidR="003F305F" w:rsidRPr="00363B40" w:rsidRDefault="003F305F" w:rsidP="00367481">
            <w:pPr>
              <w:autoSpaceDE w:val="0"/>
              <w:autoSpaceDN w:val="0"/>
              <w:adjustRightInd w:val="0"/>
              <w:jc w:val="center"/>
              <w:rPr>
                <w:szCs w:val="24"/>
              </w:rPr>
            </w:pPr>
            <w:r w:rsidRPr="00363B40">
              <w:rPr>
                <w:szCs w:val="24"/>
              </w:rPr>
              <w:t>LTP-0.0</w:t>
            </w:r>
          </w:p>
        </w:tc>
        <w:tc>
          <w:tcPr>
            <w:tcW w:w="1418" w:type="dxa"/>
          </w:tcPr>
          <w:p w:rsidR="003F305F" w:rsidRPr="00363B40" w:rsidRDefault="003F305F" w:rsidP="00367481">
            <w:pPr>
              <w:autoSpaceDE w:val="0"/>
              <w:autoSpaceDN w:val="0"/>
              <w:adjustRightInd w:val="0"/>
              <w:jc w:val="center"/>
              <w:rPr>
                <w:szCs w:val="24"/>
              </w:rPr>
            </w:pPr>
            <w:r w:rsidRPr="00363B40">
              <w:rPr>
                <w:szCs w:val="24"/>
              </w:rPr>
              <w:t>4.02</w:t>
            </w:r>
          </w:p>
        </w:tc>
        <w:tc>
          <w:tcPr>
            <w:tcW w:w="1134" w:type="dxa"/>
          </w:tcPr>
          <w:p w:rsidR="003F305F" w:rsidRPr="00363B40" w:rsidRDefault="003F305F" w:rsidP="00367481">
            <w:pPr>
              <w:autoSpaceDE w:val="0"/>
              <w:autoSpaceDN w:val="0"/>
              <w:adjustRightInd w:val="0"/>
              <w:jc w:val="center"/>
              <w:rPr>
                <w:szCs w:val="24"/>
              </w:rPr>
            </w:pPr>
            <w:r w:rsidRPr="00363B40">
              <w:rPr>
                <w:szCs w:val="24"/>
              </w:rPr>
              <w:t>8.58</w:t>
            </w:r>
          </w:p>
        </w:tc>
        <w:tc>
          <w:tcPr>
            <w:tcW w:w="992" w:type="dxa"/>
          </w:tcPr>
          <w:p w:rsidR="003F305F" w:rsidRPr="00363B40" w:rsidRDefault="003F305F" w:rsidP="00367481">
            <w:pPr>
              <w:autoSpaceDE w:val="0"/>
              <w:autoSpaceDN w:val="0"/>
              <w:adjustRightInd w:val="0"/>
              <w:jc w:val="center"/>
              <w:rPr>
                <w:szCs w:val="24"/>
              </w:rPr>
            </w:pPr>
            <w:r w:rsidRPr="00363B40">
              <w:rPr>
                <w:szCs w:val="24"/>
              </w:rPr>
              <w:t>20.84</w:t>
            </w:r>
          </w:p>
        </w:tc>
        <w:tc>
          <w:tcPr>
            <w:tcW w:w="1843" w:type="dxa"/>
          </w:tcPr>
          <w:p w:rsidR="003F305F" w:rsidRPr="00363B40" w:rsidRDefault="003F305F" w:rsidP="00367481">
            <w:pPr>
              <w:autoSpaceDE w:val="0"/>
              <w:autoSpaceDN w:val="0"/>
              <w:adjustRightInd w:val="0"/>
              <w:jc w:val="center"/>
              <w:rPr>
                <w:szCs w:val="24"/>
              </w:rPr>
            </w:pPr>
            <w:r w:rsidRPr="00363B40">
              <w:rPr>
                <w:szCs w:val="24"/>
              </w:rPr>
              <w:t>1328.59</w:t>
            </w:r>
          </w:p>
        </w:tc>
        <w:tc>
          <w:tcPr>
            <w:tcW w:w="1843" w:type="dxa"/>
          </w:tcPr>
          <w:p w:rsidR="003F305F" w:rsidRPr="00363B40" w:rsidRDefault="003F305F" w:rsidP="00367481">
            <w:pPr>
              <w:autoSpaceDE w:val="0"/>
              <w:autoSpaceDN w:val="0"/>
              <w:adjustRightInd w:val="0"/>
              <w:jc w:val="center"/>
              <w:rPr>
                <w:szCs w:val="24"/>
              </w:rPr>
            </w:pPr>
            <w:r w:rsidRPr="00363B40">
              <w:rPr>
                <w:szCs w:val="24"/>
              </w:rPr>
              <w:t>2.38</w:t>
            </w:r>
          </w:p>
        </w:tc>
      </w:tr>
      <w:tr w:rsidR="003F305F" w:rsidRPr="00363B40" w:rsidTr="002A41F8">
        <w:trPr>
          <w:jc w:val="center"/>
        </w:trPr>
        <w:tc>
          <w:tcPr>
            <w:tcW w:w="1242" w:type="dxa"/>
          </w:tcPr>
          <w:p w:rsidR="003F305F" w:rsidRPr="00363B40" w:rsidRDefault="003F305F" w:rsidP="00367481">
            <w:pPr>
              <w:autoSpaceDE w:val="0"/>
              <w:autoSpaceDN w:val="0"/>
              <w:adjustRightInd w:val="0"/>
              <w:jc w:val="center"/>
              <w:rPr>
                <w:szCs w:val="24"/>
              </w:rPr>
            </w:pPr>
            <w:r w:rsidRPr="00363B40">
              <w:rPr>
                <w:szCs w:val="24"/>
              </w:rPr>
              <w:t>LTAP-0.2</w:t>
            </w:r>
          </w:p>
        </w:tc>
        <w:tc>
          <w:tcPr>
            <w:tcW w:w="1418" w:type="dxa"/>
          </w:tcPr>
          <w:p w:rsidR="003F305F" w:rsidRPr="00363B40" w:rsidRDefault="003F305F" w:rsidP="00367481">
            <w:pPr>
              <w:autoSpaceDE w:val="0"/>
              <w:autoSpaceDN w:val="0"/>
              <w:adjustRightInd w:val="0"/>
              <w:jc w:val="center"/>
              <w:rPr>
                <w:szCs w:val="24"/>
              </w:rPr>
            </w:pPr>
            <w:r w:rsidRPr="00363B40">
              <w:rPr>
                <w:szCs w:val="24"/>
              </w:rPr>
              <w:t>5.92</w:t>
            </w:r>
          </w:p>
        </w:tc>
        <w:tc>
          <w:tcPr>
            <w:tcW w:w="1134" w:type="dxa"/>
          </w:tcPr>
          <w:p w:rsidR="003F305F" w:rsidRPr="00363B40" w:rsidRDefault="003F305F" w:rsidP="00367481">
            <w:pPr>
              <w:autoSpaceDE w:val="0"/>
              <w:autoSpaceDN w:val="0"/>
              <w:adjustRightInd w:val="0"/>
              <w:jc w:val="center"/>
              <w:rPr>
                <w:szCs w:val="24"/>
              </w:rPr>
            </w:pPr>
            <w:r w:rsidRPr="00363B40">
              <w:rPr>
                <w:szCs w:val="24"/>
              </w:rPr>
              <w:t>8.50</w:t>
            </w:r>
          </w:p>
        </w:tc>
        <w:tc>
          <w:tcPr>
            <w:tcW w:w="992" w:type="dxa"/>
          </w:tcPr>
          <w:p w:rsidR="003F305F" w:rsidRPr="00363B40" w:rsidRDefault="003F305F" w:rsidP="00367481">
            <w:pPr>
              <w:autoSpaceDE w:val="0"/>
              <w:autoSpaceDN w:val="0"/>
              <w:adjustRightInd w:val="0"/>
              <w:jc w:val="center"/>
              <w:rPr>
                <w:szCs w:val="24"/>
              </w:rPr>
            </w:pPr>
            <w:r w:rsidRPr="00363B40">
              <w:rPr>
                <w:szCs w:val="24"/>
              </w:rPr>
              <w:t>20.93</w:t>
            </w:r>
          </w:p>
        </w:tc>
        <w:tc>
          <w:tcPr>
            <w:tcW w:w="1843" w:type="dxa"/>
          </w:tcPr>
          <w:p w:rsidR="003F305F" w:rsidRPr="00363B40" w:rsidRDefault="003F305F" w:rsidP="00367481">
            <w:pPr>
              <w:autoSpaceDE w:val="0"/>
              <w:autoSpaceDN w:val="0"/>
              <w:adjustRightInd w:val="0"/>
              <w:jc w:val="center"/>
              <w:rPr>
                <w:szCs w:val="24"/>
              </w:rPr>
            </w:pPr>
            <w:r w:rsidRPr="00363B40">
              <w:rPr>
                <w:szCs w:val="24"/>
              </w:rPr>
              <w:t>1309.56</w:t>
            </w:r>
          </w:p>
        </w:tc>
        <w:tc>
          <w:tcPr>
            <w:tcW w:w="1843" w:type="dxa"/>
          </w:tcPr>
          <w:p w:rsidR="003F305F" w:rsidRPr="00363B40" w:rsidRDefault="003F305F" w:rsidP="00367481">
            <w:pPr>
              <w:autoSpaceDE w:val="0"/>
              <w:autoSpaceDN w:val="0"/>
              <w:adjustRightInd w:val="0"/>
              <w:jc w:val="center"/>
              <w:rPr>
                <w:szCs w:val="24"/>
              </w:rPr>
            </w:pPr>
            <w:r w:rsidRPr="00363B40">
              <w:rPr>
                <w:szCs w:val="24"/>
              </w:rPr>
              <w:t>2.83</w:t>
            </w:r>
          </w:p>
        </w:tc>
      </w:tr>
      <w:tr w:rsidR="003F305F" w:rsidRPr="00363B40" w:rsidTr="002A41F8">
        <w:trPr>
          <w:jc w:val="center"/>
        </w:trPr>
        <w:tc>
          <w:tcPr>
            <w:tcW w:w="1242" w:type="dxa"/>
          </w:tcPr>
          <w:p w:rsidR="003F305F" w:rsidRPr="00363B40" w:rsidRDefault="003F305F" w:rsidP="00367481">
            <w:pPr>
              <w:autoSpaceDE w:val="0"/>
              <w:autoSpaceDN w:val="0"/>
              <w:adjustRightInd w:val="0"/>
              <w:jc w:val="center"/>
              <w:rPr>
                <w:szCs w:val="24"/>
              </w:rPr>
            </w:pPr>
            <w:r w:rsidRPr="00363B40">
              <w:rPr>
                <w:szCs w:val="24"/>
              </w:rPr>
              <w:t>LTAP-1.0</w:t>
            </w:r>
          </w:p>
        </w:tc>
        <w:tc>
          <w:tcPr>
            <w:tcW w:w="1418" w:type="dxa"/>
          </w:tcPr>
          <w:p w:rsidR="003F305F" w:rsidRPr="00363B40" w:rsidRDefault="003F305F" w:rsidP="00367481">
            <w:pPr>
              <w:autoSpaceDE w:val="0"/>
              <w:autoSpaceDN w:val="0"/>
              <w:adjustRightInd w:val="0"/>
              <w:jc w:val="center"/>
              <w:rPr>
                <w:szCs w:val="24"/>
              </w:rPr>
            </w:pPr>
            <w:r w:rsidRPr="00363B40">
              <w:rPr>
                <w:szCs w:val="24"/>
              </w:rPr>
              <w:t>3.93</w:t>
            </w:r>
          </w:p>
        </w:tc>
        <w:tc>
          <w:tcPr>
            <w:tcW w:w="1134" w:type="dxa"/>
          </w:tcPr>
          <w:p w:rsidR="003F305F" w:rsidRPr="00363B40" w:rsidRDefault="003F305F" w:rsidP="00367481">
            <w:pPr>
              <w:autoSpaceDE w:val="0"/>
              <w:autoSpaceDN w:val="0"/>
              <w:adjustRightInd w:val="0"/>
              <w:jc w:val="center"/>
              <w:rPr>
                <w:szCs w:val="24"/>
              </w:rPr>
            </w:pPr>
            <w:r w:rsidRPr="00363B40">
              <w:rPr>
                <w:szCs w:val="24"/>
              </w:rPr>
              <w:t>8.41</w:t>
            </w:r>
          </w:p>
        </w:tc>
        <w:tc>
          <w:tcPr>
            <w:tcW w:w="992" w:type="dxa"/>
          </w:tcPr>
          <w:p w:rsidR="003F305F" w:rsidRPr="00363B40" w:rsidRDefault="003F305F" w:rsidP="00367481">
            <w:pPr>
              <w:autoSpaceDE w:val="0"/>
              <w:autoSpaceDN w:val="0"/>
              <w:adjustRightInd w:val="0"/>
              <w:jc w:val="center"/>
              <w:rPr>
                <w:szCs w:val="24"/>
              </w:rPr>
            </w:pPr>
            <w:r w:rsidRPr="00363B40">
              <w:rPr>
                <w:szCs w:val="24"/>
              </w:rPr>
              <w:t>20.48</w:t>
            </w:r>
          </w:p>
        </w:tc>
        <w:tc>
          <w:tcPr>
            <w:tcW w:w="1843" w:type="dxa"/>
          </w:tcPr>
          <w:p w:rsidR="003F305F" w:rsidRPr="00363B40" w:rsidRDefault="003F305F" w:rsidP="00367481">
            <w:pPr>
              <w:autoSpaceDE w:val="0"/>
              <w:autoSpaceDN w:val="0"/>
              <w:adjustRightInd w:val="0"/>
              <w:jc w:val="center"/>
              <w:rPr>
                <w:szCs w:val="24"/>
              </w:rPr>
            </w:pPr>
            <w:r w:rsidRPr="00363B40">
              <w:rPr>
                <w:szCs w:val="24"/>
              </w:rPr>
              <w:t>1254.41</w:t>
            </w:r>
          </w:p>
        </w:tc>
        <w:tc>
          <w:tcPr>
            <w:tcW w:w="1843" w:type="dxa"/>
          </w:tcPr>
          <w:p w:rsidR="003F305F" w:rsidRPr="00363B40" w:rsidRDefault="003F305F" w:rsidP="00367481">
            <w:pPr>
              <w:autoSpaceDE w:val="0"/>
              <w:autoSpaceDN w:val="0"/>
              <w:adjustRightInd w:val="0"/>
              <w:jc w:val="center"/>
              <w:rPr>
                <w:szCs w:val="24"/>
              </w:rPr>
            </w:pPr>
            <w:r w:rsidRPr="00363B40">
              <w:rPr>
                <w:szCs w:val="24"/>
              </w:rPr>
              <w:t>2.50</w:t>
            </w:r>
          </w:p>
        </w:tc>
      </w:tr>
    </w:tbl>
    <w:p w:rsidR="003F305F" w:rsidRPr="00363B40" w:rsidRDefault="003F305F" w:rsidP="00F96BD1">
      <w:pPr>
        <w:autoSpaceDE w:val="0"/>
        <w:autoSpaceDN w:val="0"/>
        <w:adjustRightInd w:val="0"/>
        <w:jc w:val="both"/>
      </w:pPr>
    </w:p>
    <w:p w:rsidR="003F305F" w:rsidRPr="00363B40" w:rsidRDefault="00AB30E9" w:rsidP="002A41F8">
      <w:pPr>
        <w:autoSpaceDE w:val="0"/>
        <w:autoSpaceDN w:val="0"/>
        <w:adjustRightInd w:val="0"/>
        <w:jc w:val="center"/>
      </w:pPr>
      <w:r>
        <w:pict w14:anchorId="4E22A044">
          <v:group id="_x0000_s1029" editas="canvas" style="width:403.5pt;height:179.8pt;mso-position-horizontal-relative:char;mso-position-vertical-relative:line" coordorigin="2025,2731" coordsize="8070,359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2025;top:2731;width:8070;height:3596" o:preferrelative="f">
              <v:fill o:detectmouseclick="t"/>
              <v:path o:extrusionok="t" o:connecttype="none"/>
              <o:lock v:ext="edit" text="t"/>
            </v:shape>
            <v:shape id="_x0000_s1031" type="#_x0000_t75" style="position:absolute;left:5940;top:2943;width:4155;height:3302">
              <v:imagedata r:id="rId11" o:title=""/>
            </v:shape>
            <v:shape id="_x0000_s1032" type="#_x0000_t75" style="position:absolute;left:2025;top:2943;width:4200;height:3240">
              <v:imagedata r:id="rId12" o:title=""/>
            </v:shape>
            <w10:anchorlock/>
          </v:group>
          <o:OLEObject Type="Embed" ProgID="Origin50.Graph" ShapeID="_x0000_s1031" DrawAspect="Content" ObjectID="_1689718613" r:id="rId13"/>
          <o:OLEObject Type="Embed" ProgID="Origin50.Graph" ShapeID="_x0000_s1032" DrawAspect="Content" ObjectID="_1689718614" r:id="rId14"/>
        </w:pict>
      </w:r>
    </w:p>
    <w:p w:rsidR="003F305F" w:rsidRPr="00363B40" w:rsidRDefault="002A41F8" w:rsidP="002A41F8">
      <w:pPr>
        <w:pStyle w:val="Caption"/>
        <w:jc w:val="center"/>
        <w:rPr>
          <w:b w:val="0"/>
          <w:sz w:val="24"/>
          <w:szCs w:val="24"/>
        </w:rPr>
      </w:pPr>
      <w:r w:rsidRPr="00363B40">
        <w:rPr>
          <w:sz w:val="24"/>
          <w:szCs w:val="24"/>
        </w:rPr>
        <w:t>Figure 1</w:t>
      </w:r>
      <w:r w:rsidRPr="00363B40">
        <w:rPr>
          <w:b w:val="0"/>
          <w:sz w:val="24"/>
          <w:szCs w:val="24"/>
        </w:rPr>
        <w:t>. Powder X-ray diffraction patterns of compounds Li</w:t>
      </w:r>
      <w:r w:rsidRPr="00363B40">
        <w:rPr>
          <w:b w:val="0"/>
          <w:sz w:val="24"/>
          <w:szCs w:val="24"/>
          <w:vertAlign w:val="subscript"/>
        </w:rPr>
        <w:t>1+x</w:t>
      </w:r>
      <w:r w:rsidRPr="00363B40">
        <w:rPr>
          <w:b w:val="0"/>
          <w:sz w:val="24"/>
          <w:szCs w:val="24"/>
        </w:rPr>
        <w:t>Ti</w:t>
      </w:r>
      <w:r w:rsidRPr="00363B40">
        <w:rPr>
          <w:b w:val="0"/>
          <w:sz w:val="24"/>
          <w:szCs w:val="24"/>
          <w:vertAlign w:val="subscript"/>
        </w:rPr>
        <w:t>2-x</w:t>
      </w:r>
      <w:r w:rsidRPr="00363B40">
        <w:rPr>
          <w:b w:val="0"/>
          <w:sz w:val="24"/>
          <w:szCs w:val="24"/>
        </w:rPr>
        <w:t>Al</w:t>
      </w:r>
      <w:r w:rsidRPr="00363B40">
        <w:rPr>
          <w:b w:val="0"/>
          <w:sz w:val="24"/>
          <w:szCs w:val="24"/>
          <w:vertAlign w:val="subscript"/>
        </w:rPr>
        <w:t>x</w:t>
      </w:r>
      <w:r w:rsidRPr="00363B40">
        <w:rPr>
          <w:b w:val="0"/>
          <w:sz w:val="24"/>
          <w:szCs w:val="24"/>
        </w:rPr>
        <w:t>(PO</w:t>
      </w:r>
      <w:r w:rsidRPr="00363B40">
        <w:rPr>
          <w:b w:val="0"/>
          <w:sz w:val="24"/>
          <w:szCs w:val="24"/>
          <w:vertAlign w:val="subscript"/>
        </w:rPr>
        <w:t>4</w:t>
      </w:r>
      <w:r w:rsidRPr="00363B40">
        <w:rPr>
          <w:b w:val="0"/>
          <w:sz w:val="24"/>
          <w:szCs w:val="24"/>
        </w:rPr>
        <w:t>)</w:t>
      </w:r>
      <w:r w:rsidRPr="00363B40">
        <w:rPr>
          <w:b w:val="0"/>
          <w:sz w:val="24"/>
          <w:szCs w:val="24"/>
          <w:vertAlign w:val="subscript"/>
        </w:rPr>
        <w:t>3</w:t>
      </w:r>
      <w:r w:rsidRPr="00363B40">
        <w:rPr>
          <w:b w:val="0"/>
          <w:sz w:val="24"/>
          <w:szCs w:val="24"/>
        </w:rPr>
        <w:t xml:space="preserve"> (a)  before sintering and (b) sintered pellet at 900</w:t>
      </w:r>
      <w:r w:rsidR="006B32B1">
        <w:rPr>
          <w:szCs w:val="24"/>
        </w:rPr>
        <w:t>°</w:t>
      </w:r>
      <w:r w:rsidRPr="00363B40">
        <w:rPr>
          <w:b w:val="0"/>
          <w:sz w:val="24"/>
          <w:szCs w:val="24"/>
        </w:rPr>
        <w:t>C for 8 h.</w:t>
      </w:r>
    </w:p>
    <w:p w:rsidR="00A82657" w:rsidRPr="00363B40" w:rsidRDefault="00A82657" w:rsidP="00F96BD1">
      <w:pPr>
        <w:autoSpaceDE w:val="0"/>
        <w:autoSpaceDN w:val="0"/>
        <w:adjustRightInd w:val="0"/>
        <w:ind w:firstLine="720"/>
        <w:jc w:val="both"/>
      </w:pPr>
    </w:p>
    <w:p w:rsidR="003F305F" w:rsidRPr="00363B40" w:rsidRDefault="003F305F" w:rsidP="00F96BD1">
      <w:pPr>
        <w:autoSpaceDE w:val="0"/>
        <w:autoSpaceDN w:val="0"/>
        <w:adjustRightInd w:val="0"/>
        <w:ind w:firstLine="720"/>
        <w:jc w:val="both"/>
        <w:rPr>
          <w:color w:val="000000" w:themeColor="text1"/>
          <w:szCs w:val="24"/>
        </w:rPr>
      </w:pPr>
      <w:r w:rsidRPr="00363B40">
        <w:t>Figure 2 shows the FESEM micrographs of the</w:t>
      </w:r>
      <w:r w:rsidR="001F3CB1" w:rsidRPr="00363B40">
        <w:t xml:space="preserve"> powder</w:t>
      </w:r>
      <w:r w:rsidR="005945B5">
        <w:t>ed</w:t>
      </w:r>
      <w:r w:rsidR="001F3CB1" w:rsidRPr="00363B40">
        <w:t xml:space="preserve"> sample</w:t>
      </w:r>
      <w:r w:rsidR="005945B5">
        <w:t>s that had undertaken calcination process</w:t>
      </w:r>
      <w:r w:rsidR="00AD768B" w:rsidRPr="00363B40">
        <w:t xml:space="preserve">. </w:t>
      </w:r>
      <w:r w:rsidR="005945B5">
        <w:t>In all cases, t</w:t>
      </w:r>
      <w:r w:rsidR="00AD768B" w:rsidRPr="00363B40">
        <w:t>he sample</w:t>
      </w:r>
      <w:r w:rsidR="006E383F" w:rsidRPr="00363B40">
        <w:t>s</w:t>
      </w:r>
      <w:r w:rsidRPr="00363B40">
        <w:t xml:space="preserve"> show a roundish particle sizes</w:t>
      </w:r>
      <w:r w:rsidR="00E51DA9" w:rsidRPr="00363B40">
        <w:t xml:space="preserve"> and agglomeration surface</w:t>
      </w:r>
      <w:r w:rsidR="005945B5">
        <w:t>s</w:t>
      </w:r>
      <w:r w:rsidRPr="00363B40">
        <w:rPr>
          <w:szCs w:val="24"/>
        </w:rPr>
        <w:t xml:space="preserve">. Generally for ceramic materials, it is recommended that the median particle size (d[50]) at 50% distribution passes in a range of 0.1 – 10 µm for effective surface area </w:t>
      </w:r>
      <w:r w:rsidR="00CD3E55" w:rsidRPr="00363B40">
        <w:rPr>
          <w:szCs w:val="24"/>
        </w:rPr>
        <w:fldChar w:fldCharType="begin" w:fldLock="1"/>
      </w:r>
      <w:r w:rsidR="00A25D46" w:rsidRPr="00363B40">
        <w:rPr>
          <w:szCs w:val="24"/>
        </w:rPr>
        <w:instrText>ADDIN CSL_CITATION { "citationItems" : [ { "id" : "ITEM-1", "itemData" : { "DOI" : "10.1039/c4dt02001d", "ISSN" : "1477-9234", "PMID" : "25189199", "abstract" : "All the known chromium(iii) NASICON-related phosphates are considered to be solid solutions. In these compounds chromium atoms share their position in the basic framework of the crystal lattice with other structure forming elements such as zirconium. In our study, we have hypothesised a completely new way of structural organisation of the chromium(iii) zirconium(iv) NASICON framework, consisting in the distribution of chromium over the charge-compensating atom sites with tetrahedral oxygen coordination. The possibility of formation of the corresponding phosphate, Cr1/3Zr2P3O12, was studied using a classical ceramic route and a sol-gel method. Structural affiliation of the obtained pure phase product was studied using XRD analysis. The results confirmed that the Cr1/3Zr2P3O12 phosphate belongs to monoclinic SW-subtype of the NASICON family. In this structure, chromium atoms occupy charge-compensating sites with a strongly distorted tetrahedral oxygen environment. To the best of our knowledge, it is the first example of tetrahedral coordination of chromium(iii) in phosphates. Along with the unusual crystallographic characteristics of chromium, special attention in this paper is devoted to the thermal stability of this phosphate and to its performance as an inorganic pigment. The sample was characterised by heating microscopy and DTA study, particle size distribution analysis, and IR- and VIS-spectroscopy. The stability of the obtained powder in a glaze environment, its colouring performance and lightfastness are discussed as well.", "author" : [ { "dropping-particle" : "", "family" : "Gorodylova", "given" : "Nataliia", "non-dropping-particle" : "", "parse-names" : false, "suffix" : "" }, { "dropping-particle" : "", "family" : "Kosinov\u00e1", "given" : "Veronika", "non-dropping-particle" : "", "parse-names" : false, "suffix" : "" }, { "dropping-particle" : "", "family" : "Sulcov\u00e1", "given" : "Petra", "non-dropping-particle" : "", "parse-names" : false, "suffix" : "" }, { "dropping-particle" : "", "family" : "B\u011blina", "given" : "Petr", "non-dropping-particle" : "", "parse-names" : false, "suffix" : "" }, { "dropping-particle" : "", "family" : "Vl\u010dek", "given" : "Milan", "non-dropping-particle" : "", "parse-names" : false, "suffix" : "" } ], "container-title" : "Dalton transactions (Cambridge, England : 2003)", "id" : "ITEM-1", "issue" : "41", "issued" : { "date-parts" : [ [ "2014" ] ] }, "page" : "15439-49", "title" : "Cr1/3Zr2P3O12 with unusual tetrahedral coordination of Cr(iii): peculiarities of the formation, thermal stability and application as a pigment.", "type" : "article-journal", "volume" : "43" }, "uris" : [ "http://www.mendeley.com/documents/?uuid=a77f759d-1f1d-49d5-b856-adb729c8d5aa" ] } ], "mendeley" : { "formattedCitation" : "[17]", "plainTextFormattedCitation" : "[17]", "previouslyFormattedCitation" : "[17]" }, "properties" : { "noteIndex" : 0 }, "schema" : "https://github.com/citation-style-language/schema/raw/master/csl-citation.json" }</w:instrText>
      </w:r>
      <w:r w:rsidR="00CD3E55" w:rsidRPr="00363B40">
        <w:rPr>
          <w:szCs w:val="24"/>
        </w:rPr>
        <w:fldChar w:fldCharType="separate"/>
      </w:r>
      <w:r w:rsidR="00B850E6" w:rsidRPr="00B850E6">
        <w:rPr>
          <w:noProof/>
          <w:szCs w:val="24"/>
        </w:rPr>
        <w:t>[17]</w:t>
      </w:r>
      <w:r w:rsidR="00CD3E55" w:rsidRPr="00363B40">
        <w:rPr>
          <w:szCs w:val="24"/>
        </w:rPr>
        <w:fldChar w:fldCharType="end"/>
      </w:r>
      <w:r w:rsidRPr="00363B40">
        <w:rPr>
          <w:szCs w:val="24"/>
        </w:rPr>
        <w:t>. Figure</w:t>
      </w:r>
      <w:r w:rsidR="001F3CB1" w:rsidRPr="00363B40">
        <w:rPr>
          <w:szCs w:val="24"/>
        </w:rPr>
        <w:t xml:space="preserve"> 3</w:t>
      </w:r>
      <w:r w:rsidRPr="00363B40">
        <w:rPr>
          <w:szCs w:val="24"/>
        </w:rPr>
        <w:t xml:space="preserve"> </w:t>
      </w:r>
      <w:r w:rsidR="005945B5">
        <w:rPr>
          <w:szCs w:val="24"/>
        </w:rPr>
        <w:t>indicates</w:t>
      </w:r>
      <w:r w:rsidRPr="00363B40">
        <w:rPr>
          <w:szCs w:val="24"/>
        </w:rPr>
        <w:t xml:space="preserve"> the particle size distribution of </w:t>
      </w:r>
      <w:r w:rsidR="005945B5">
        <w:rPr>
          <w:szCs w:val="24"/>
        </w:rPr>
        <w:t>these samples</w:t>
      </w:r>
      <w:r w:rsidRPr="00363B40">
        <w:rPr>
          <w:szCs w:val="24"/>
        </w:rPr>
        <w:t xml:space="preserve">. The volume distribution of particles according to </w:t>
      </w:r>
      <w:r w:rsidRPr="00363B40">
        <w:rPr>
          <w:szCs w:val="24"/>
        </w:rPr>
        <w:lastRenderedPageBreak/>
        <w:t>their size is presented as a histogram on the logarithmical scale in Figure 3. The observed distribution is non-symmetrical with an average mode ranging from 1.4 – 14 µm for all samples. The specified volume basis for median value distribution (d[50]</w:t>
      </w:r>
      <w:r w:rsidR="001B13B2" w:rsidRPr="00363B40">
        <w:rPr>
          <w:szCs w:val="24"/>
        </w:rPr>
        <w:t>)</w:t>
      </w:r>
      <w:r w:rsidRPr="00363B40">
        <w:rPr>
          <w:szCs w:val="24"/>
        </w:rPr>
        <w:t xml:space="preserve"> for LT</w:t>
      </w:r>
      <w:r w:rsidR="001F3CB1" w:rsidRPr="00363B40">
        <w:rPr>
          <w:szCs w:val="24"/>
        </w:rPr>
        <w:t>P-0.0, LTAP-0.2</w:t>
      </w:r>
      <w:r w:rsidR="001B13B2" w:rsidRPr="00363B40">
        <w:rPr>
          <w:szCs w:val="24"/>
        </w:rPr>
        <w:t xml:space="preserve"> and LTAP-1.0</w:t>
      </w:r>
      <w:r w:rsidRPr="00363B40">
        <w:rPr>
          <w:szCs w:val="24"/>
        </w:rPr>
        <w:t xml:space="preserve"> are  4.074 µm, 5.243 µm and 3.164 µm respectively. The volume media for particle size distribution seem</w:t>
      </w:r>
      <w:r w:rsidR="008038A2">
        <w:rPr>
          <w:szCs w:val="24"/>
        </w:rPr>
        <w:t>s</w:t>
      </w:r>
      <w:r w:rsidRPr="00363B40">
        <w:rPr>
          <w:szCs w:val="24"/>
        </w:rPr>
        <w:t xml:space="preserve"> to be increasing with </w:t>
      </w:r>
      <w:r w:rsidR="008038A2">
        <w:rPr>
          <w:szCs w:val="24"/>
        </w:rPr>
        <w:t xml:space="preserve">the </w:t>
      </w:r>
      <w:r w:rsidRPr="00363B40">
        <w:rPr>
          <w:szCs w:val="24"/>
        </w:rPr>
        <w:t>increase</w:t>
      </w:r>
      <w:r w:rsidR="008038A2">
        <w:rPr>
          <w:szCs w:val="24"/>
        </w:rPr>
        <w:t>d</w:t>
      </w:r>
      <w:r w:rsidRPr="00363B40">
        <w:rPr>
          <w:szCs w:val="24"/>
        </w:rPr>
        <w:t xml:space="preserve"> </w:t>
      </w:r>
      <w:r w:rsidR="008038A2">
        <w:rPr>
          <w:szCs w:val="24"/>
        </w:rPr>
        <w:t>of</w:t>
      </w:r>
      <w:r w:rsidRPr="00363B40">
        <w:rPr>
          <w:szCs w:val="24"/>
        </w:rPr>
        <w:t xml:space="preserve"> aluminium content</w:t>
      </w:r>
      <w:r w:rsidR="008038A2">
        <w:rPr>
          <w:szCs w:val="24"/>
        </w:rPr>
        <w:t xml:space="preserve"> however decreased</w:t>
      </w:r>
      <w:r w:rsidRPr="00363B40">
        <w:rPr>
          <w:szCs w:val="24"/>
        </w:rPr>
        <w:t xml:space="preserve"> for LTAP 1.0</w:t>
      </w:r>
      <w:r w:rsidR="008038A2">
        <w:rPr>
          <w:szCs w:val="24"/>
        </w:rPr>
        <w:t xml:space="preserve"> sample</w:t>
      </w:r>
      <w:r w:rsidRPr="00363B40">
        <w:rPr>
          <w:szCs w:val="24"/>
        </w:rPr>
        <w:t>. This could be due to</w:t>
      </w:r>
      <w:r w:rsidR="008038A2">
        <w:rPr>
          <w:szCs w:val="24"/>
        </w:rPr>
        <w:t xml:space="preserve"> the</w:t>
      </w:r>
      <w:r w:rsidRPr="00363B40">
        <w:rPr>
          <w:szCs w:val="24"/>
        </w:rPr>
        <w:t xml:space="preserve"> particles </w:t>
      </w:r>
      <w:r w:rsidR="001B13B2" w:rsidRPr="00363B40">
        <w:rPr>
          <w:szCs w:val="24"/>
        </w:rPr>
        <w:t>in</w:t>
      </w:r>
      <w:r w:rsidRPr="00363B40">
        <w:rPr>
          <w:szCs w:val="24"/>
        </w:rPr>
        <w:t>homogeneity during synthesis</w:t>
      </w:r>
      <w:r w:rsidR="008038A2">
        <w:rPr>
          <w:szCs w:val="24"/>
        </w:rPr>
        <w:t xml:space="preserve"> and/or crystalisation leads to the reduction of particle size value</w:t>
      </w:r>
      <w:r w:rsidRPr="00363B40">
        <w:rPr>
          <w:szCs w:val="24"/>
        </w:rPr>
        <w:t>.</w:t>
      </w:r>
      <w:r w:rsidRPr="00363B40">
        <w:rPr>
          <w:color w:val="FF0000"/>
          <w:szCs w:val="24"/>
        </w:rPr>
        <w:t xml:space="preserve"> </w:t>
      </w:r>
      <w:r w:rsidRPr="00363B40">
        <w:rPr>
          <w:color w:val="000000" w:themeColor="text1"/>
          <w:szCs w:val="24"/>
        </w:rPr>
        <w:t>The distribution width was calc</w:t>
      </w:r>
      <w:r w:rsidR="001B13B2" w:rsidRPr="00363B40">
        <w:rPr>
          <w:color w:val="000000" w:themeColor="text1"/>
          <w:szCs w:val="24"/>
        </w:rPr>
        <w:t>ulated according to the formula</w:t>
      </w:r>
      <w:r w:rsidRPr="00363B40">
        <w:rPr>
          <w:color w:val="000000" w:themeColor="text1"/>
          <w:szCs w:val="24"/>
        </w:rPr>
        <w:t xml:space="preserve"> Span = (d[90] − d[10]) × d[50]</w:t>
      </w:r>
      <w:r w:rsidRPr="00363B40">
        <w:rPr>
          <w:color w:val="000000" w:themeColor="text1"/>
          <w:szCs w:val="24"/>
          <w:vertAlign w:val="superscript"/>
        </w:rPr>
        <w:t>−1</w:t>
      </w:r>
      <w:r w:rsidRPr="00363B40">
        <w:rPr>
          <w:color w:val="000000" w:themeColor="text1"/>
          <w:szCs w:val="24"/>
        </w:rPr>
        <w:t xml:space="preserve"> and yield the following values 4.129 µm, 3.918 µm</w:t>
      </w:r>
      <w:r w:rsidR="001F3CB1" w:rsidRPr="00363B40">
        <w:rPr>
          <w:color w:val="000000" w:themeColor="text1"/>
          <w:szCs w:val="24"/>
        </w:rPr>
        <w:t xml:space="preserve"> </w:t>
      </w:r>
      <w:r w:rsidRPr="00363B40">
        <w:rPr>
          <w:color w:val="000000" w:themeColor="text1"/>
          <w:szCs w:val="24"/>
        </w:rPr>
        <w:t>and 5.079 µm for LTP 0.0, LTAP 0.2 and LTAP 1.0 respectively. The observed average mean diameter for particle size distribution for LTP 0.0, LTAP 0.2 and LTAP 1.0 are 6.91 µm, 8.49 µm</w:t>
      </w:r>
      <w:r w:rsidR="001F3CB1" w:rsidRPr="00363B40">
        <w:rPr>
          <w:color w:val="000000" w:themeColor="text1"/>
          <w:szCs w:val="24"/>
        </w:rPr>
        <w:t xml:space="preserve"> </w:t>
      </w:r>
      <w:r w:rsidRPr="00363B40">
        <w:rPr>
          <w:color w:val="000000" w:themeColor="text1"/>
          <w:szCs w:val="24"/>
        </w:rPr>
        <w:t>and 6.32 µm. The average mean particle size distribution also increase</w:t>
      </w:r>
      <w:r w:rsidR="008038A2">
        <w:rPr>
          <w:color w:val="000000" w:themeColor="text1"/>
          <w:szCs w:val="24"/>
        </w:rPr>
        <w:t>d</w:t>
      </w:r>
      <w:r w:rsidRPr="00363B40">
        <w:rPr>
          <w:color w:val="000000" w:themeColor="text1"/>
          <w:szCs w:val="24"/>
        </w:rPr>
        <w:t xml:space="preserve"> with</w:t>
      </w:r>
      <w:r w:rsidR="008038A2">
        <w:rPr>
          <w:color w:val="000000" w:themeColor="text1"/>
          <w:szCs w:val="24"/>
        </w:rPr>
        <w:t xml:space="preserve"> the</w:t>
      </w:r>
      <w:r w:rsidRPr="00363B40">
        <w:rPr>
          <w:color w:val="000000" w:themeColor="text1"/>
          <w:szCs w:val="24"/>
        </w:rPr>
        <w:t xml:space="preserve"> increas</w:t>
      </w:r>
      <w:r w:rsidR="008038A2">
        <w:rPr>
          <w:color w:val="000000" w:themeColor="text1"/>
          <w:szCs w:val="24"/>
        </w:rPr>
        <w:t>ing</w:t>
      </w:r>
      <w:r w:rsidRPr="00363B40">
        <w:rPr>
          <w:color w:val="000000" w:themeColor="text1"/>
          <w:szCs w:val="24"/>
        </w:rPr>
        <w:t xml:space="preserve"> </w:t>
      </w:r>
      <w:r w:rsidR="008038A2">
        <w:rPr>
          <w:color w:val="000000" w:themeColor="text1"/>
          <w:szCs w:val="24"/>
        </w:rPr>
        <w:t>of</w:t>
      </w:r>
      <w:r w:rsidRPr="00363B40">
        <w:rPr>
          <w:color w:val="000000" w:themeColor="text1"/>
          <w:szCs w:val="24"/>
        </w:rPr>
        <w:t xml:space="preserve"> aluminium content but decreas</w:t>
      </w:r>
      <w:r w:rsidR="008038A2">
        <w:rPr>
          <w:color w:val="000000" w:themeColor="text1"/>
          <w:szCs w:val="24"/>
        </w:rPr>
        <w:t>ing</w:t>
      </w:r>
      <w:r w:rsidRPr="00363B40">
        <w:rPr>
          <w:color w:val="000000" w:themeColor="text1"/>
          <w:szCs w:val="24"/>
        </w:rPr>
        <w:t xml:space="preserve"> at LTAP 1.0. </w:t>
      </w:r>
      <w:r w:rsidR="008038A2">
        <w:rPr>
          <w:color w:val="000000" w:themeColor="text1"/>
          <w:szCs w:val="24"/>
        </w:rPr>
        <w:t>Alt</w:t>
      </w:r>
      <w:r w:rsidRPr="00363B40">
        <w:rPr>
          <w:color w:val="000000" w:themeColor="text1"/>
          <w:szCs w:val="24"/>
        </w:rPr>
        <w:t xml:space="preserve">hough, </w:t>
      </w:r>
      <w:r w:rsidR="008038A2">
        <w:rPr>
          <w:color w:val="000000" w:themeColor="text1"/>
          <w:szCs w:val="24"/>
        </w:rPr>
        <w:t>similar</w:t>
      </w:r>
      <w:r w:rsidRPr="00363B40">
        <w:rPr>
          <w:color w:val="000000" w:themeColor="text1"/>
          <w:szCs w:val="24"/>
        </w:rPr>
        <w:t xml:space="preserve"> reason could be address to the average mean distribution trend</w:t>
      </w:r>
      <w:r w:rsidR="008038A2">
        <w:rPr>
          <w:color w:val="000000" w:themeColor="text1"/>
          <w:szCs w:val="24"/>
        </w:rPr>
        <w:t>s</w:t>
      </w:r>
      <w:r w:rsidRPr="00363B40">
        <w:rPr>
          <w:color w:val="000000" w:themeColor="text1"/>
          <w:szCs w:val="24"/>
        </w:rPr>
        <w:t xml:space="preserve">. </w:t>
      </w:r>
    </w:p>
    <w:p w:rsidR="003F305F" w:rsidRPr="00363B40" w:rsidRDefault="003F305F" w:rsidP="00F96BD1">
      <w:pPr>
        <w:autoSpaceDE w:val="0"/>
        <w:autoSpaceDN w:val="0"/>
        <w:adjustRightInd w:val="0"/>
        <w:ind w:firstLine="720"/>
        <w:jc w:val="both"/>
        <w:rPr>
          <w:szCs w:val="24"/>
        </w:rPr>
      </w:pPr>
      <w:r w:rsidRPr="00363B40">
        <w:rPr>
          <w:szCs w:val="24"/>
        </w:rPr>
        <w:t>Figure 4 shows bulk density and conductivity curve of the LTP-0.0, LTAP-0.2 and LTAP-1.0 pellets sintered at 900</w:t>
      </w:r>
      <w:r w:rsidR="006B32B1">
        <w:rPr>
          <w:szCs w:val="24"/>
        </w:rPr>
        <w:t>°</w:t>
      </w:r>
      <w:r w:rsidRPr="00363B40">
        <w:rPr>
          <w:szCs w:val="24"/>
        </w:rPr>
        <w:t xml:space="preserve">C for 8 h. The bulk density and the conductivity of the sintered pellets increased </w:t>
      </w:r>
      <w:r w:rsidR="001F3CB1" w:rsidRPr="00363B40">
        <w:rPr>
          <w:szCs w:val="24"/>
        </w:rPr>
        <w:t>f</w:t>
      </w:r>
      <w:r w:rsidR="001E7329" w:rsidRPr="00363B40">
        <w:rPr>
          <w:szCs w:val="24"/>
        </w:rPr>
        <w:t>o</w:t>
      </w:r>
      <w:r w:rsidR="001F3CB1" w:rsidRPr="00363B40">
        <w:rPr>
          <w:szCs w:val="24"/>
        </w:rPr>
        <w:t>r</w:t>
      </w:r>
      <w:r w:rsidRPr="00363B40">
        <w:rPr>
          <w:szCs w:val="24"/>
        </w:rPr>
        <w:t xml:space="preserve"> </w:t>
      </w:r>
      <w:r w:rsidR="001F3CB1" w:rsidRPr="00363B40">
        <w:rPr>
          <w:szCs w:val="24"/>
        </w:rPr>
        <w:t>LTAP-0.2</w:t>
      </w:r>
      <w:r w:rsidR="008038A2">
        <w:rPr>
          <w:szCs w:val="24"/>
        </w:rPr>
        <w:t>,</w:t>
      </w:r>
      <w:r w:rsidR="001E7329" w:rsidRPr="00363B40">
        <w:rPr>
          <w:szCs w:val="24"/>
        </w:rPr>
        <w:t xml:space="preserve"> </w:t>
      </w:r>
      <w:r w:rsidR="008038A2">
        <w:t>f</w:t>
      </w:r>
      <w:r w:rsidR="001E7329" w:rsidRPr="00363B40">
        <w:t>urther increas</w:t>
      </w:r>
      <w:r w:rsidR="008038A2">
        <w:t>ing</w:t>
      </w:r>
      <w:r w:rsidR="001E7329" w:rsidRPr="00363B40">
        <w:t xml:space="preserve"> </w:t>
      </w:r>
      <w:r w:rsidR="008038A2">
        <w:t xml:space="preserve">the </w:t>
      </w:r>
      <w:r w:rsidR="001E7329" w:rsidRPr="00363B40">
        <w:t>A</w:t>
      </w:r>
      <w:r w:rsidR="001F3CB1" w:rsidRPr="00363B40">
        <w:t>l content decrease</w:t>
      </w:r>
      <w:r w:rsidR="008D1BE8">
        <w:t>d</w:t>
      </w:r>
      <w:r w:rsidR="001F3CB1" w:rsidRPr="00363B40">
        <w:t xml:space="preserve"> the density</w:t>
      </w:r>
      <w:r w:rsidR="001E7329" w:rsidRPr="00363B40">
        <w:t xml:space="preserve"> </w:t>
      </w:r>
      <w:r w:rsidR="008D1BE8">
        <w:t>of</w:t>
      </w:r>
      <w:r w:rsidR="008D1BE8" w:rsidRPr="00363B40">
        <w:t xml:space="preserve"> </w:t>
      </w:r>
      <w:r w:rsidR="001F3CB1" w:rsidRPr="00363B40">
        <w:t>LTAP-</w:t>
      </w:r>
      <w:r w:rsidR="001E7329" w:rsidRPr="00363B40">
        <w:t>1.0</w:t>
      </w:r>
      <w:r w:rsidR="008D1BE8">
        <w:t xml:space="preserve"> sample</w:t>
      </w:r>
      <w:r w:rsidR="001E7329" w:rsidRPr="00363B40">
        <w:t>. This decreas</w:t>
      </w:r>
      <w:r w:rsidR="008D1BE8">
        <w:t>ing phenomenon</w:t>
      </w:r>
      <w:r w:rsidR="005F2B30" w:rsidRPr="00363B40">
        <w:t xml:space="preserve"> </w:t>
      </w:r>
      <w:r w:rsidR="008D1BE8">
        <w:t>is</w:t>
      </w:r>
      <w:r w:rsidR="001E7329" w:rsidRPr="00363B40">
        <w:t xml:space="preserve"> due to </w:t>
      </w:r>
      <w:r w:rsidR="008D1BE8">
        <w:t xml:space="preserve">the </w:t>
      </w:r>
      <w:r w:rsidR="001E7329" w:rsidRPr="00363B40">
        <w:t>impurity phases (AlPO</w:t>
      </w:r>
      <w:r w:rsidR="001E7329" w:rsidRPr="00363B40">
        <w:rPr>
          <w:vertAlign w:val="subscript"/>
        </w:rPr>
        <w:t>4</w:t>
      </w:r>
      <w:r w:rsidR="001E7329" w:rsidRPr="00363B40">
        <w:t xml:space="preserve"> and LiTiPO</w:t>
      </w:r>
      <w:r w:rsidR="001E7329" w:rsidRPr="00363B40">
        <w:rPr>
          <w:vertAlign w:val="subscript"/>
        </w:rPr>
        <w:t>5</w:t>
      </w:r>
      <w:r w:rsidR="001E7329" w:rsidRPr="00363B40">
        <w:t xml:space="preserve">) </w:t>
      </w:r>
      <w:r w:rsidR="00A421FD">
        <w:t>tha</w:t>
      </w:r>
      <w:r w:rsidR="008D1BE8">
        <w:t>t</w:t>
      </w:r>
      <w:r w:rsidR="00A421FD">
        <w:t xml:space="preserve"> was</w:t>
      </w:r>
      <w:r w:rsidR="008D1BE8">
        <w:t xml:space="preserve"> </w:t>
      </w:r>
      <w:r w:rsidR="001E7329" w:rsidRPr="00363B40">
        <w:t xml:space="preserve">detected </w:t>
      </w:r>
      <w:r w:rsidR="008D1BE8">
        <w:t>in</w:t>
      </w:r>
      <w:r w:rsidR="008D1BE8" w:rsidRPr="00363B40">
        <w:t xml:space="preserve"> </w:t>
      </w:r>
      <w:r w:rsidR="001E7329" w:rsidRPr="00363B40">
        <w:t>XRD result</w:t>
      </w:r>
      <w:r w:rsidR="008D1BE8">
        <w:t xml:space="preserve"> (see Figure 1b)</w:t>
      </w:r>
      <w:r w:rsidR="001E7329" w:rsidRPr="00363B40">
        <w:t>.</w:t>
      </w:r>
      <w:r w:rsidRPr="00363B40">
        <w:rPr>
          <w:szCs w:val="24"/>
        </w:rPr>
        <w:t xml:space="preserve"> A maximum density and conductivity of 2.83 kgcm</w:t>
      </w:r>
      <w:r w:rsidRPr="00363B40">
        <w:rPr>
          <w:szCs w:val="24"/>
          <w:vertAlign w:val="superscript"/>
        </w:rPr>
        <w:t>-3</w:t>
      </w:r>
      <w:r w:rsidRPr="00363B40">
        <w:rPr>
          <w:szCs w:val="24"/>
        </w:rPr>
        <w:t xml:space="preserve"> and ~10</w:t>
      </w:r>
      <w:r w:rsidRPr="00363B40">
        <w:rPr>
          <w:szCs w:val="24"/>
          <w:vertAlign w:val="superscript"/>
        </w:rPr>
        <w:t>-4</w:t>
      </w:r>
      <w:r w:rsidRPr="00363B40">
        <w:rPr>
          <w:szCs w:val="24"/>
        </w:rPr>
        <w:t xml:space="preserve"> Scm</w:t>
      </w:r>
      <w:r w:rsidRPr="00363B40">
        <w:rPr>
          <w:szCs w:val="24"/>
          <w:vertAlign w:val="superscript"/>
        </w:rPr>
        <w:t>-1</w:t>
      </w:r>
      <w:r w:rsidRPr="00363B40">
        <w:rPr>
          <w:szCs w:val="24"/>
        </w:rPr>
        <w:t xml:space="preserve"> were obtained for</w:t>
      </w:r>
      <w:r w:rsidR="008D1BE8">
        <w:rPr>
          <w:szCs w:val="24"/>
        </w:rPr>
        <w:t xml:space="preserve"> LTAP-0.2 sample</w:t>
      </w:r>
      <w:r w:rsidRPr="00363B40">
        <w:rPr>
          <w:szCs w:val="24"/>
        </w:rPr>
        <w:t xml:space="preserve">. </w:t>
      </w:r>
    </w:p>
    <w:p w:rsidR="005F2B30" w:rsidRPr="00363B40" w:rsidRDefault="005F2B30" w:rsidP="00F96BD1">
      <w:pPr>
        <w:autoSpaceDE w:val="0"/>
        <w:autoSpaceDN w:val="0"/>
        <w:adjustRightInd w:val="0"/>
        <w:ind w:firstLine="720"/>
        <w:jc w:val="both"/>
        <w:rPr>
          <w:szCs w:val="24"/>
        </w:rPr>
      </w:pPr>
    </w:p>
    <w:p w:rsidR="005F2B30" w:rsidRPr="00363B40" w:rsidRDefault="00F8152F" w:rsidP="00F96BD1">
      <w:pPr>
        <w:autoSpaceDE w:val="0"/>
        <w:autoSpaceDN w:val="0"/>
        <w:adjustRightInd w:val="0"/>
        <w:ind w:firstLine="720"/>
        <w:jc w:val="both"/>
        <w:rPr>
          <w:szCs w:val="24"/>
        </w:rPr>
      </w:pPr>
      <w:r>
        <w:rPr>
          <w:noProof/>
          <w:lang w:val="en-MY" w:eastAsia="en-MY"/>
        </w:rPr>
        <mc:AlternateContent>
          <mc:Choice Requires="wps">
            <w:drawing>
              <wp:anchor distT="0" distB="0" distL="114300" distR="114300" simplePos="0" relativeHeight="251681792" behindDoc="0" locked="0" layoutInCell="1" allowOverlap="1" wp14:anchorId="314EB540">
                <wp:simplePos x="0" y="0"/>
                <wp:positionH relativeFrom="column">
                  <wp:posOffset>427990</wp:posOffset>
                </wp:positionH>
                <wp:positionV relativeFrom="paragraph">
                  <wp:posOffset>99695</wp:posOffset>
                </wp:positionV>
                <wp:extent cx="424180" cy="305435"/>
                <wp:effectExtent l="0" t="0" r="0" b="0"/>
                <wp:wrapNone/>
                <wp:docPr id="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A9D" w:rsidRPr="00E22DE3" w:rsidRDefault="00336A9D">
                            <w:pPr>
                              <w:rPr>
                                <w:color w:val="FFFFFF" w:themeColor="background1"/>
                                <w:szCs w:val="24"/>
                                <w:lang w:val="en-MY"/>
                              </w:rPr>
                            </w:pPr>
                            <w:r w:rsidRPr="00E22DE3">
                              <w:rPr>
                                <w:color w:val="FFFFFF" w:themeColor="background1"/>
                                <w:szCs w:val="24"/>
                                <w:lang w:val="en-MY"/>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EB540" id="_x0000_t202" coordsize="21600,21600" o:spt="202" path="m,l,21600r21600,l21600,xe">
                <v:stroke joinstyle="miter"/>
                <v:path gradientshapeok="t" o:connecttype="rect"/>
              </v:shapetype>
              <v:shape id="Text Box 49" o:spid="_x0000_s1026" type="#_x0000_t202" style="position:absolute;left:0;text-align:left;margin-left:33.7pt;margin-top:7.85pt;width:33.4pt;height:2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VX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jATtoUUPbG/QrdwjktryjIPOwOt+AD+zh3Nos6OqhztZfdVIyGVLxYbdKCXHltEa0gvtTf/s&#10;6oSjLch6/CBriEO3RjqgfaN6WzuoBgJ0aNPjqTU2lwoOSUTCBCwVmC6DmFzGLgLNjpcHpc07Jntk&#10;FzlW0HkHTnd32thkaHZ0sbGELHnXue534tkBOE4nEBquWptNwjXzRxqkq2SVEI9Es5VHgqLwbsol&#10;8WZlOI+Ly2K5LMKfNm5IspbXNRM2zFFYIfmzxh0kPkniJC0tO15bOJuSVpv1slNoR0HYpfsOBTlz&#10;85+n4YoAXF5QCiMS3EapV86SuUdKEnvpPEi8IExv01lAUlKUzyndccH+nRIac5zGUTxp6bfcAve9&#10;5kaznhsYHR3vc5ycnGhmFbgStWutobyb1melsOk/lQLafWy006uV6CRWs1/v3ctwUrNaXsv6EQSs&#10;JAgMtAhjDxatVN8xGmGE5Fh/21LFMOreC3gEaUiInTluQ+J5BBt1blmfW6ioACrHBqNpuTTTnNoO&#10;im9aiDQ9OyFv4OE03In6KavDc4Mx4bgdRpqdQ+d75/U0eBe/AAAA//8DAFBLAwQUAAYACAAAACEA&#10;f8FHWNwAAAAIAQAADwAAAGRycy9kb3ducmV2LnhtbEyPTU/DMAyG70j7D5GRuLGErfvqmk4IxBW0&#10;AZN2yxqvrdY4VZOt5d/jneBoP69eP842g2vEFbtQe9LwNFYgkApvayo1fH2+PS5BhGjImsYTavjB&#10;AJt8dJeZ1PqetnjdxVJwCYXUaKhibFMpQ1GhM2HsWyRmJ985E3nsSmk703O5a+REqbl0pia+UJkW&#10;XyoszruL0/D9fjrsE/VRvrpZ2/tBSXIrqfXD/fC8BhFxiH9huOmzOuTsdPQXskE0GuaLhJO8ny1A&#10;3Pg0mYA4MpguQeaZ/P9A/gsAAP//AwBQSwECLQAUAAYACAAAACEAtoM4kv4AAADhAQAAEwAAAAAA&#10;AAAAAAAAAAAAAAAAW0NvbnRlbnRfVHlwZXNdLnhtbFBLAQItABQABgAIAAAAIQA4/SH/1gAAAJQB&#10;AAALAAAAAAAAAAAAAAAAAC8BAABfcmVscy8ucmVsc1BLAQItABQABgAIAAAAIQCrBzVXtwIAAMAF&#10;AAAOAAAAAAAAAAAAAAAAAC4CAABkcnMvZTJvRG9jLnhtbFBLAQItABQABgAIAAAAIQB/wUdY3AAA&#10;AAgBAAAPAAAAAAAAAAAAAAAAABEFAABkcnMvZG93bnJldi54bWxQSwUGAAAAAAQABADzAAAAGgYA&#10;AAAA&#10;" filled="f" stroked="f">
                <v:textbox>
                  <w:txbxContent>
                    <w:p w:rsidR="00336A9D" w:rsidRPr="00E22DE3" w:rsidRDefault="00336A9D">
                      <w:pPr>
                        <w:rPr>
                          <w:color w:val="FFFFFF" w:themeColor="background1"/>
                          <w:szCs w:val="24"/>
                          <w:lang w:val="en-MY"/>
                        </w:rPr>
                      </w:pPr>
                      <w:r w:rsidRPr="00E22DE3">
                        <w:rPr>
                          <w:color w:val="FFFFFF" w:themeColor="background1"/>
                          <w:szCs w:val="24"/>
                          <w:lang w:val="en-MY"/>
                        </w:rPr>
                        <w:t>(c)</w:t>
                      </w:r>
                    </w:p>
                  </w:txbxContent>
                </v:textbox>
              </v:shape>
            </w:pict>
          </mc:Fallback>
        </mc:AlternateContent>
      </w:r>
      <w:r>
        <w:rPr>
          <w:noProof/>
          <w:lang w:val="en-MY" w:eastAsia="en-MY"/>
        </w:rPr>
        <mc:AlternateContent>
          <mc:Choice Requires="wps">
            <w:drawing>
              <wp:anchor distT="0" distB="0" distL="114300" distR="114300" simplePos="0" relativeHeight="251682816" behindDoc="0" locked="0" layoutInCell="1" allowOverlap="1" wp14:anchorId="24D09464">
                <wp:simplePos x="0" y="0"/>
                <wp:positionH relativeFrom="column">
                  <wp:posOffset>-1870075</wp:posOffset>
                </wp:positionH>
                <wp:positionV relativeFrom="paragraph">
                  <wp:posOffset>99695</wp:posOffset>
                </wp:positionV>
                <wp:extent cx="400685" cy="292735"/>
                <wp:effectExtent l="0" t="0" r="2540" b="3175"/>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A9D" w:rsidRPr="00E22DE3" w:rsidRDefault="00336A9D">
                            <w:pPr>
                              <w:rPr>
                                <w:color w:val="FFFFFF" w:themeColor="background1"/>
                                <w:szCs w:val="24"/>
                                <w:lang w:val="en-MY"/>
                              </w:rPr>
                            </w:pPr>
                            <w:r w:rsidRPr="00E22DE3">
                              <w:rPr>
                                <w:color w:val="FFFFFF" w:themeColor="background1"/>
                                <w:szCs w:val="24"/>
                                <w:lang w:val="en-MY"/>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09464" id="Text Box 50" o:spid="_x0000_s1027" type="#_x0000_t202" style="position:absolute;left:0;text-align:left;margin-left:-147.25pt;margin-top:7.85pt;width:31.55pt;height:2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n7fuAIAAMA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ZRoL2QNED2xt0K/codu0ZB52B1/0AfmYP50CzK1UPd7L6qpGQy5aKDbtRSo4tozWkF9rG+mdX&#10;LSE60xZkPX6QNcShWyMd0L5Rve0ddAMBOtD0eKLG5lLBIQGukxijCkxRGs0vYxeBZsfLg9LmHZM9&#10;soscK2DegdPdnTY2GZodXWwsIUvedY79Tjw7AMfpBELDVWuzSTgyf6RBukpWCfFINFt5JCgK76Zc&#10;Em9WhvO4uCyWyyL8aeOGJGt5XTNhwxyFFZI/I+4g8UkSJ2lp2fHawtmUtNqsl51COwrCLt13aMiZ&#10;m/88DdcEqOVFSWFEgtso9cpZMvdISWIvnQeJF4TpbToLSEqK8nlJd1ywfy8JjTlO4yietPTb2gL3&#10;va6NZj03MDo63uc4OTnRzCpwJWpHraG8m9ZnrbDpP7UC6D4S7fRqJTqJ1ezX+8PLADAr37WsH0HA&#10;SoLAQKUw9mDRSvUdoxFGSI71ty1VDKPuvYBHkIaE2JnjNiSeR7BR55b1uYWKCqBybDCalkszzant&#10;oPimhUjTsxPyBh5Ow52on7I6PDcYE662w0izc+h877yeBu/iFwAAAP//AwBQSwMEFAAGAAgAAAAh&#10;AGAx9g7fAAAACwEAAA8AAABkcnMvZG93bnJldi54bWxMj0FPg0AQhe8m/ofNmHijuyDUFlkao/Gq&#10;abVNvG1hCkR2lrDbgv/e8aTHyfvy3jfFZra9uODoO0ca4oUCgVS5uqNGw8f7S7QC4YOh2vSOUMM3&#10;etiU11eFyWs30RYvu9AILiGfGw1tCEMupa9atMYv3IDE2cmN1gQ+x0bWo5m43PYyUWopremIF1oz&#10;4FOL1dfubDXsX0+fh1S9Nc82GyY3K0l2LbW+vZkfH0AEnMMfDL/6rA4lOx3dmWoveg1Rsk4zZjnJ&#10;7kEwESV3cQriqGEZr0CWhfz/Q/kDAAD//wMAUEsBAi0AFAAGAAgAAAAhALaDOJL+AAAA4QEAABMA&#10;AAAAAAAAAAAAAAAAAAAAAFtDb250ZW50X1R5cGVzXS54bWxQSwECLQAUAAYACAAAACEAOP0h/9YA&#10;AACUAQAACwAAAAAAAAAAAAAAAAAvAQAAX3JlbHMvLnJlbHNQSwECLQAUAAYACAAAACEAtkp+37gC&#10;AADABQAADgAAAAAAAAAAAAAAAAAuAgAAZHJzL2Uyb0RvYy54bWxQSwECLQAUAAYACAAAACEAYDH2&#10;Dt8AAAALAQAADwAAAAAAAAAAAAAAAAASBQAAZHJzL2Rvd25yZXYueG1sUEsFBgAAAAAEAAQA8wAA&#10;AB4GAAAAAA==&#10;" filled="f" stroked="f">
                <v:textbox>
                  <w:txbxContent>
                    <w:p w:rsidR="00336A9D" w:rsidRPr="00E22DE3" w:rsidRDefault="00336A9D">
                      <w:pPr>
                        <w:rPr>
                          <w:color w:val="FFFFFF" w:themeColor="background1"/>
                          <w:szCs w:val="24"/>
                          <w:lang w:val="en-MY"/>
                        </w:rPr>
                      </w:pPr>
                      <w:r w:rsidRPr="00E22DE3">
                        <w:rPr>
                          <w:color w:val="FFFFFF" w:themeColor="background1"/>
                          <w:szCs w:val="24"/>
                          <w:lang w:val="en-MY"/>
                        </w:rPr>
                        <w:t>(b)</w:t>
                      </w:r>
                    </w:p>
                  </w:txbxContent>
                </v:textbox>
              </v:shape>
            </w:pict>
          </mc:Fallback>
        </mc:AlternateContent>
      </w:r>
      <w:r>
        <w:rPr>
          <w:noProof/>
          <w:lang w:val="en-MY" w:eastAsia="en-MY"/>
        </w:rPr>
        <mc:AlternateContent>
          <mc:Choice Requires="wps">
            <w:drawing>
              <wp:anchor distT="0" distB="0" distL="114300" distR="114300" simplePos="0" relativeHeight="251680768" behindDoc="0" locked="0" layoutInCell="1" allowOverlap="1" wp14:anchorId="1252738A">
                <wp:simplePos x="0" y="0"/>
                <wp:positionH relativeFrom="column">
                  <wp:posOffset>-3931285</wp:posOffset>
                </wp:positionH>
                <wp:positionV relativeFrom="paragraph">
                  <wp:posOffset>109855</wp:posOffset>
                </wp:positionV>
                <wp:extent cx="382270" cy="295910"/>
                <wp:effectExtent l="2540" t="0" r="0" b="0"/>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A9D" w:rsidRPr="00E22DE3" w:rsidRDefault="00336A9D">
                            <w:pPr>
                              <w:rPr>
                                <w:color w:val="FFFFFF" w:themeColor="background1"/>
                                <w:szCs w:val="24"/>
                                <w:lang w:val="en-MY"/>
                              </w:rPr>
                            </w:pPr>
                            <w:r w:rsidRPr="00E22DE3">
                              <w:rPr>
                                <w:color w:val="FFFFFF" w:themeColor="background1"/>
                                <w:szCs w:val="24"/>
                                <w:lang w:val="en-MY"/>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2738A" id="Text Box 48" o:spid="_x0000_s1028" type="#_x0000_t202" style="position:absolute;left:0;text-align:left;margin-left:-309.55pt;margin-top:8.65pt;width:30.1pt;height:2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fkuQIAAMA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CCNBOyjRIxsNupMjIrFNz9DrFLQeetAzI7xDmV2our+X5TeNhFw1VGzZrVJyaBitwL3Q/vQvvk44&#10;2oJsho+yAjt0Z6QDGmvV2dxBNhCgQ5meTqWxvpTw+C6OogVIShBFySwJXel8mh4/90qb90x2yB4y&#10;rKDyDpzu77WxztD0qGJtCVnwtnXVb8WzB1CcXsA0fLUy64Qr5s8kSNbxOiYeieZrjwR57t0WK+LN&#10;i3Axy9/lq1Ue/rJ2Q5I2vKqYsGaOxArJnxXuQPGJEidqadnyysJZl7TablatQnsKxC7ccikHyVnN&#10;f+6GSwLE8iKkMCLBXZR4xTxeeKQgMy9ZBLEXhMldMg9IQvLieUj3XLB/DwkNGU5m0Wzi0tnpF7EF&#10;br2OjaYdNzA6Wt5lOD4p0dQycC0qV1pDeTudL1Jh3T+nAsp9LLTjq6XoRFYzbkbXGYtjG2xk9QQE&#10;VhIIBlyEsQeHRqofGA0wQjKsv++oYhi1HwQ0QRISYmeOu5DZIoKLupRsLiVUlACVYYPRdFyZaU7t&#10;esW3DVia2k7IW2icmjtS2w6bvDq0G4wJF9thpNk5dHl3WufBu/wNAAD//wMAUEsDBBQABgAIAAAA&#10;IQD5yumj3wAAAAsBAAAPAAAAZHJzL2Rvd25yZXYueG1sTI/LTsMwEEX3SPyDNUjsUjuUhCbEqRCI&#10;LYjykNi58TSJiMdR7Dbh7xlWsBzdo3vPVNvFDeKEU+g9aUhXCgRS421PrYa318dkAyJEQ9YMnlDD&#10;NwbY1udnlSmtn+kFT7vYCi6hUBoNXYxjKWVoOnQmrPyIxNnBT85EPqdW2snMXO4GeaVULp3piRc6&#10;M+J9h83X7ug0vD8dPj+u1XP74LJx9ouS5Aqp9eXFcncLIuIS/2D41Wd1qNlp749kgxg0JHlapMxy&#10;crMGwUSSZZsCxF5Dvi5A1pX8/0P9AwAA//8DAFBLAQItABQABgAIAAAAIQC2gziS/gAAAOEBAAAT&#10;AAAAAAAAAAAAAAAAAAAAAABbQ29udGVudF9UeXBlc10ueG1sUEsBAi0AFAAGAAgAAAAhADj9If/W&#10;AAAAlAEAAAsAAAAAAAAAAAAAAAAALwEAAF9yZWxzLy5yZWxzUEsBAi0AFAAGAAgAAAAhAFaZJ+S5&#10;AgAAwAUAAA4AAAAAAAAAAAAAAAAALgIAAGRycy9lMm9Eb2MueG1sUEsBAi0AFAAGAAgAAAAhAPnK&#10;6aPfAAAACwEAAA8AAAAAAAAAAAAAAAAAEwUAAGRycy9kb3ducmV2LnhtbFBLBQYAAAAABAAEAPMA&#10;AAAfBgAAAAA=&#10;" filled="f" stroked="f">
                <v:textbox>
                  <w:txbxContent>
                    <w:p w:rsidR="00336A9D" w:rsidRPr="00E22DE3" w:rsidRDefault="00336A9D">
                      <w:pPr>
                        <w:rPr>
                          <w:color w:val="FFFFFF" w:themeColor="background1"/>
                          <w:szCs w:val="24"/>
                          <w:lang w:val="en-MY"/>
                        </w:rPr>
                      </w:pPr>
                      <w:r w:rsidRPr="00E22DE3">
                        <w:rPr>
                          <w:color w:val="FFFFFF" w:themeColor="background1"/>
                          <w:szCs w:val="24"/>
                          <w:lang w:val="en-MY"/>
                        </w:rPr>
                        <w:t>(a)</w:t>
                      </w:r>
                    </w:p>
                  </w:txbxContent>
                </v:textbox>
              </v:shape>
            </w:pict>
          </mc:Fallback>
        </mc:AlternateContent>
      </w:r>
      <w:r w:rsidR="00CE1D46" w:rsidRPr="00C17E36">
        <w:rPr>
          <w:noProof/>
          <w:lang w:val="en-MY" w:eastAsia="en-MY"/>
        </w:rPr>
        <w:drawing>
          <wp:anchor distT="0" distB="0" distL="114300" distR="114300" simplePos="0" relativeHeight="251670528" behindDoc="0" locked="0" layoutInCell="1" allowOverlap="1">
            <wp:simplePos x="0" y="0"/>
            <wp:positionH relativeFrom="column">
              <wp:posOffset>49530</wp:posOffset>
            </wp:positionH>
            <wp:positionV relativeFrom="paragraph">
              <wp:posOffset>85090</wp:posOffset>
            </wp:positionV>
            <wp:extent cx="1734185" cy="1569085"/>
            <wp:effectExtent l="19050" t="0" r="0" b="0"/>
            <wp:wrapThrough wrapText="bothSides">
              <wp:wrapPolygon edited="0">
                <wp:start x="-237" y="0"/>
                <wp:lineTo x="-237" y="21242"/>
                <wp:lineTo x="21592" y="21242"/>
                <wp:lineTo x="21592" y="0"/>
                <wp:lineTo x="-237" y="0"/>
              </wp:wrapPolygon>
            </wp:wrapThrough>
            <wp:docPr id="5" name="Pictur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cstate="print"/>
                    <a:stretch>
                      <a:fillRect/>
                    </a:stretch>
                  </pic:blipFill>
                  <pic:spPr>
                    <a:xfrm>
                      <a:off x="0" y="0"/>
                      <a:ext cx="1734185" cy="1569085"/>
                    </a:xfrm>
                    <a:prstGeom prst="rect">
                      <a:avLst/>
                    </a:prstGeom>
                  </pic:spPr>
                </pic:pic>
              </a:graphicData>
            </a:graphic>
          </wp:anchor>
        </w:drawing>
      </w:r>
      <w:r w:rsidR="00CE1D46" w:rsidRPr="00C17E36">
        <w:rPr>
          <w:noProof/>
          <w:lang w:val="en-MY" w:eastAsia="en-MY"/>
        </w:rPr>
        <w:drawing>
          <wp:anchor distT="0" distB="0" distL="114300" distR="114300" simplePos="0" relativeHeight="251671552" behindDoc="0" locked="0" layoutInCell="1" allowOverlap="1">
            <wp:simplePos x="0" y="0"/>
            <wp:positionH relativeFrom="column">
              <wp:posOffset>2137410</wp:posOffset>
            </wp:positionH>
            <wp:positionV relativeFrom="paragraph">
              <wp:posOffset>85090</wp:posOffset>
            </wp:positionV>
            <wp:extent cx="1761490" cy="1514475"/>
            <wp:effectExtent l="19050" t="0" r="0" b="0"/>
            <wp:wrapThrough wrapText="bothSides">
              <wp:wrapPolygon edited="0">
                <wp:start x="-234" y="0"/>
                <wp:lineTo x="-234" y="21464"/>
                <wp:lineTo x="21491" y="21464"/>
                <wp:lineTo x="21491" y="0"/>
                <wp:lineTo x="-234" y="0"/>
              </wp:wrapPolygon>
            </wp:wrapThrough>
            <wp:docPr id="4"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print"/>
                    <a:stretch>
                      <a:fillRect/>
                    </a:stretch>
                  </pic:blipFill>
                  <pic:spPr>
                    <a:xfrm>
                      <a:off x="0" y="0"/>
                      <a:ext cx="1761490" cy="1514475"/>
                    </a:xfrm>
                    <a:prstGeom prst="rect">
                      <a:avLst/>
                    </a:prstGeom>
                  </pic:spPr>
                </pic:pic>
              </a:graphicData>
            </a:graphic>
          </wp:anchor>
        </w:drawing>
      </w:r>
      <w:r w:rsidR="00CE1D46" w:rsidRPr="00C17E36">
        <w:rPr>
          <w:noProof/>
          <w:lang w:val="en-MY" w:eastAsia="en-MY"/>
        </w:rPr>
        <w:drawing>
          <wp:anchor distT="0" distB="0" distL="114300" distR="114300" simplePos="0" relativeHeight="251672576" behindDoc="0" locked="0" layoutInCell="1" allowOverlap="1">
            <wp:simplePos x="0" y="0"/>
            <wp:positionH relativeFrom="column">
              <wp:posOffset>4430395</wp:posOffset>
            </wp:positionH>
            <wp:positionV relativeFrom="paragraph">
              <wp:posOffset>85090</wp:posOffset>
            </wp:positionV>
            <wp:extent cx="1761490" cy="1521460"/>
            <wp:effectExtent l="19050" t="0" r="0" b="0"/>
            <wp:wrapThrough wrapText="bothSides">
              <wp:wrapPolygon edited="0">
                <wp:start x="-234" y="0"/>
                <wp:lineTo x="-234" y="21366"/>
                <wp:lineTo x="21491" y="21366"/>
                <wp:lineTo x="21491" y="0"/>
                <wp:lineTo x="-234" y="0"/>
              </wp:wrapPolygon>
            </wp:wrapThrough>
            <wp:docPr id="3"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stretch>
                      <a:fillRect/>
                    </a:stretch>
                  </pic:blipFill>
                  <pic:spPr>
                    <a:xfrm>
                      <a:off x="0" y="0"/>
                      <a:ext cx="1761490" cy="1521460"/>
                    </a:xfrm>
                    <a:prstGeom prst="rect">
                      <a:avLst/>
                    </a:prstGeom>
                  </pic:spPr>
                </pic:pic>
              </a:graphicData>
            </a:graphic>
          </wp:anchor>
        </w:drawing>
      </w:r>
    </w:p>
    <w:p w:rsidR="003F305F" w:rsidRPr="00363B40" w:rsidRDefault="003F305F" w:rsidP="00F96BD1">
      <w:pPr>
        <w:autoSpaceDE w:val="0"/>
        <w:autoSpaceDN w:val="0"/>
        <w:adjustRightInd w:val="0"/>
        <w:ind w:firstLine="720"/>
        <w:jc w:val="both"/>
      </w:pPr>
    </w:p>
    <w:p w:rsidR="003F305F" w:rsidRPr="00363B40" w:rsidRDefault="003F305F" w:rsidP="00F96BD1">
      <w:pPr>
        <w:autoSpaceDE w:val="0"/>
        <w:autoSpaceDN w:val="0"/>
        <w:adjustRightInd w:val="0"/>
        <w:jc w:val="both"/>
      </w:pPr>
    </w:p>
    <w:p w:rsidR="003F305F" w:rsidRPr="00363B40" w:rsidRDefault="003F305F" w:rsidP="00F96BD1">
      <w:pPr>
        <w:autoSpaceDE w:val="0"/>
        <w:autoSpaceDN w:val="0"/>
        <w:adjustRightInd w:val="0"/>
        <w:jc w:val="both"/>
      </w:pPr>
    </w:p>
    <w:p w:rsidR="007911A2" w:rsidRPr="00363B40" w:rsidRDefault="007911A2" w:rsidP="00F96BD1">
      <w:pPr>
        <w:autoSpaceDE w:val="0"/>
        <w:autoSpaceDN w:val="0"/>
        <w:adjustRightInd w:val="0"/>
        <w:jc w:val="both"/>
      </w:pPr>
    </w:p>
    <w:p w:rsidR="005F2B30" w:rsidRPr="00363B40" w:rsidRDefault="005F2B30" w:rsidP="00F96BD1">
      <w:pPr>
        <w:autoSpaceDE w:val="0"/>
        <w:autoSpaceDN w:val="0"/>
        <w:adjustRightInd w:val="0"/>
        <w:jc w:val="both"/>
      </w:pPr>
    </w:p>
    <w:p w:rsidR="007911A2" w:rsidRPr="00363B40" w:rsidRDefault="007911A2" w:rsidP="00F96BD1">
      <w:pPr>
        <w:autoSpaceDE w:val="0"/>
        <w:autoSpaceDN w:val="0"/>
        <w:adjustRightInd w:val="0"/>
        <w:jc w:val="both"/>
      </w:pPr>
    </w:p>
    <w:p w:rsidR="007911A2" w:rsidRPr="00363B40" w:rsidRDefault="007911A2" w:rsidP="00F96BD1">
      <w:pPr>
        <w:autoSpaceDE w:val="0"/>
        <w:autoSpaceDN w:val="0"/>
        <w:adjustRightInd w:val="0"/>
        <w:jc w:val="both"/>
      </w:pPr>
    </w:p>
    <w:p w:rsidR="007911A2" w:rsidRPr="00363B40" w:rsidRDefault="007911A2" w:rsidP="00F96BD1">
      <w:pPr>
        <w:autoSpaceDE w:val="0"/>
        <w:autoSpaceDN w:val="0"/>
        <w:adjustRightInd w:val="0"/>
        <w:jc w:val="both"/>
      </w:pPr>
    </w:p>
    <w:p w:rsidR="007911A2" w:rsidRPr="00363B40" w:rsidRDefault="007911A2" w:rsidP="00F96BD1">
      <w:pPr>
        <w:autoSpaceDE w:val="0"/>
        <w:autoSpaceDN w:val="0"/>
        <w:adjustRightInd w:val="0"/>
        <w:jc w:val="both"/>
        <w:rPr>
          <w:szCs w:val="24"/>
        </w:rPr>
      </w:pPr>
    </w:p>
    <w:p w:rsidR="009512B9" w:rsidRPr="00363B40" w:rsidRDefault="00AB30E9" w:rsidP="00F96BD1">
      <w:pPr>
        <w:autoSpaceDE w:val="0"/>
        <w:autoSpaceDN w:val="0"/>
        <w:adjustRightInd w:val="0"/>
        <w:jc w:val="both"/>
        <w:rPr>
          <w:szCs w:val="24"/>
        </w:rPr>
      </w:pPr>
      <w:r>
        <w:rPr>
          <w:szCs w:val="24"/>
          <w:lang w:eastAsia="en-MY"/>
        </w:rPr>
        <w:object w:dxaOrig="1440" w:dyaOrig="1440" w14:anchorId="68B16976">
          <v:shape id="_x0000_s1078" type="#_x0000_t75" style="position:absolute;left:0;text-align:left;margin-left:305.95pt;margin-top:10.25pt;width:215.5pt;height:199.35pt;z-index:251679744">
            <v:imagedata r:id="rId18" o:title=""/>
          </v:shape>
          <o:OLEObject Type="Embed" ProgID="Origin50.Graph" ShapeID="_x0000_s1078" DrawAspect="Content" ObjectID="_1689718615" r:id="rId19"/>
        </w:object>
      </w:r>
    </w:p>
    <w:p w:rsidR="009512B9" w:rsidRPr="00363B40" w:rsidRDefault="00AB30E9" w:rsidP="000F3CCB">
      <w:pPr>
        <w:pStyle w:val="Caption"/>
        <w:jc w:val="both"/>
        <w:rPr>
          <w:sz w:val="24"/>
          <w:szCs w:val="24"/>
        </w:rPr>
      </w:pPr>
      <w:r>
        <w:rPr>
          <w:szCs w:val="24"/>
          <w:lang w:eastAsia="en-MY"/>
        </w:rPr>
        <w:object w:dxaOrig="1440" w:dyaOrig="1440" w14:anchorId="2159F102">
          <v:shape id="_x0000_s1077" type="#_x0000_t75" style="position:absolute;left:0;text-align:left;margin-left:142.55pt;margin-top:7.9pt;width:225.8pt;height:196.55pt;z-index:251678720">
            <v:imagedata r:id="rId20" o:title=""/>
          </v:shape>
          <o:OLEObject Type="Embed" ProgID="Origin50.Graph" ShapeID="_x0000_s1077" DrawAspect="Content" ObjectID="_1689718616" r:id="rId21"/>
        </w:object>
      </w:r>
      <w:r w:rsidR="000F3CCB" w:rsidRPr="00363B40">
        <w:rPr>
          <w:sz w:val="24"/>
          <w:szCs w:val="24"/>
        </w:rPr>
        <w:t>Figure 2.</w:t>
      </w:r>
      <w:r w:rsidR="000F3CCB" w:rsidRPr="00363B40">
        <w:rPr>
          <w:b w:val="0"/>
          <w:sz w:val="24"/>
          <w:szCs w:val="24"/>
        </w:rPr>
        <w:t xml:space="preserve"> Surface morphology of LTAP particles (a) LTP-0.0 (b) LTAP-0.2 and (c) LTAP-1.0</w:t>
      </w:r>
      <w:r>
        <w:rPr>
          <w:szCs w:val="24"/>
          <w:lang w:eastAsia="en-MY"/>
        </w:rPr>
        <w:object w:dxaOrig="1440" w:dyaOrig="1440" w14:anchorId="1534BF8C">
          <v:shape id="_x0000_s1076" type="#_x0000_t75" style="position:absolute;left:0;text-align:left;margin-left:-26.6pt;margin-top:7.9pt;width:216.55pt;height:183.35pt;z-index:251677696;mso-position-horizontal-relative:text;mso-position-vertical-relative:text">
            <v:imagedata r:id="rId22" o:title=""/>
          </v:shape>
          <o:OLEObject Type="Embed" ProgID="Origin50.Graph" ShapeID="_x0000_s1076" DrawAspect="Content" ObjectID="_1689718617" r:id="rId23"/>
        </w:object>
      </w:r>
      <w:r w:rsidR="004479A2" w:rsidRPr="00363B40">
        <w:rPr>
          <w:b w:val="0"/>
          <w:sz w:val="24"/>
          <w:szCs w:val="24"/>
        </w:rPr>
        <w:t>.</w:t>
      </w:r>
    </w:p>
    <w:p w:rsidR="009512B9" w:rsidRPr="00363B40" w:rsidRDefault="009512B9" w:rsidP="00F96BD1">
      <w:pPr>
        <w:autoSpaceDE w:val="0"/>
        <w:autoSpaceDN w:val="0"/>
        <w:adjustRightInd w:val="0"/>
        <w:jc w:val="both"/>
        <w:rPr>
          <w:szCs w:val="24"/>
        </w:rPr>
      </w:pPr>
    </w:p>
    <w:p w:rsidR="009512B9" w:rsidRPr="00363B40" w:rsidRDefault="009512B9" w:rsidP="00F96BD1">
      <w:pPr>
        <w:autoSpaceDE w:val="0"/>
        <w:autoSpaceDN w:val="0"/>
        <w:adjustRightInd w:val="0"/>
        <w:jc w:val="both"/>
        <w:rPr>
          <w:szCs w:val="24"/>
        </w:rPr>
      </w:pPr>
    </w:p>
    <w:p w:rsidR="009512B9" w:rsidRPr="00363B40" w:rsidRDefault="009512B9" w:rsidP="00F96BD1">
      <w:pPr>
        <w:autoSpaceDE w:val="0"/>
        <w:autoSpaceDN w:val="0"/>
        <w:adjustRightInd w:val="0"/>
        <w:jc w:val="both"/>
        <w:rPr>
          <w:szCs w:val="24"/>
        </w:rPr>
      </w:pPr>
    </w:p>
    <w:p w:rsidR="009512B9" w:rsidRPr="00363B40" w:rsidRDefault="009512B9" w:rsidP="00F96BD1">
      <w:pPr>
        <w:autoSpaceDE w:val="0"/>
        <w:autoSpaceDN w:val="0"/>
        <w:adjustRightInd w:val="0"/>
        <w:jc w:val="both"/>
        <w:rPr>
          <w:szCs w:val="24"/>
        </w:rPr>
      </w:pPr>
    </w:p>
    <w:p w:rsidR="009512B9" w:rsidRPr="00363B40" w:rsidRDefault="009512B9" w:rsidP="00F96BD1">
      <w:pPr>
        <w:autoSpaceDE w:val="0"/>
        <w:autoSpaceDN w:val="0"/>
        <w:adjustRightInd w:val="0"/>
        <w:jc w:val="both"/>
        <w:rPr>
          <w:szCs w:val="24"/>
        </w:rPr>
      </w:pPr>
    </w:p>
    <w:p w:rsidR="009512B9" w:rsidRPr="00363B40" w:rsidRDefault="009512B9" w:rsidP="00F96BD1">
      <w:pPr>
        <w:autoSpaceDE w:val="0"/>
        <w:autoSpaceDN w:val="0"/>
        <w:adjustRightInd w:val="0"/>
        <w:jc w:val="both"/>
        <w:rPr>
          <w:szCs w:val="24"/>
        </w:rPr>
      </w:pPr>
    </w:p>
    <w:p w:rsidR="009512B9" w:rsidRPr="00363B40" w:rsidRDefault="009512B9" w:rsidP="00F96BD1">
      <w:pPr>
        <w:autoSpaceDE w:val="0"/>
        <w:autoSpaceDN w:val="0"/>
        <w:adjustRightInd w:val="0"/>
        <w:jc w:val="both"/>
        <w:rPr>
          <w:szCs w:val="24"/>
        </w:rPr>
      </w:pPr>
    </w:p>
    <w:p w:rsidR="009512B9" w:rsidRPr="00363B40" w:rsidRDefault="009512B9" w:rsidP="00F96BD1">
      <w:pPr>
        <w:autoSpaceDE w:val="0"/>
        <w:autoSpaceDN w:val="0"/>
        <w:adjustRightInd w:val="0"/>
        <w:jc w:val="both"/>
        <w:rPr>
          <w:szCs w:val="24"/>
        </w:rPr>
      </w:pPr>
    </w:p>
    <w:p w:rsidR="00502F8E" w:rsidRPr="00363B40" w:rsidRDefault="00502F8E" w:rsidP="00F96BD1">
      <w:pPr>
        <w:autoSpaceDE w:val="0"/>
        <w:autoSpaceDN w:val="0"/>
        <w:adjustRightInd w:val="0"/>
        <w:jc w:val="both"/>
        <w:rPr>
          <w:szCs w:val="24"/>
        </w:rPr>
      </w:pPr>
    </w:p>
    <w:p w:rsidR="00502F8E" w:rsidRPr="00363B40" w:rsidRDefault="00502F8E" w:rsidP="00F96BD1">
      <w:pPr>
        <w:autoSpaceDE w:val="0"/>
        <w:autoSpaceDN w:val="0"/>
        <w:adjustRightInd w:val="0"/>
        <w:jc w:val="both"/>
        <w:rPr>
          <w:szCs w:val="24"/>
        </w:rPr>
      </w:pPr>
    </w:p>
    <w:p w:rsidR="00502F8E" w:rsidRPr="00363B40" w:rsidRDefault="00502F8E" w:rsidP="00F96BD1">
      <w:pPr>
        <w:autoSpaceDE w:val="0"/>
        <w:autoSpaceDN w:val="0"/>
        <w:adjustRightInd w:val="0"/>
        <w:jc w:val="both"/>
        <w:rPr>
          <w:szCs w:val="24"/>
        </w:rPr>
      </w:pPr>
    </w:p>
    <w:p w:rsidR="000F3CCB" w:rsidRPr="00363B40" w:rsidRDefault="000F3CCB" w:rsidP="000F3CCB">
      <w:pPr>
        <w:pStyle w:val="Caption"/>
        <w:jc w:val="center"/>
        <w:rPr>
          <w:b w:val="0"/>
          <w:sz w:val="24"/>
          <w:szCs w:val="24"/>
        </w:rPr>
      </w:pPr>
      <w:r w:rsidRPr="00363B40">
        <w:rPr>
          <w:sz w:val="24"/>
          <w:szCs w:val="24"/>
        </w:rPr>
        <w:t>Figure 3</w:t>
      </w:r>
      <w:r w:rsidRPr="00363B40">
        <w:rPr>
          <w:b w:val="0"/>
          <w:sz w:val="24"/>
          <w:szCs w:val="24"/>
        </w:rPr>
        <w:t xml:space="preserve">. Particle size distribution (a) </w:t>
      </w:r>
      <w:r w:rsidR="004479A2" w:rsidRPr="00363B40">
        <w:rPr>
          <w:b w:val="0"/>
          <w:sz w:val="24"/>
          <w:szCs w:val="24"/>
        </w:rPr>
        <w:t>LTP-0.0, (b) LTAP-0.2, (c) LTAP-</w:t>
      </w:r>
      <w:r w:rsidRPr="00363B40">
        <w:rPr>
          <w:b w:val="0"/>
          <w:sz w:val="24"/>
          <w:szCs w:val="24"/>
        </w:rPr>
        <w:t>1.0.</w:t>
      </w:r>
    </w:p>
    <w:p w:rsidR="00502F8E" w:rsidRPr="00363B40" w:rsidRDefault="00502F8E" w:rsidP="00F96BD1">
      <w:pPr>
        <w:autoSpaceDE w:val="0"/>
        <w:autoSpaceDN w:val="0"/>
        <w:adjustRightInd w:val="0"/>
        <w:jc w:val="both"/>
        <w:rPr>
          <w:szCs w:val="24"/>
        </w:rPr>
      </w:pPr>
    </w:p>
    <w:p w:rsidR="00502F8E" w:rsidRPr="00363B40" w:rsidRDefault="00502F8E" w:rsidP="00F96BD1">
      <w:pPr>
        <w:autoSpaceDE w:val="0"/>
        <w:autoSpaceDN w:val="0"/>
        <w:adjustRightInd w:val="0"/>
        <w:jc w:val="both"/>
        <w:rPr>
          <w:szCs w:val="24"/>
        </w:rPr>
      </w:pPr>
    </w:p>
    <w:p w:rsidR="00502F8E" w:rsidRPr="00363B40" w:rsidRDefault="00502F8E" w:rsidP="00F96BD1">
      <w:pPr>
        <w:autoSpaceDE w:val="0"/>
        <w:autoSpaceDN w:val="0"/>
        <w:adjustRightInd w:val="0"/>
        <w:jc w:val="both"/>
        <w:rPr>
          <w:szCs w:val="24"/>
        </w:rPr>
      </w:pPr>
    </w:p>
    <w:p w:rsidR="00502F8E" w:rsidRPr="00363B40" w:rsidRDefault="00502F8E" w:rsidP="00F96BD1">
      <w:pPr>
        <w:autoSpaceDE w:val="0"/>
        <w:autoSpaceDN w:val="0"/>
        <w:adjustRightInd w:val="0"/>
        <w:jc w:val="both"/>
        <w:rPr>
          <w:szCs w:val="24"/>
        </w:rPr>
      </w:pPr>
    </w:p>
    <w:p w:rsidR="00502F8E" w:rsidRPr="00363B40" w:rsidRDefault="00502F8E" w:rsidP="00F96BD1">
      <w:pPr>
        <w:autoSpaceDE w:val="0"/>
        <w:autoSpaceDN w:val="0"/>
        <w:adjustRightInd w:val="0"/>
        <w:jc w:val="both"/>
        <w:rPr>
          <w:szCs w:val="24"/>
        </w:rPr>
      </w:pPr>
    </w:p>
    <w:p w:rsidR="00502F8E" w:rsidRPr="00363B40" w:rsidRDefault="00C92FF7" w:rsidP="000F3CCB">
      <w:pPr>
        <w:autoSpaceDE w:val="0"/>
        <w:autoSpaceDN w:val="0"/>
        <w:adjustRightInd w:val="0"/>
        <w:jc w:val="center"/>
        <w:rPr>
          <w:szCs w:val="24"/>
        </w:rPr>
      </w:pPr>
      <w:r w:rsidRPr="00363B40">
        <w:object w:dxaOrig="6885" w:dyaOrig="4827" w14:anchorId="30120980">
          <v:shape id="_x0000_i1031" type="#_x0000_t75" style="width:321.75pt;height:241.5pt" o:ole="">
            <v:imagedata r:id="rId24" o:title=""/>
          </v:shape>
          <o:OLEObject Type="Embed" ProgID="Origin50.Graph" ShapeID="_x0000_i1031" DrawAspect="Content" ObjectID="_1689718612" r:id="rId25"/>
        </w:object>
      </w:r>
    </w:p>
    <w:p w:rsidR="00502F8E" w:rsidRPr="00363B40" w:rsidRDefault="00502F8E" w:rsidP="00F96BD1">
      <w:pPr>
        <w:autoSpaceDE w:val="0"/>
        <w:autoSpaceDN w:val="0"/>
        <w:adjustRightInd w:val="0"/>
        <w:jc w:val="both"/>
        <w:rPr>
          <w:szCs w:val="24"/>
        </w:rPr>
      </w:pPr>
    </w:p>
    <w:p w:rsidR="000F3CCB" w:rsidRPr="00363B40" w:rsidRDefault="000F3CCB" w:rsidP="000F3CCB">
      <w:pPr>
        <w:pStyle w:val="Caption"/>
        <w:jc w:val="center"/>
      </w:pPr>
      <w:r w:rsidRPr="00363B40">
        <w:rPr>
          <w:sz w:val="24"/>
          <w:szCs w:val="24"/>
        </w:rPr>
        <w:t>Figure 4.</w:t>
      </w:r>
      <w:r w:rsidRPr="00363B40">
        <w:t xml:space="preserve"> </w:t>
      </w:r>
      <w:r w:rsidRPr="00363B40">
        <w:rPr>
          <w:b w:val="0"/>
          <w:sz w:val="24"/>
          <w:szCs w:val="24"/>
        </w:rPr>
        <w:t>Bulk density and conductivity curve of the LTP-0.0, LTAP-0.2 and LTAP-1.0 pellets sample sintered at 900</w:t>
      </w:r>
      <w:r w:rsidR="006B32B1">
        <w:rPr>
          <w:szCs w:val="24"/>
        </w:rPr>
        <w:t>°</w:t>
      </w:r>
      <w:r w:rsidRPr="00363B40">
        <w:rPr>
          <w:b w:val="0"/>
          <w:sz w:val="24"/>
          <w:szCs w:val="24"/>
        </w:rPr>
        <w:t>C for 8 h.</w:t>
      </w:r>
    </w:p>
    <w:p w:rsidR="003F305F" w:rsidRPr="00363B40" w:rsidRDefault="003F305F" w:rsidP="00F96BD1">
      <w:pPr>
        <w:autoSpaceDE w:val="0"/>
        <w:autoSpaceDN w:val="0"/>
        <w:adjustRightInd w:val="0"/>
        <w:jc w:val="both"/>
        <w:rPr>
          <w:szCs w:val="24"/>
        </w:rPr>
      </w:pPr>
    </w:p>
    <w:p w:rsidR="00492E4F" w:rsidRPr="00363B40" w:rsidRDefault="00F8152F" w:rsidP="00065915">
      <w:pPr>
        <w:autoSpaceDE w:val="0"/>
        <w:autoSpaceDN w:val="0"/>
        <w:adjustRightInd w:val="0"/>
        <w:jc w:val="both"/>
        <w:rPr>
          <w:b/>
        </w:rPr>
      </w:pPr>
      <w:r>
        <w:rPr>
          <w:rFonts w:asciiTheme="minorHAnsi" w:hAnsiTheme="minorHAnsi" w:cstheme="minorBidi"/>
          <w:b/>
          <w:noProof/>
          <w:sz w:val="22"/>
          <w:szCs w:val="22"/>
          <w:lang w:val="en-MY" w:eastAsia="en-MY"/>
        </w:rPr>
        <mc:AlternateContent>
          <mc:Choice Requires="wps">
            <w:drawing>
              <wp:anchor distT="0" distB="0" distL="114300" distR="114300" simplePos="0" relativeHeight="251662336" behindDoc="0" locked="0" layoutInCell="1" allowOverlap="1" wp14:anchorId="5ACE13D2">
                <wp:simplePos x="0" y="0"/>
                <wp:positionH relativeFrom="column">
                  <wp:posOffset>4048760</wp:posOffset>
                </wp:positionH>
                <wp:positionV relativeFrom="paragraph">
                  <wp:posOffset>47625</wp:posOffset>
                </wp:positionV>
                <wp:extent cx="344170" cy="250825"/>
                <wp:effectExtent l="0" t="0" r="0" b="0"/>
                <wp:wrapNone/>
                <wp:docPr id="10"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44170" cy="250825"/>
                        </a:xfrm>
                        <a:prstGeom prst="rect">
                          <a:avLst/>
                        </a:prstGeom>
                      </wps:spPr>
                      <wps:txbx>
                        <w:txbxContent>
                          <w:p w:rsidR="00336A9D" w:rsidRPr="00131983" w:rsidRDefault="00336A9D" w:rsidP="003F305F"/>
                        </w:txbxContent>
                      </wps:txbx>
                      <wps:bodyPr wrap="square" rtlCol="0"/>
                    </wps:wsp>
                  </a:graphicData>
                </a:graphic>
                <wp14:sizeRelH relativeFrom="margin">
                  <wp14:pctWidth>0</wp14:pctWidth>
                </wp14:sizeRelH>
                <wp14:sizeRelV relativeFrom="page">
                  <wp14:pctHeight>0</wp14:pctHeight>
                </wp14:sizeRelV>
              </wp:anchor>
            </w:drawing>
          </mc:Choice>
          <mc:Fallback>
            <w:pict>
              <v:shape w14:anchorId="5ACE13D2" id="TextBox 1" o:spid="_x0000_s1029" type="#_x0000_t202" style="position:absolute;left:0;text-align:left;margin-left:318.8pt;margin-top:3.75pt;width:27.1pt;height:19.7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rFmQEAABcDAAAOAAAAZHJzL2Uyb0RvYy54bWysUk1v2zAMvQ/YfxB0b2SnHwuMOAW2YrsU&#10;24C2P0CRpdioJWqkGjv/frScpEV3G+oDYYlPj++RXN+Ovhd7i9RBqGW5KKSwwUDThV0tnx6/X6yk&#10;oKRDo3sItpYHS/J28/nTeoiVXUILfWNRMEmgaoi1bFOKlVJkWus1LSDawEkH6HXiI+5Ug3pgdt+r&#10;ZVHcqAGwiQjGEvHt3ZyUm8zvnDXpl3Nkk+hrydpSjpjjdopqs9bVDnVsO3OUof9Dhddd4KJnqjud&#10;tHjB7h8q3xkEApcWBrwC5zpjswd2Uxbv3Dy0OtrshZtD8dwm+jha83P/G0XX8Oy4PUF7ntGjHdNX&#10;GEU5dWeIVDHoITIsjXzNyOyU4j2YZ2KIeoOZHxCjp26MDr1A4K6XNzwt/vJTti2YhwsezjPgmsLw&#10;5eXVVfmFM4ZTy+titbyeVKiZa+KMSOmHBS+mn1oijziT6v09pRl6ghylzWomkWncjtns6mRtC82B&#10;nQ28AbWkPy8arRSY+m+QF+bkjrufRRw3ZRrv23Mu9LrPm78AAAD//wMAUEsDBBQABgAIAAAAIQBf&#10;r54+3gAAAAcBAAAPAAAAZHJzL2Rvd25yZXYueG1sTI5BS8NAFITvgv9heYIXaTeWNbQxL0WUIvVm&#10;FYq3bbImwd23IbtJE3+9z5OehmGGmS/fTs6K0fSh9YRwu0xAGCp91VKN8P62W6xBhKip0taTQZhN&#10;gG1xeZHrrPJnejXjIdaCRyhkGqGJscukDGVjnA5L3xni7NP3Tke2fS2rXp953Fm5SpJUOt0SPzS6&#10;M4+NKb8Og0N4ntX+JaiPm03Y23LYHb9nPz4hXl9ND/cgopniXxl+8RkdCmY6+YGqICxCqtSGqwgr&#10;EByna6VAnBDuWGWRy//8xQ8AAAD//wMAUEsBAi0AFAAGAAgAAAAhALaDOJL+AAAA4QEAABMAAAAA&#10;AAAAAAAAAAAAAAAAAFtDb250ZW50X1R5cGVzXS54bWxQSwECLQAUAAYACAAAACEAOP0h/9YAAACU&#10;AQAACwAAAAAAAAAAAAAAAAAvAQAAX3JlbHMvLnJlbHNQSwECLQAUAAYACAAAACEAEnXaxZkBAAAX&#10;AwAADgAAAAAAAAAAAAAAAAAuAgAAZHJzL2Uyb0RvYy54bWxQSwECLQAUAAYACAAAACEAX6+ePt4A&#10;AAAHAQAADwAAAAAAAAAAAAAAAADzAwAAZHJzL2Rvd25yZXYueG1sUEsFBgAAAAAEAAQA8wAAAP4E&#10;AAAAAA==&#10;" filled="f" stroked="f">
                <v:path arrowok="t"/>
                <v:textbox>
                  <w:txbxContent>
                    <w:p w:rsidR="00336A9D" w:rsidRPr="00131983" w:rsidRDefault="00336A9D" w:rsidP="003F305F"/>
                  </w:txbxContent>
                </v:textbox>
              </v:shape>
            </w:pict>
          </mc:Fallback>
        </mc:AlternateContent>
      </w:r>
      <w:r w:rsidR="00492E4F" w:rsidRPr="00363B40">
        <w:rPr>
          <w:b/>
        </w:rPr>
        <w:t>CONCLUSION</w:t>
      </w:r>
    </w:p>
    <w:p w:rsidR="00C92FF7" w:rsidRPr="00363B40" w:rsidRDefault="00C92FF7" w:rsidP="00065915">
      <w:pPr>
        <w:autoSpaceDE w:val="0"/>
        <w:autoSpaceDN w:val="0"/>
        <w:adjustRightInd w:val="0"/>
        <w:jc w:val="both"/>
        <w:rPr>
          <w:b/>
        </w:rPr>
      </w:pPr>
    </w:p>
    <w:p w:rsidR="008D1BE8" w:rsidRDefault="00AC76AB" w:rsidP="002A41F8">
      <w:pPr>
        <w:autoSpaceDE w:val="0"/>
        <w:autoSpaceDN w:val="0"/>
        <w:adjustRightInd w:val="0"/>
        <w:ind w:firstLine="720"/>
        <w:jc w:val="both"/>
        <w:rPr>
          <w:szCs w:val="24"/>
        </w:rPr>
      </w:pPr>
      <w:r w:rsidRPr="00363B40">
        <w:rPr>
          <w:szCs w:val="24"/>
        </w:rPr>
        <w:t>Lithium ion conducting solid electrolytes of Li</w:t>
      </w:r>
      <w:r w:rsidRPr="00363B40">
        <w:rPr>
          <w:szCs w:val="24"/>
          <w:vertAlign w:val="subscript"/>
        </w:rPr>
        <w:t>1+x</w:t>
      </w:r>
      <w:r w:rsidRPr="00363B40">
        <w:rPr>
          <w:szCs w:val="24"/>
        </w:rPr>
        <w:t>Ti</w:t>
      </w:r>
      <w:r w:rsidRPr="00363B40">
        <w:rPr>
          <w:szCs w:val="24"/>
          <w:vertAlign w:val="subscript"/>
        </w:rPr>
        <w:t>2-x</w:t>
      </w:r>
      <w:r w:rsidRPr="00363B40">
        <w:rPr>
          <w:szCs w:val="24"/>
        </w:rPr>
        <w:t>Al</w:t>
      </w:r>
      <w:r w:rsidRPr="00363B40">
        <w:rPr>
          <w:szCs w:val="24"/>
          <w:vertAlign w:val="subscript"/>
        </w:rPr>
        <w:t>x</w:t>
      </w:r>
      <w:r w:rsidRPr="00363B40">
        <w:rPr>
          <w:szCs w:val="24"/>
        </w:rPr>
        <w:t>(PO</w:t>
      </w:r>
      <w:r w:rsidRPr="00363B40">
        <w:rPr>
          <w:szCs w:val="24"/>
          <w:vertAlign w:val="subscript"/>
        </w:rPr>
        <w:t>4</w:t>
      </w:r>
      <w:r w:rsidRPr="00363B40">
        <w:rPr>
          <w:szCs w:val="24"/>
        </w:rPr>
        <w:t>)</w:t>
      </w:r>
      <w:r w:rsidRPr="00363B40">
        <w:rPr>
          <w:szCs w:val="24"/>
          <w:vertAlign w:val="subscript"/>
        </w:rPr>
        <w:t>3</w:t>
      </w:r>
      <w:r w:rsidR="005F2B30" w:rsidRPr="00363B40">
        <w:rPr>
          <w:szCs w:val="24"/>
        </w:rPr>
        <w:t xml:space="preserve"> </w:t>
      </w:r>
      <w:r w:rsidR="008D1BE8">
        <w:rPr>
          <w:szCs w:val="24"/>
        </w:rPr>
        <w:t xml:space="preserve">with </w:t>
      </w:r>
      <w:r w:rsidR="005F2B30" w:rsidRPr="00363B40">
        <w:rPr>
          <w:szCs w:val="24"/>
        </w:rPr>
        <w:t>x = 0.0, 0.2 and</w:t>
      </w:r>
      <w:r w:rsidRPr="00363B40">
        <w:rPr>
          <w:szCs w:val="24"/>
        </w:rPr>
        <w:t xml:space="preserve"> 1.0</w:t>
      </w:r>
      <w:r w:rsidR="008D1BE8">
        <w:rPr>
          <w:szCs w:val="24"/>
        </w:rPr>
        <w:t xml:space="preserve"> </w:t>
      </w:r>
      <w:r w:rsidRPr="00363B40">
        <w:rPr>
          <w:szCs w:val="24"/>
        </w:rPr>
        <w:t xml:space="preserve">NASICON ceramic </w:t>
      </w:r>
      <w:r w:rsidR="00280987">
        <w:rPr>
          <w:szCs w:val="24"/>
        </w:rPr>
        <w:t>have been</w:t>
      </w:r>
      <w:r w:rsidR="00280987" w:rsidRPr="00363B40">
        <w:rPr>
          <w:szCs w:val="24"/>
        </w:rPr>
        <w:t xml:space="preserve"> </w:t>
      </w:r>
      <w:r w:rsidRPr="00363B40">
        <w:rPr>
          <w:szCs w:val="24"/>
        </w:rPr>
        <w:t xml:space="preserve">prepared </w:t>
      </w:r>
      <w:r w:rsidR="008D1BE8">
        <w:rPr>
          <w:szCs w:val="24"/>
        </w:rPr>
        <w:t>using</w:t>
      </w:r>
      <w:r w:rsidR="008D1BE8" w:rsidRPr="00363B40">
        <w:rPr>
          <w:szCs w:val="24"/>
        </w:rPr>
        <w:t xml:space="preserve"> </w:t>
      </w:r>
      <w:r w:rsidRPr="00363B40">
        <w:rPr>
          <w:szCs w:val="24"/>
        </w:rPr>
        <w:t>solid state reaction method at 900</w:t>
      </w:r>
      <w:r w:rsidR="006B32B1">
        <w:rPr>
          <w:szCs w:val="24"/>
        </w:rPr>
        <w:t>°</w:t>
      </w:r>
      <w:r w:rsidRPr="00363B40">
        <w:rPr>
          <w:szCs w:val="24"/>
        </w:rPr>
        <w:t xml:space="preserve">C for 8 h. The bulk density </w:t>
      </w:r>
      <w:r w:rsidR="00280987">
        <w:rPr>
          <w:szCs w:val="24"/>
        </w:rPr>
        <w:t>is</w:t>
      </w:r>
      <w:r w:rsidR="00280987" w:rsidRPr="00363B40">
        <w:rPr>
          <w:szCs w:val="24"/>
        </w:rPr>
        <w:t xml:space="preserve"> </w:t>
      </w:r>
      <w:r w:rsidRPr="00363B40">
        <w:rPr>
          <w:szCs w:val="24"/>
        </w:rPr>
        <w:t>significantly improved from 2.38 kgcm</w:t>
      </w:r>
      <w:r w:rsidRPr="00363B40">
        <w:rPr>
          <w:szCs w:val="24"/>
          <w:vertAlign w:val="superscript"/>
        </w:rPr>
        <w:t>-3</w:t>
      </w:r>
      <w:r w:rsidRPr="00363B40">
        <w:rPr>
          <w:szCs w:val="24"/>
        </w:rPr>
        <w:t xml:space="preserve"> to 2.83 kgcm</w:t>
      </w:r>
      <w:r w:rsidRPr="00363B40">
        <w:rPr>
          <w:szCs w:val="24"/>
          <w:vertAlign w:val="superscript"/>
        </w:rPr>
        <w:t>-3</w:t>
      </w:r>
      <w:r w:rsidRPr="00363B40">
        <w:rPr>
          <w:szCs w:val="24"/>
        </w:rPr>
        <w:t xml:space="preserve"> for </w:t>
      </w:r>
      <w:r w:rsidR="00036A9E" w:rsidRPr="00363B40">
        <w:rPr>
          <w:szCs w:val="24"/>
        </w:rPr>
        <w:t>LTAP-0.2</w:t>
      </w:r>
      <w:r w:rsidRPr="00363B40">
        <w:rPr>
          <w:szCs w:val="24"/>
        </w:rPr>
        <w:t xml:space="preserve"> and </w:t>
      </w:r>
      <w:r w:rsidR="00280987">
        <w:rPr>
          <w:szCs w:val="24"/>
        </w:rPr>
        <w:t>decreases for LTAP-1.0</w:t>
      </w:r>
      <w:r w:rsidRPr="00363B40">
        <w:rPr>
          <w:szCs w:val="24"/>
        </w:rPr>
        <w:t>. T</w:t>
      </w:r>
      <w:r w:rsidR="00036A9E" w:rsidRPr="00363B40">
        <w:rPr>
          <w:szCs w:val="24"/>
        </w:rPr>
        <w:t xml:space="preserve">his </w:t>
      </w:r>
      <w:r w:rsidR="00280987">
        <w:rPr>
          <w:szCs w:val="24"/>
        </w:rPr>
        <w:t>is</w:t>
      </w:r>
      <w:r w:rsidR="008D1BE8">
        <w:rPr>
          <w:szCs w:val="24"/>
        </w:rPr>
        <w:t xml:space="preserve"> proved due to</w:t>
      </w:r>
      <w:r w:rsidR="00036A9E" w:rsidRPr="00363B40">
        <w:rPr>
          <w:szCs w:val="24"/>
        </w:rPr>
        <w:t xml:space="preserve"> the influence</w:t>
      </w:r>
      <w:r w:rsidRPr="00363B40">
        <w:rPr>
          <w:szCs w:val="24"/>
        </w:rPr>
        <w:t xml:space="preserve"> of impurity</w:t>
      </w:r>
      <w:r w:rsidR="00271A38" w:rsidRPr="00363B40">
        <w:rPr>
          <w:szCs w:val="24"/>
        </w:rPr>
        <w:t xml:space="preserve"> phases </w:t>
      </w:r>
      <w:r w:rsidR="008D1BE8">
        <w:rPr>
          <w:szCs w:val="24"/>
        </w:rPr>
        <w:t>that heavily precipitated in</w:t>
      </w:r>
      <w:r w:rsidR="008D1BE8" w:rsidRPr="00363B40">
        <w:rPr>
          <w:szCs w:val="24"/>
        </w:rPr>
        <w:t xml:space="preserve"> </w:t>
      </w:r>
      <w:r w:rsidR="00271A38" w:rsidRPr="00363B40">
        <w:rPr>
          <w:szCs w:val="24"/>
        </w:rPr>
        <w:t>LTAP-1.0</w:t>
      </w:r>
      <w:r w:rsidR="008D1BE8">
        <w:rPr>
          <w:szCs w:val="24"/>
        </w:rPr>
        <w:t xml:space="preserve"> sample</w:t>
      </w:r>
      <w:r w:rsidRPr="00363B40">
        <w:rPr>
          <w:szCs w:val="24"/>
        </w:rPr>
        <w:t xml:space="preserve">. </w:t>
      </w:r>
      <w:r w:rsidR="008D1BE8">
        <w:rPr>
          <w:szCs w:val="24"/>
        </w:rPr>
        <w:t>Based on the results, the</w:t>
      </w:r>
      <w:r w:rsidR="008D1BE8" w:rsidRPr="00363B40">
        <w:rPr>
          <w:szCs w:val="24"/>
        </w:rPr>
        <w:t xml:space="preserve"> </w:t>
      </w:r>
      <w:r w:rsidRPr="00363B40">
        <w:rPr>
          <w:szCs w:val="24"/>
        </w:rPr>
        <w:t xml:space="preserve">highest total conductivity </w:t>
      </w:r>
      <w:r w:rsidR="00280987">
        <w:rPr>
          <w:szCs w:val="24"/>
        </w:rPr>
        <w:t>is found to be</w:t>
      </w:r>
      <w:r w:rsidR="00280987" w:rsidRPr="00363B40">
        <w:rPr>
          <w:szCs w:val="24"/>
        </w:rPr>
        <w:t xml:space="preserve"> </w:t>
      </w:r>
      <w:r w:rsidRPr="00363B40">
        <w:rPr>
          <w:szCs w:val="24"/>
        </w:rPr>
        <w:t>1.06 x 10</w:t>
      </w:r>
      <w:r w:rsidRPr="00363B40">
        <w:rPr>
          <w:szCs w:val="24"/>
          <w:vertAlign w:val="superscript"/>
        </w:rPr>
        <w:t>-4</w:t>
      </w:r>
      <w:r w:rsidRPr="00363B40">
        <w:rPr>
          <w:szCs w:val="24"/>
        </w:rPr>
        <w:t xml:space="preserve"> Sm</w:t>
      </w:r>
      <w:r w:rsidRPr="00363B40">
        <w:rPr>
          <w:szCs w:val="24"/>
          <w:vertAlign w:val="superscript"/>
        </w:rPr>
        <w:t>-1</w:t>
      </w:r>
      <w:r w:rsidRPr="00363B40">
        <w:rPr>
          <w:szCs w:val="24"/>
        </w:rPr>
        <w:t xml:space="preserve"> </w:t>
      </w:r>
      <w:r w:rsidR="00280987">
        <w:rPr>
          <w:szCs w:val="24"/>
        </w:rPr>
        <w:t>(</w:t>
      </w:r>
      <w:r w:rsidRPr="00363B40">
        <w:rPr>
          <w:szCs w:val="24"/>
        </w:rPr>
        <w:t>at room temperature</w:t>
      </w:r>
      <w:r w:rsidR="00280987">
        <w:rPr>
          <w:szCs w:val="24"/>
        </w:rPr>
        <w:t xml:space="preserve">) </w:t>
      </w:r>
      <w:r w:rsidRPr="00363B40">
        <w:rPr>
          <w:szCs w:val="24"/>
        </w:rPr>
        <w:t xml:space="preserve">for </w:t>
      </w:r>
      <w:r w:rsidR="00280987">
        <w:rPr>
          <w:szCs w:val="24"/>
        </w:rPr>
        <w:t>LTAP-0.2 sample</w:t>
      </w:r>
      <w:r w:rsidR="008D1BE8">
        <w:rPr>
          <w:szCs w:val="24"/>
        </w:rPr>
        <w:t>;</w:t>
      </w:r>
      <w:r w:rsidR="00F55DBA" w:rsidRPr="00363B40">
        <w:rPr>
          <w:szCs w:val="24"/>
        </w:rPr>
        <w:t xml:space="preserve"> </w:t>
      </w:r>
      <w:r w:rsidR="008D1BE8">
        <w:rPr>
          <w:szCs w:val="24"/>
        </w:rPr>
        <w:t>t</w:t>
      </w:r>
      <w:r w:rsidR="00F55DBA" w:rsidRPr="00363B40">
        <w:rPr>
          <w:szCs w:val="24"/>
        </w:rPr>
        <w:t xml:space="preserve">his </w:t>
      </w:r>
      <w:r w:rsidR="008D1BE8">
        <w:rPr>
          <w:szCs w:val="24"/>
        </w:rPr>
        <w:t>is on par with the conductivity values in the literature</w:t>
      </w:r>
      <w:r w:rsidR="00CD3FDF">
        <w:rPr>
          <w:szCs w:val="24"/>
        </w:rPr>
        <w:t>. I</w:t>
      </w:r>
      <w:r w:rsidR="008D1BE8">
        <w:rPr>
          <w:szCs w:val="24"/>
        </w:rPr>
        <w:t xml:space="preserve">t can be concluded that using inexpensive materials </w:t>
      </w:r>
      <w:r w:rsidR="00280987">
        <w:rPr>
          <w:szCs w:val="24"/>
        </w:rPr>
        <w:t>may result</w:t>
      </w:r>
      <w:r w:rsidR="00CD3FDF">
        <w:rPr>
          <w:szCs w:val="24"/>
        </w:rPr>
        <w:t xml:space="preserve"> impurities</w:t>
      </w:r>
      <w:r w:rsidR="00280987">
        <w:rPr>
          <w:szCs w:val="24"/>
        </w:rPr>
        <w:t>,</w:t>
      </w:r>
      <w:r w:rsidR="00CD3FDF">
        <w:rPr>
          <w:szCs w:val="24"/>
        </w:rPr>
        <w:t xml:space="preserve"> however the conductivity value reported in this paper is still relavent for the application of Li-ion batteries</w:t>
      </w:r>
      <w:r w:rsidR="00280987">
        <w:rPr>
          <w:szCs w:val="24"/>
        </w:rPr>
        <w:t>.</w:t>
      </w:r>
    </w:p>
    <w:p w:rsidR="008D1BE8" w:rsidRDefault="008D1BE8" w:rsidP="002A41F8">
      <w:pPr>
        <w:autoSpaceDE w:val="0"/>
        <w:autoSpaceDN w:val="0"/>
        <w:adjustRightInd w:val="0"/>
        <w:ind w:firstLine="720"/>
        <w:jc w:val="both"/>
        <w:rPr>
          <w:szCs w:val="24"/>
        </w:rPr>
      </w:pPr>
    </w:p>
    <w:p w:rsidR="002A41F8" w:rsidRPr="00363B40" w:rsidRDefault="002A41F8" w:rsidP="002A41F8">
      <w:pPr>
        <w:autoSpaceDE w:val="0"/>
        <w:autoSpaceDN w:val="0"/>
        <w:adjustRightInd w:val="0"/>
        <w:ind w:firstLine="720"/>
        <w:jc w:val="both"/>
        <w:rPr>
          <w:szCs w:val="24"/>
        </w:rPr>
      </w:pPr>
    </w:p>
    <w:p w:rsidR="000F3CCB" w:rsidRPr="00363B40" w:rsidRDefault="000F3CCB" w:rsidP="000F3CCB">
      <w:pPr>
        <w:rPr>
          <w:b/>
        </w:rPr>
      </w:pPr>
      <w:r w:rsidRPr="00363B40">
        <w:rPr>
          <w:b/>
        </w:rPr>
        <w:t>ACKNOWLEDGEMENT</w:t>
      </w:r>
    </w:p>
    <w:p w:rsidR="000F3CCB" w:rsidRPr="00363B40" w:rsidRDefault="000F3CCB" w:rsidP="000F3CCB">
      <w:pPr>
        <w:rPr>
          <w:lang w:eastAsia="tr-TR"/>
        </w:rPr>
      </w:pPr>
    </w:p>
    <w:p w:rsidR="003151E3" w:rsidRPr="00363B40" w:rsidRDefault="00AC76AB" w:rsidP="003151E3">
      <w:pPr>
        <w:autoSpaceDE w:val="0"/>
        <w:autoSpaceDN w:val="0"/>
        <w:adjustRightInd w:val="0"/>
        <w:jc w:val="both"/>
        <w:rPr>
          <w:szCs w:val="24"/>
        </w:rPr>
      </w:pPr>
      <w:r w:rsidRPr="00363B40">
        <w:rPr>
          <w:szCs w:val="24"/>
        </w:rPr>
        <w:t>The author</w:t>
      </w:r>
      <w:r w:rsidR="004479A2" w:rsidRPr="00363B40">
        <w:rPr>
          <w:szCs w:val="24"/>
        </w:rPr>
        <w:t>s</w:t>
      </w:r>
      <w:r w:rsidRPr="00363B40">
        <w:rPr>
          <w:szCs w:val="24"/>
        </w:rPr>
        <w:t xml:space="preserve"> </w:t>
      </w:r>
      <w:r w:rsidR="004479A2" w:rsidRPr="00363B40">
        <w:rPr>
          <w:szCs w:val="24"/>
        </w:rPr>
        <w:t>are grateful</w:t>
      </w:r>
      <w:r w:rsidRPr="00363B40">
        <w:rPr>
          <w:szCs w:val="24"/>
        </w:rPr>
        <w:t xml:space="preserve"> to </w:t>
      </w:r>
      <w:r w:rsidR="003F0656" w:rsidRPr="00363B40">
        <w:rPr>
          <w:szCs w:val="24"/>
        </w:rPr>
        <w:t xml:space="preserve">the </w:t>
      </w:r>
      <w:r w:rsidRPr="00363B40">
        <w:rPr>
          <w:szCs w:val="24"/>
        </w:rPr>
        <w:t>University Tun Hussein Onn Malaysia</w:t>
      </w:r>
      <w:r w:rsidR="004479A2" w:rsidRPr="00363B40">
        <w:rPr>
          <w:szCs w:val="24"/>
        </w:rPr>
        <w:t xml:space="preserve"> (UTHM) for thier support and funding; this work is funded under insentive for publication grant (IGSP), U412 and graduate research incentive grant (GIPS), U301</w:t>
      </w:r>
      <w:r w:rsidRPr="00363B40">
        <w:rPr>
          <w:szCs w:val="24"/>
        </w:rPr>
        <w:t>.</w:t>
      </w:r>
    </w:p>
    <w:p w:rsidR="003151E3" w:rsidRPr="00363B40" w:rsidRDefault="003151E3" w:rsidP="003151E3">
      <w:pPr>
        <w:autoSpaceDE w:val="0"/>
        <w:autoSpaceDN w:val="0"/>
        <w:adjustRightInd w:val="0"/>
        <w:jc w:val="both"/>
        <w:rPr>
          <w:szCs w:val="24"/>
        </w:rPr>
      </w:pPr>
    </w:p>
    <w:p w:rsidR="003151E3" w:rsidRPr="00363B40" w:rsidRDefault="003151E3" w:rsidP="003151E3">
      <w:pPr>
        <w:autoSpaceDE w:val="0"/>
        <w:autoSpaceDN w:val="0"/>
        <w:adjustRightInd w:val="0"/>
        <w:jc w:val="both"/>
        <w:rPr>
          <w:szCs w:val="24"/>
          <w:vertAlign w:val="subscript"/>
        </w:rPr>
      </w:pPr>
    </w:p>
    <w:p w:rsidR="003151E3" w:rsidRPr="00363B40" w:rsidRDefault="003151E3" w:rsidP="003151E3">
      <w:pPr>
        <w:rPr>
          <w:b/>
        </w:rPr>
      </w:pPr>
      <w:r w:rsidRPr="00363B40">
        <w:rPr>
          <w:b/>
        </w:rPr>
        <w:t>REFERENCES</w:t>
      </w:r>
    </w:p>
    <w:p w:rsidR="003151E3" w:rsidRPr="00363B40" w:rsidRDefault="003151E3" w:rsidP="00CD74C5">
      <w:pPr>
        <w:jc w:val="both"/>
        <w:rPr>
          <w:szCs w:val="24"/>
        </w:rPr>
      </w:pPr>
    </w:p>
    <w:p w:rsidR="003151E3" w:rsidRPr="00363B40" w:rsidRDefault="003151E3" w:rsidP="00CD74C5">
      <w:pPr>
        <w:jc w:val="both"/>
        <w:rPr>
          <w:szCs w:val="24"/>
        </w:rPr>
      </w:pPr>
    </w:p>
    <w:p w:rsidR="0095385A" w:rsidRPr="0095385A" w:rsidRDefault="00CD3E55" w:rsidP="0095385A">
      <w:pPr>
        <w:autoSpaceDE w:val="0"/>
        <w:autoSpaceDN w:val="0"/>
        <w:adjustRightInd w:val="0"/>
        <w:ind w:left="640" w:hanging="640"/>
        <w:rPr>
          <w:noProof/>
          <w:szCs w:val="24"/>
        </w:rPr>
      </w:pPr>
      <w:r w:rsidRPr="00363B40">
        <w:rPr>
          <w:szCs w:val="24"/>
        </w:rPr>
        <w:fldChar w:fldCharType="begin" w:fldLock="1"/>
      </w:r>
      <w:r w:rsidR="00AC76AB" w:rsidRPr="00363B40">
        <w:rPr>
          <w:szCs w:val="24"/>
        </w:rPr>
        <w:instrText xml:space="preserve">ADDIN Mendeley Bibliography CSL_BIBLIOGRAPHY </w:instrText>
      </w:r>
      <w:r w:rsidRPr="00363B40">
        <w:rPr>
          <w:szCs w:val="24"/>
        </w:rPr>
        <w:fldChar w:fldCharType="separate"/>
      </w:r>
      <w:r w:rsidR="0095385A" w:rsidRPr="0095385A">
        <w:rPr>
          <w:noProof/>
          <w:szCs w:val="24"/>
        </w:rPr>
        <w:t>[1]</w:t>
      </w:r>
      <w:r w:rsidR="0095385A" w:rsidRPr="0095385A">
        <w:rPr>
          <w:noProof/>
          <w:szCs w:val="24"/>
        </w:rPr>
        <w:tab/>
        <w:t xml:space="preserve">K. Arbi, M. Hoelzel, A. Kuhn, F. García-Alvarado, and J. Sanz, “Structural Factors That Enhance Lithium Mobility in Fast-Ion Li </w:t>
      </w:r>
      <w:r w:rsidR="0095385A" w:rsidRPr="0095385A">
        <w:rPr>
          <w:noProof/>
          <w:szCs w:val="24"/>
          <w:vertAlign w:val="subscript"/>
        </w:rPr>
        <w:t xml:space="preserve"> 1+ </w:t>
      </w:r>
      <w:r w:rsidR="0095385A" w:rsidRPr="0095385A">
        <w:rPr>
          <w:i/>
          <w:iCs/>
          <w:noProof/>
          <w:szCs w:val="24"/>
          <w:vertAlign w:val="subscript"/>
        </w:rPr>
        <w:t>x</w:t>
      </w:r>
      <w:r w:rsidR="0095385A" w:rsidRPr="0095385A">
        <w:rPr>
          <w:noProof/>
          <w:szCs w:val="24"/>
          <w:vertAlign w:val="subscript"/>
        </w:rPr>
        <w:t xml:space="preserve"> </w:t>
      </w:r>
      <w:r w:rsidR="0095385A" w:rsidRPr="0095385A">
        <w:rPr>
          <w:noProof/>
          <w:szCs w:val="24"/>
        </w:rPr>
        <w:t xml:space="preserve"> Ti </w:t>
      </w:r>
      <w:r w:rsidR="0095385A" w:rsidRPr="0095385A">
        <w:rPr>
          <w:noProof/>
          <w:szCs w:val="24"/>
          <w:vertAlign w:val="subscript"/>
        </w:rPr>
        <w:t xml:space="preserve"> 2– </w:t>
      </w:r>
      <w:r w:rsidR="0095385A" w:rsidRPr="0095385A">
        <w:rPr>
          <w:i/>
          <w:iCs/>
          <w:noProof/>
          <w:szCs w:val="24"/>
          <w:vertAlign w:val="subscript"/>
        </w:rPr>
        <w:t>x</w:t>
      </w:r>
      <w:r w:rsidR="0095385A" w:rsidRPr="0095385A">
        <w:rPr>
          <w:noProof/>
          <w:szCs w:val="24"/>
          <w:vertAlign w:val="subscript"/>
        </w:rPr>
        <w:t xml:space="preserve"> </w:t>
      </w:r>
      <w:r w:rsidR="0095385A" w:rsidRPr="0095385A">
        <w:rPr>
          <w:noProof/>
          <w:szCs w:val="24"/>
        </w:rPr>
        <w:t xml:space="preserve"> Al </w:t>
      </w:r>
      <w:r w:rsidR="0095385A" w:rsidRPr="0095385A">
        <w:rPr>
          <w:noProof/>
          <w:szCs w:val="24"/>
          <w:vertAlign w:val="subscript"/>
        </w:rPr>
        <w:t xml:space="preserve"> </w:t>
      </w:r>
      <w:r w:rsidR="0095385A" w:rsidRPr="0095385A">
        <w:rPr>
          <w:i/>
          <w:iCs/>
          <w:noProof/>
          <w:szCs w:val="24"/>
          <w:vertAlign w:val="subscript"/>
        </w:rPr>
        <w:t>x</w:t>
      </w:r>
      <w:r w:rsidR="0095385A" w:rsidRPr="0095385A">
        <w:rPr>
          <w:noProof/>
          <w:szCs w:val="24"/>
          <w:vertAlign w:val="subscript"/>
        </w:rPr>
        <w:t xml:space="preserve"> </w:t>
      </w:r>
      <w:r w:rsidR="0095385A" w:rsidRPr="0095385A">
        <w:rPr>
          <w:noProof/>
          <w:szCs w:val="24"/>
        </w:rPr>
        <w:t xml:space="preserve"> (PO </w:t>
      </w:r>
      <w:r w:rsidR="0095385A" w:rsidRPr="0095385A">
        <w:rPr>
          <w:noProof/>
          <w:szCs w:val="24"/>
          <w:vertAlign w:val="subscript"/>
        </w:rPr>
        <w:t>4</w:t>
      </w:r>
      <w:r w:rsidR="0095385A" w:rsidRPr="0095385A">
        <w:rPr>
          <w:noProof/>
          <w:szCs w:val="24"/>
        </w:rPr>
        <w:t xml:space="preserve"> ) </w:t>
      </w:r>
      <w:r w:rsidR="0095385A" w:rsidRPr="0095385A">
        <w:rPr>
          <w:noProof/>
          <w:szCs w:val="24"/>
          <w:vertAlign w:val="subscript"/>
        </w:rPr>
        <w:t>3</w:t>
      </w:r>
      <w:r w:rsidR="0095385A" w:rsidRPr="0095385A">
        <w:rPr>
          <w:noProof/>
          <w:szCs w:val="24"/>
        </w:rPr>
        <w:t xml:space="preserve"> (0 ≤ </w:t>
      </w:r>
      <w:r w:rsidR="0095385A" w:rsidRPr="0095385A">
        <w:rPr>
          <w:i/>
          <w:iCs/>
          <w:noProof/>
          <w:szCs w:val="24"/>
        </w:rPr>
        <w:t>x</w:t>
      </w:r>
      <w:r w:rsidR="0095385A" w:rsidRPr="0095385A">
        <w:rPr>
          <w:noProof/>
          <w:szCs w:val="24"/>
        </w:rPr>
        <w:t xml:space="preserve"> ≤ 0.4) Conductors </w:t>
      </w:r>
      <w:r w:rsidR="0095385A" w:rsidRPr="0095385A">
        <w:rPr>
          <w:noProof/>
          <w:szCs w:val="24"/>
        </w:rPr>
        <w:lastRenderedPageBreak/>
        <w:t xml:space="preserve">Investigated by Neutron Diffraction in the Temper,” </w:t>
      </w:r>
      <w:r w:rsidR="0095385A" w:rsidRPr="0095385A">
        <w:rPr>
          <w:i/>
          <w:iCs/>
          <w:noProof/>
          <w:szCs w:val="24"/>
        </w:rPr>
        <w:t>Inorganic Chemistry</w:t>
      </w:r>
      <w:r w:rsidR="0095385A" w:rsidRPr="0095385A">
        <w:rPr>
          <w:noProof/>
          <w:szCs w:val="24"/>
        </w:rPr>
        <w:t>, vol. 52, no. 16, pp. 9290–9296, 2013.</w:t>
      </w:r>
    </w:p>
    <w:p w:rsidR="0095385A" w:rsidRPr="0095385A" w:rsidRDefault="0095385A" w:rsidP="0095385A">
      <w:pPr>
        <w:autoSpaceDE w:val="0"/>
        <w:autoSpaceDN w:val="0"/>
        <w:adjustRightInd w:val="0"/>
        <w:ind w:left="640" w:hanging="640"/>
        <w:rPr>
          <w:noProof/>
          <w:szCs w:val="24"/>
        </w:rPr>
      </w:pPr>
      <w:r w:rsidRPr="0095385A">
        <w:rPr>
          <w:noProof/>
          <w:szCs w:val="24"/>
        </w:rPr>
        <w:t>[2]</w:t>
      </w:r>
      <w:r w:rsidRPr="0095385A">
        <w:rPr>
          <w:noProof/>
          <w:szCs w:val="24"/>
        </w:rPr>
        <w:tab/>
        <w:t xml:space="preserve">M. Kotobuki, “Preparation of Li-ion conductive ceramics through a sol-gel route,” </w:t>
      </w:r>
      <w:r w:rsidRPr="0095385A">
        <w:rPr>
          <w:i/>
          <w:iCs/>
          <w:noProof/>
          <w:szCs w:val="24"/>
        </w:rPr>
        <w:t>PsrcentreOrg</w:t>
      </w:r>
      <w:r w:rsidRPr="0095385A">
        <w:rPr>
          <w:noProof/>
          <w:szCs w:val="24"/>
        </w:rPr>
        <w:t>, vol. 3, pp. 165–167, 2012.</w:t>
      </w:r>
    </w:p>
    <w:p w:rsidR="0095385A" w:rsidRPr="0095385A" w:rsidRDefault="0095385A" w:rsidP="0095385A">
      <w:pPr>
        <w:autoSpaceDE w:val="0"/>
        <w:autoSpaceDN w:val="0"/>
        <w:adjustRightInd w:val="0"/>
        <w:ind w:left="640" w:hanging="640"/>
        <w:rPr>
          <w:noProof/>
          <w:szCs w:val="24"/>
        </w:rPr>
      </w:pPr>
      <w:r w:rsidRPr="0095385A">
        <w:rPr>
          <w:noProof/>
          <w:szCs w:val="24"/>
        </w:rPr>
        <w:t>[3]</w:t>
      </w:r>
      <w:r w:rsidRPr="0095385A">
        <w:rPr>
          <w:noProof/>
          <w:szCs w:val="24"/>
        </w:rPr>
        <w:tab/>
        <w:t xml:space="preserve">J. K. Feng, B. G. Yan, J. C. Liu, M. O. Lai, and L. Li, “All solid state lithium ion rechargeable batteries using NASICON structured electrolyte,” </w:t>
      </w:r>
      <w:r w:rsidRPr="0095385A">
        <w:rPr>
          <w:i/>
          <w:iCs/>
          <w:noProof/>
          <w:szCs w:val="24"/>
        </w:rPr>
        <w:t>Materials Technology</w:t>
      </w:r>
      <w:r w:rsidRPr="0095385A">
        <w:rPr>
          <w:noProof/>
          <w:szCs w:val="24"/>
        </w:rPr>
        <w:t>, vol. 28, no. 5, pp. 276–279, 2013.</w:t>
      </w:r>
    </w:p>
    <w:p w:rsidR="0095385A" w:rsidRPr="0095385A" w:rsidRDefault="0095385A" w:rsidP="0095385A">
      <w:pPr>
        <w:autoSpaceDE w:val="0"/>
        <w:autoSpaceDN w:val="0"/>
        <w:adjustRightInd w:val="0"/>
        <w:ind w:left="640" w:hanging="640"/>
        <w:rPr>
          <w:noProof/>
          <w:szCs w:val="24"/>
        </w:rPr>
      </w:pPr>
      <w:r w:rsidRPr="0095385A">
        <w:rPr>
          <w:noProof/>
          <w:szCs w:val="24"/>
        </w:rPr>
        <w:t>[4]</w:t>
      </w:r>
      <w:r w:rsidRPr="0095385A">
        <w:rPr>
          <w:noProof/>
          <w:szCs w:val="24"/>
        </w:rPr>
        <w:tab/>
        <w:t>C. Cao, Z. Li, X. Wang, X. Zhao, and W. Han, “Recent advances in inorganic solid electrolytes for lithium batteries,” vol. 2, no. June, pp. 1–10, 2014.</w:t>
      </w:r>
    </w:p>
    <w:p w:rsidR="0095385A" w:rsidRPr="0095385A" w:rsidRDefault="0095385A" w:rsidP="0095385A">
      <w:pPr>
        <w:autoSpaceDE w:val="0"/>
        <w:autoSpaceDN w:val="0"/>
        <w:adjustRightInd w:val="0"/>
        <w:ind w:left="640" w:hanging="640"/>
        <w:rPr>
          <w:noProof/>
          <w:szCs w:val="24"/>
        </w:rPr>
      </w:pPr>
      <w:r w:rsidRPr="0095385A">
        <w:rPr>
          <w:noProof/>
          <w:szCs w:val="24"/>
        </w:rPr>
        <w:t>[5]</w:t>
      </w:r>
      <w:r w:rsidRPr="0095385A">
        <w:rPr>
          <w:noProof/>
          <w:szCs w:val="24"/>
        </w:rPr>
        <w:tab/>
        <w:t xml:space="preserve">S. Wang, L. Ben, H. Li, and L. Chen, “Identifying Li+ ion transport properties of aluminum doped lithium titanium phosphate solid electrolyte at wide temperature range,” </w:t>
      </w:r>
      <w:r w:rsidRPr="0095385A">
        <w:rPr>
          <w:i/>
          <w:iCs/>
          <w:noProof/>
          <w:szCs w:val="24"/>
        </w:rPr>
        <w:t>Solid State Ionics</w:t>
      </w:r>
      <w:r w:rsidRPr="0095385A">
        <w:rPr>
          <w:noProof/>
          <w:szCs w:val="24"/>
        </w:rPr>
        <w:t>, vol. 268, pp. 110–116, 2014.</w:t>
      </w:r>
    </w:p>
    <w:p w:rsidR="0095385A" w:rsidRPr="0095385A" w:rsidRDefault="0095385A" w:rsidP="0095385A">
      <w:pPr>
        <w:autoSpaceDE w:val="0"/>
        <w:autoSpaceDN w:val="0"/>
        <w:adjustRightInd w:val="0"/>
        <w:ind w:left="640" w:hanging="640"/>
        <w:rPr>
          <w:noProof/>
          <w:szCs w:val="24"/>
        </w:rPr>
      </w:pPr>
      <w:r w:rsidRPr="0095385A">
        <w:rPr>
          <w:noProof/>
          <w:szCs w:val="24"/>
        </w:rPr>
        <w:t>[6]</w:t>
      </w:r>
      <w:r w:rsidRPr="0095385A">
        <w:rPr>
          <w:noProof/>
          <w:szCs w:val="24"/>
        </w:rPr>
        <w:tab/>
        <w:t xml:space="preserve">K. Arbi, W. Bucheli, R. Jiménez, and J. Sanz, “High lithium ion conducting solid electrolytes based on NASICON Li1+xAlxM2−x(PO4)3 materials (M=Ti, Ge and 0≤x≤0.5),” </w:t>
      </w:r>
      <w:r w:rsidRPr="0095385A">
        <w:rPr>
          <w:i/>
          <w:iCs/>
          <w:noProof/>
          <w:szCs w:val="24"/>
        </w:rPr>
        <w:t>Journal of the European Ceramic Society</w:t>
      </w:r>
      <w:r w:rsidRPr="0095385A">
        <w:rPr>
          <w:noProof/>
          <w:szCs w:val="24"/>
        </w:rPr>
        <w:t>, vol. 35, no. 5, pp. 1477–1484, 2015.</w:t>
      </w:r>
    </w:p>
    <w:p w:rsidR="0095385A" w:rsidRPr="0095385A" w:rsidRDefault="0095385A" w:rsidP="0095385A">
      <w:pPr>
        <w:autoSpaceDE w:val="0"/>
        <w:autoSpaceDN w:val="0"/>
        <w:adjustRightInd w:val="0"/>
        <w:ind w:left="640" w:hanging="640"/>
        <w:rPr>
          <w:noProof/>
          <w:szCs w:val="24"/>
        </w:rPr>
      </w:pPr>
      <w:r w:rsidRPr="0095385A">
        <w:rPr>
          <w:noProof/>
          <w:szCs w:val="24"/>
        </w:rPr>
        <w:t>[7]</w:t>
      </w:r>
      <w:r w:rsidRPr="0095385A">
        <w:rPr>
          <w:noProof/>
          <w:szCs w:val="24"/>
        </w:rPr>
        <w:tab/>
        <w:t xml:space="preserve">M. Pérez-Estébanez, J. Isasi-Marín,  a. Rivera-Calzada, C. León, and M. Nygren, “Spark plasma versus conventional sintering in the electrical properties of Nasicon-type materials,” </w:t>
      </w:r>
      <w:r w:rsidRPr="0095385A">
        <w:rPr>
          <w:i/>
          <w:iCs/>
          <w:noProof/>
          <w:szCs w:val="24"/>
        </w:rPr>
        <w:t>Journal of Alloys and Compounds</w:t>
      </w:r>
      <w:r w:rsidRPr="0095385A">
        <w:rPr>
          <w:noProof/>
          <w:szCs w:val="24"/>
        </w:rPr>
        <w:t>, vol. 651, pp. 636–642, 2015.</w:t>
      </w:r>
    </w:p>
    <w:p w:rsidR="0095385A" w:rsidRPr="0095385A" w:rsidRDefault="0095385A" w:rsidP="0095385A">
      <w:pPr>
        <w:autoSpaceDE w:val="0"/>
        <w:autoSpaceDN w:val="0"/>
        <w:adjustRightInd w:val="0"/>
        <w:ind w:left="640" w:hanging="640"/>
        <w:rPr>
          <w:noProof/>
          <w:szCs w:val="24"/>
        </w:rPr>
      </w:pPr>
      <w:r w:rsidRPr="0095385A">
        <w:rPr>
          <w:noProof/>
          <w:szCs w:val="24"/>
        </w:rPr>
        <w:t>[8]</w:t>
      </w:r>
      <w:r w:rsidRPr="0095385A">
        <w:rPr>
          <w:noProof/>
          <w:szCs w:val="24"/>
        </w:rPr>
        <w:tab/>
        <w:t xml:space="preserve">K. Takada, “Progress and prospective of solid-state lithium batteries,” </w:t>
      </w:r>
      <w:r w:rsidRPr="0095385A">
        <w:rPr>
          <w:i/>
          <w:iCs/>
          <w:noProof/>
          <w:szCs w:val="24"/>
        </w:rPr>
        <w:t>Acta Materialia</w:t>
      </w:r>
      <w:r w:rsidRPr="0095385A">
        <w:rPr>
          <w:noProof/>
          <w:szCs w:val="24"/>
        </w:rPr>
        <w:t>, vol. 61, no. 3, pp. 759–770, 2013.</w:t>
      </w:r>
    </w:p>
    <w:p w:rsidR="0095385A" w:rsidRPr="0095385A" w:rsidRDefault="0095385A" w:rsidP="0095385A">
      <w:pPr>
        <w:autoSpaceDE w:val="0"/>
        <w:autoSpaceDN w:val="0"/>
        <w:adjustRightInd w:val="0"/>
        <w:ind w:left="640" w:hanging="640"/>
        <w:rPr>
          <w:noProof/>
          <w:szCs w:val="24"/>
        </w:rPr>
      </w:pPr>
      <w:r w:rsidRPr="0095385A">
        <w:rPr>
          <w:noProof/>
          <w:szCs w:val="24"/>
        </w:rPr>
        <w:t>[9]</w:t>
      </w:r>
      <w:r w:rsidRPr="0095385A">
        <w:rPr>
          <w:noProof/>
          <w:szCs w:val="24"/>
        </w:rPr>
        <w:tab/>
        <w:t xml:space="preserve">M. Manickam and M. Takata, “Lithium insertion into Cr2(So4)3 frameworks: Variation of electrochemical behavior with cation substitution and nature of polyanion,” </w:t>
      </w:r>
      <w:r w:rsidRPr="0095385A">
        <w:rPr>
          <w:i/>
          <w:iCs/>
          <w:noProof/>
          <w:szCs w:val="24"/>
        </w:rPr>
        <w:t>Journal of Power Sources</w:t>
      </w:r>
      <w:r w:rsidRPr="0095385A">
        <w:rPr>
          <w:noProof/>
          <w:szCs w:val="24"/>
        </w:rPr>
        <w:t>, vol. 111, no. 1, pp. 104–108, 2002.</w:t>
      </w:r>
    </w:p>
    <w:p w:rsidR="0095385A" w:rsidRPr="0095385A" w:rsidRDefault="0095385A" w:rsidP="0095385A">
      <w:pPr>
        <w:autoSpaceDE w:val="0"/>
        <w:autoSpaceDN w:val="0"/>
        <w:adjustRightInd w:val="0"/>
        <w:ind w:left="640" w:hanging="640"/>
        <w:rPr>
          <w:noProof/>
          <w:szCs w:val="24"/>
        </w:rPr>
      </w:pPr>
      <w:r w:rsidRPr="0095385A">
        <w:rPr>
          <w:noProof/>
          <w:szCs w:val="24"/>
        </w:rPr>
        <w:t>[10]</w:t>
      </w:r>
      <w:r w:rsidRPr="0095385A">
        <w:rPr>
          <w:noProof/>
          <w:szCs w:val="24"/>
        </w:rPr>
        <w:tab/>
        <w:t xml:space="preserve">H. Rusdi, A. Abd Rahman, R. H. Y. Subban, and N. S. Mohamed, “Characterisation of Lithium Aluminium Titanium Phosphate as Solid Electrolytes Synthesized by Mechanical Milling Method,” </w:t>
      </w:r>
      <w:r w:rsidRPr="0095385A">
        <w:rPr>
          <w:i/>
          <w:iCs/>
          <w:noProof/>
          <w:szCs w:val="24"/>
        </w:rPr>
        <w:t>Advanced Materials Research</w:t>
      </w:r>
      <w:r w:rsidRPr="0095385A">
        <w:rPr>
          <w:noProof/>
          <w:szCs w:val="24"/>
        </w:rPr>
        <w:t>, vol. 545, pp. 190–194, 2012.</w:t>
      </w:r>
    </w:p>
    <w:p w:rsidR="0095385A" w:rsidRPr="0095385A" w:rsidRDefault="0095385A" w:rsidP="0095385A">
      <w:pPr>
        <w:autoSpaceDE w:val="0"/>
        <w:autoSpaceDN w:val="0"/>
        <w:adjustRightInd w:val="0"/>
        <w:ind w:left="640" w:hanging="640"/>
        <w:rPr>
          <w:noProof/>
          <w:szCs w:val="24"/>
        </w:rPr>
      </w:pPr>
      <w:r w:rsidRPr="0095385A">
        <w:rPr>
          <w:noProof/>
          <w:szCs w:val="24"/>
        </w:rPr>
        <w:t>[11]</w:t>
      </w:r>
      <w:r w:rsidRPr="0095385A">
        <w:rPr>
          <w:noProof/>
          <w:szCs w:val="24"/>
        </w:rPr>
        <w:tab/>
        <w:t xml:space="preserve">Ng Kei Hoa and Hasan Zuhudi Abdullah, “Preliminary Studies of the Effects of Polyethylene Glycol / Hydroxyapatite Powder- Binder System for 3D Printing Application,” </w:t>
      </w:r>
      <w:r w:rsidRPr="0095385A">
        <w:rPr>
          <w:i/>
          <w:iCs/>
          <w:noProof/>
          <w:szCs w:val="24"/>
        </w:rPr>
        <w:t>Advanced Materials Research</w:t>
      </w:r>
      <w:r w:rsidRPr="0095385A">
        <w:rPr>
          <w:noProof/>
          <w:szCs w:val="24"/>
        </w:rPr>
        <w:t>, vol. 1087, no. August, pp. 345–349, 2015.</w:t>
      </w:r>
    </w:p>
    <w:p w:rsidR="0095385A" w:rsidRPr="0095385A" w:rsidRDefault="0095385A" w:rsidP="0095385A">
      <w:pPr>
        <w:autoSpaceDE w:val="0"/>
        <w:autoSpaceDN w:val="0"/>
        <w:adjustRightInd w:val="0"/>
        <w:ind w:left="640" w:hanging="640"/>
        <w:rPr>
          <w:noProof/>
          <w:szCs w:val="24"/>
        </w:rPr>
      </w:pPr>
      <w:r w:rsidRPr="0095385A">
        <w:rPr>
          <w:noProof/>
          <w:szCs w:val="24"/>
        </w:rPr>
        <w:t>[12]</w:t>
      </w:r>
      <w:r w:rsidRPr="0095385A">
        <w:rPr>
          <w:noProof/>
          <w:szCs w:val="24"/>
        </w:rPr>
        <w:tab/>
        <w:t xml:space="preserve">Z. Ullah, S. Atiq, and S. Naseem, “Indexing the Diffraction Patterns and Investigating the Crystal Structure of Pb-doped Strontium Ferrites,” </w:t>
      </w:r>
      <w:r w:rsidRPr="0095385A">
        <w:rPr>
          <w:i/>
          <w:iCs/>
          <w:noProof/>
          <w:szCs w:val="24"/>
        </w:rPr>
        <w:t>Journal of Scientific Research</w:t>
      </w:r>
      <w:r w:rsidRPr="0095385A">
        <w:rPr>
          <w:noProof/>
          <w:szCs w:val="24"/>
        </w:rPr>
        <w:t>, vol. 5, no. 2, pp. 235–244, 2013.</w:t>
      </w:r>
    </w:p>
    <w:p w:rsidR="0095385A" w:rsidRPr="0095385A" w:rsidRDefault="0095385A" w:rsidP="0095385A">
      <w:pPr>
        <w:autoSpaceDE w:val="0"/>
        <w:autoSpaceDN w:val="0"/>
        <w:adjustRightInd w:val="0"/>
        <w:ind w:left="640" w:hanging="640"/>
        <w:rPr>
          <w:noProof/>
          <w:szCs w:val="24"/>
        </w:rPr>
      </w:pPr>
      <w:r w:rsidRPr="0095385A">
        <w:rPr>
          <w:noProof/>
          <w:szCs w:val="24"/>
        </w:rPr>
        <w:t>[13]</w:t>
      </w:r>
      <w:r w:rsidRPr="0095385A">
        <w:rPr>
          <w:noProof/>
          <w:szCs w:val="24"/>
        </w:rPr>
        <w:tab/>
        <w:t xml:space="preserve">Z. Xiao, S. Chen, and M. Guo, “Influence of Li3PO4 addition on properties of lithium ion-conductive electrolyte Li1.3Al0.3Ti1.7(PO4)3,” </w:t>
      </w:r>
      <w:r w:rsidRPr="0095385A">
        <w:rPr>
          <w:i/>
          <w:iCs/>
          <w:noProof/>
          <w:szCs w:val="24"/>
        </w:rPr>
        <w:t>Transactions of Nonferrous Metals Society of China</w:t>
      </w:r>
      <w:r w:rsidRPr="0095385A">
        <w:rPr>
          <w:noProof/>
          <w:szCs w:val="24"/>
        </w:rPr>
        <w:t>, vol. 21, no. 11, pp. 2454–2458, 2011.</w:t>
      </w:r>
    </w:p>
    <w:p w:rsidR="0095385A" w:rsidRPr="0095385A" w:rsidRDefault="0095385A" w:rsidP="0095385A">
      <w:pPr>
        <w:autoSpaceDE w:val="0"/>
        <w:autoSpaceDN w:val="0"/>
        <w:adjustRightInd w:val="0"/>
        <w:ind w:left="640" w:hanging="640"/>
        <w:rPr>
          <w:noProof/>
          <w:szCs w:val="24"/>
        </w:rPr>
      </w:pPr>
      <w:r w:rsidRPr="0095385A">
        <w:rPr>
          <w:noProof/>
          <w:szCs w:val="24"/>
        </w:rPr>
        <w:t>[14]</w:t>
      </w:r>
      <w:r w:rsidRPr="0095385A">
        <w:rPr>
          <w:noProof/>
          <w:szCs w:val="24"/>
        </w:rPr>
        <w:tab/>
        <w:t xml:space="preserve">C.-M. Chang, Y. Il Lee, S.-H. Hong, and H.-M. Park, “Spark Plasma Sintering of LiTi2(PO4)3-Based Solid Electrolytes,” </w:t>
      </w:r>
      <w:r w:rsidRPr="0095385A">
        <w:rPr>
          <w:i/>
          <w:iCs/>
          <w:noProof/>
          <w:szCs w:val="24"/>
        </w:rPr>
        <w:t>Journal of the American Ceramic Society</w:t>
      </w:r>
      <w:r w:rsidRPr="0095385A">
        <w:rPr>
          <w:noProof/>
          <w:szCs w:val="24"/>
        </w:rPr>
        <w:t>, vol. 88, no. 7, pp. 1803–1807, 2005.</w:t>
      </w:r>
    </w:p>
    <w:p w:rsidR="0095385A" w:rsidRPr="0095385A" w:rsidRDefault="0095385A" w:rsidP="0095385A">
      <w:pPr>
        <w:autoSpaceDE w:val="0"/>
        <w:autoSpaceDN w:val="0"/>
        <w:adjustRightInd w:val="0"/>
        <w:ind w:left="640" w:hanging="640"/>
        <w:rPr>
          <w:noProof/>
          <w:szCs w:val="24"/>
        </w:rPr>
      </w:pPr>
      <w:r w:rsidRPr="0095385A">
        <w:rPr>
          <w:noProof/>
          <w:szCs w:val="24"/>
        </w:rPr>
        <w:t>[15]</w:t>
      </w:r>
      <w:r w:rsidRPr="0095385A">
        <w:rPr>
          <w:noProof/>
          <w:szCs w:val="24"/>
        </w:rPr>
        <w:tab/>
        <w:t xml:space="preserve">X. Xu, Z. Wen, Z. Gu, X. Xu, and Z. Lin, “Preparation and characterization of lithium ion-conducting glass-ceramics in the Li1+xCrxGe2−x(PO4)3 system,” </w:t>
      </w:r>
      <w:r w:rsidRPr="0095385A">
        <w:rPr>
          <w:i/>
          <w:iCs/>
          <w:noProof/>
          <w:szCs w:val="24"/>
        </w:rPr>
        <w:t>Electrochemistry Communications</w:t>
      </w:r>
      <w:r w:rsidRPr="0095385A">
        <w:rPr>
          <w:noProof/>
          <w:szCs w:val="24"/>
        </w:rPr>
        <w:t>, vol. 6, no. 12, pp. 1233–1237, 2004.</w:t>
      </w:r>
    </w:p>
    <w:p w:rsidR="0095385A" w:rsidRPr="0095385A" w:rsidRDefault="0095385A" w:rsidP="0095385A">
      <w:pPr>
        <w:autoSpaceDE w:val="0"/>
        <w:autoSpaceDN w:val="0"/>
        <w:adjustRightInd w:val="0"/>
        <w:ind w:left="640" w:hanging="640"/>
        <w:rPr>
          <w:noProof/>
          <w:szCs w:val="24"/>
        </w:rPr>
      </w:pPr>
      <w:r w:rsidRPr="0095385A">
        <w:rPr>
          <w:noProof/>
          <w:szCs w:val="24"/>
        </w:rPr>
        <w:t>[16]</w:t>
      </w:r>
      <w:r w:rsidRPr="0095385A">
        <w:rPr>
          <w:noProof/>
          <w:szCs w:val="24"/>
        </w:rPr>
        <w:tab/>
        <w:t xml:space="preserve">K. Arbi, S. Mandal, J. M. Rojo, and J. Sanz, “Dependence of Ionic Conductivity on Composition of Fast Ionic Conductors Li1+xTi2-xAlx(PO4)3, 0 &lt; x &lt; 0.7. A Parallel NMR and Electric Impedance Study,” </w:t>
      </w:r>
      <w:r w:rsidRPr="0095385A">
        <w:rPr>
          <w:i/>
          <w:iCs/>
          <w:noProof/>
          <w:szCs w:val="24"/>
        </w:rPr>
        <w:t>Chemistry of Materials</w:t>
      </w:r>
      <w:r w:rsidRPr="0095385A">
        <w:rPr>
          <w:noProof/>
          <w:szCs w:val="24"/>
        </w:rPr>
        <w:t>, vol. 14, no. 20, pp. 1091–1097, 2002.</w:t>
      </w:r>
    </w:p>
    <w:p w:rsidR="0095385A" w:rsidRPr="0095385A" w:rsidRDefault="0095385A" w:rsidP="0095385A">
      <w:pPr>
        <w:autoSpaceDE w:val="0"/>
        <w:autoSpaceDN w:val="0"/>
        <w:adjustRightInd w:val="0"/>
        <w:ind w:left="640" w:hanging="640"/>
        <w:rPr>
          <w:noProof/>
        </w:rPr>
      </w:pPr>
      <w:r w:rsidRPr="0095385A">
        <w:rPr>
          <w:noProof/>
          <w:szCs w:val="24"/>
        </w:rPr>
        <w:t>[17]</w:t>
      </w:r>
      <w:r w:rsidRPr="0095385A">
        <w:rPr>
          <w:noProof/>
          <w:szCs w:val="24"/>
        </w:rPr>
        <w:tab/>
        <w:t xml:space="preserve">N. Gorodylova, V. Kosinová, P. Sulcová, P. Bělina, and M. Vlček, “Cr1/3Zr2P3O12 with unusual tetrahedral coordination of Cr(iii): peculiarities of the formation, thermal stability and application as a pigment.,” </w:t>
      </w:r>
      <w:r w:rsidRPr="0095385A">
        <w:rPr>
          <w:i/>
          <w:iCs/>
          <w:noProof/>
          <w:szCs w:val="24"/>
        </w:rPr>
        <w:t>Dalton transactions (Cambridge, England : 2003)</w:t>
      </w:r>
      <w:r w:rsidRPr="0095385A">
        <w:rPr>
          <w:noProof/>
          <w:szCs w:val="24"/>
        </w:rPr>
        <w:t>, vol. 43, no. 41, pp. 15439–49, 2014.</w:t>
      </w:r>
    </w:p>
    <w:p w:rsidR="00143896" w:rsidRPr="00363B40" w:rsidRDefault="00CD3E55" w:rsidP="0095385A">
      <w:pPr>
        <w:autoSpaceDE w:val="0"/>
        <w:autoSpaceDN w:val="0"/>
        <w:adjustRightInd w:val="0"/>
        <w:ind w:left="640" w:hanging="640"/>
        <w:rPr>
          <w:szCs w:val="24"/>
        </w:rPr>
      </w:pPr>
      <w:r w:rsidRPr="00363B40">
        <w:rPr>
          <w:szCs w:val="24"/>
        </w:rPr>
        <w:lastRenderedPageBreak/>
        <w:fldChar w:fldCharType="end"/>
      </w:r>
    </w:p>
    <w:sectPr w:rsidR="00143896" w:rsidRPr="00363B40" w:rsidSect="009818AF">
      <w:headerReference w:type="default" r:id="rId26"/>
      <w:footerReference w:type="even" r:id="rId27"/>
      <w:footerReference w:type="default" r:id="rId28"/>
      <w:pgSz w:w="11906" w:h="16838"/>
      <w:pgMar w:top="1418" w:right="1134" w:bottom="851" w:left="1134" w:header="1417" w:footer="85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0E9" w:rsidRDefault="00AB30E9" w:rsidP="00C51B4A">
      <w:r>
        <w:separator/>
      </w:r>
    </w:p>
  </w:endnote>
  <w:endnote w:type="continuationSeparator" w:id="0">
    <w:p w:rsidR="00AB30E9" w:rsidRDefault="00AB30E9" w:rsidP="00C51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A9D" w:rsidRDefault="00CD3E55" w:rsidP="00C51B4A">
    <w:pPr>
      <w:pStyle w:val="Footer"/>
      <w:framePr w:wrap="around" w:vAnchor="text" w:hAnchor="margin" w:xAlign="right" w:y="1"/>
      <w:rPr>
        <w:rStyle w:val="PageNumber"/>
      </w:rPr>
    </w:pPr>
    <w:r>
      <w:rPr>
        <w:rStyle w:val="PageNumber"/>
      </w:rPr>
      <w:fldChar w:fldCharType="begin"/>
    </w:r>
    <w:r w:rsidR="00336A9D">
      <w:rPr>
        <w:rStyle w:val="PageNumber"/>
      </w:rPr>
      <w:instrText xml:space="preserve">PAGE  </w:instrText>
    </w:r>
    <w:r>
      <w:rPr>
        <w:rStyle w:val="PageNumber"/>
      </w:rPr>
      <w:fldChar w:fldCharType="end"/>
    </w:r>
  </w:p>
  <w:p w:rsidR="00336A9D" w:rsidRDefault="00336A9D" w:rsidP="000D54F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A9D" w:rsidRDefault="00CD3E55" w:rsidP="00C51B4A">
    <w:pPr>
      <w:pStyle w:val="Footer"/>
      <w:framePr w:wrap="around" w:vAnchor="text" w:hAnchor="margin" w:xAlign="right" w:y="1"/>
      <w:rPr>
        <w:rStyle w:val="PageNumber"/>
      </w:rPr>
    </w:pPr>
    <w:r>
      <w:rPr>
        <w:rStyle w:val="PageNumber"/>
      </w:rPr>
      <w:fldChar w:fldCharType="begin"/>
    </w:r>
    <w:r w:rsidR="00336A9D">
      <w:rPr>
        <w:rStyle w:val="PageNumber"/>
      </w:rPr>
      <w:instrText xml:space="preserve">PAGE  </w:instrText>
    </w:r>
    <w:r>
      <w:rPr>
        <w:rStyle w:val="PageNumber"/>
      </w:rPr>
      <w:fldChar w:fldCharType="separate"/>
    </w:r>
    <w:r w:rsidR="00F8152F">
      <w:rPr>
        <w:rStyle w:val="PageNumber"/>
        <w:noProof/>
      </w:rPr>
      <w:t>1</w:t>
    </w:r>
    <w:r>
      <w:rPr>
        <w:rStyle w:val="PageNumber"/>
      </w:rPr>
      <w:fldChar w:fldCharType="end"/>
    </w:r>
  </w:p>
  <w:p w:rsidR="00336A9D" w:rsidRPr="000D54F5" w:rsidRDefault="00336A9D" w:rsidP="000D54F5">
    <w:pPr>
      <w:pStyle w:val="Footer"/>
      <w:ind w:right="360"/>
      <w:jc w:val="left"/>
      <w:rPr>
        <w:lang w:val="tr-T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0E9" w:rsidRDefault="00AB30E9" w:rsidP="00C51B4A">
      <w:r>
        <w:separator/>
      </w:r>
    </w:p>
  </w:footnote>
  <w:footnote w:type="continuationSeparator" w:id="0">
    <w:p w:rsidR="00AB30E9" w:rsidRDefault="00AB30E9" w:rsidP="00C51B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A9D" w:rsidRPr="00691D92" w:rsidRDefault="00336A9D" w:rsidP="00942407">
    <w:pPr>
      <w:pStyle w:val="Header"/>
      <w:tabs>
        <w:tab w:val="left" w:pos="774"/>
        <w:tab w:val="right" w:pos="7365"/>
      </w:tabs>
      <w:jc w:val="right"/>
      <w:rPr>
        <w:b/>
        <w:caps/>
        <w:sz w:val="20"/>
        <w:lang w:val="en-US"/>
      </w:rPr>
    </w:pPr>
    <w:r>
      <w:tab/>
    </w:r>
    <w:r>
      <w:tab/>
    </w:r>
    <w:r>
      <w:tab/>
    </w:r>
    <w:r>
      <w:rPr>
        <w:noProof/>
        <w:lang w:val="en-MY" w:eastAsia="en-MY"/>
      </w:rPr>
      <w:drawing>
        <wp:anchor distT="0" distB="0" distL="114300" distR="114300" simplePos="0" relativeHeight="251659264" behindDoc="0" locked="0" layoutInCell="1" allowOverlap="1">
          <wp:simplePos x="0" y="0"/>
          <wp:positionH relativeFrom="margin">
            <wp:posOffset>108121</wp:posOffset>
          </wp:positionH>
          <wp:positionV relativeFrom="paragraph">
            <wp:posOffset>-231775</wp:posOffset>
          </wp:positionV>
          <wp:extent cx="1221105" cy="6616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CONSESS\logo\LOGO3 - Copy.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21105" cy="661670"/>
                  </a:xfrm>
                  <a:prstGeom prst="rect">
                    <a:avLst/>
                  </a:prstGeom>
                  <a:noFill/>
                  <a:ln>
                    <a:noFill/>
                  </a:ln>
                </pic:spPr>
              </pic:pic>
            </a:graphicData>
          </a:graphic>
        </wp:anchor>
      </w:drawing>
    </w:r>
    <w:r w:rsidRPr="003B2E88">
      <w:t xml:space="preserve"> </w:t>
    </w:r>
    <w:r w:rsidRPr="003B2E88">
      <w:rPr>
        <w:rStyle w:val="Strong"/>
        <w:bCs w:val="0"/>
        <w:caps/>
        <w:sz w:val="20"/>
        <w:lang w:val="en-US"/>
      </w:rPr>
      <w:t>ICSEMSS</w:t>
    </w:r>
    <w:r w:rsidRPr="00691D92">
      <w:rPr>
        <w:rStyle w:val="Strong"/>
        <w:bCs w:val="0"/>
        <w:caps/>
        <w:sz w:val="20"/>
        <w:lang w:val="en-US"/>
      </w:rPr>
      <w:t>2016</w:t>
    </w:r>
  </w:p>
  <w:p w:rsidR="00336A9D" w:rsidRPr="00691D92" w:rsidRDefault="00336A9D" w:rsidP="0034136C">
    <w:pPr>
      <w:pStyle w:val="Header"/>
      <w:jc w:val="right"/>
      <w:rPr>
        <w:sz w:val="20"/>
        <w:lang w:val="es-ES"/>
      </w:rPr>
    </w:pPr>
    <w:r w:rsidRPr="00691D92">
      <w:rPr>
        <w:sz w:val="20"/>
        <w:lang w:val="es-ES"/>
      </w:rPr>
      <w:t xml:space="preserve">Universiti Teknologi Malaysia, Johor Bahru, Malaysia </w:t>
    </w:r>
    <w:r>
      <w:rPr>
        <w:sz w:val="20"/>
        <w:lang w:val="es-ES"/>
      </w:rPr>
      <w:t>6</w:t>
    </w:r>
    <w:r w:rsidRPr="00691D92">
      <w:rPr>
        <w:sz w:val="20"/>
        <w:lang w:val="es-ES"/>
      </w:rPr>
      <w:t>-</w:t>
    </w:r>
    <w:r>
      <w:rPr>
        <w:sz w:val="20"/>
        <w:lang w:val="es-ES"/>
      </w:rPr>
      <w:t>8</w:t>
    </w:r>
    <w:r w:rsidRPr="00691D92">
      <w:rPr>
        <w:sz w:val="20"/>
        <w:lang w:val="es-ES"/>
      </w:rPr>
      <w:t xml:space="preserve"> </w:t>
    </w:r>
    <w:r>
      <w:rPr>
        <w:sz w:val="20"/>
        <w:lang w:val="es-ES"/>
      </w:rPr>
      <w:t>October</w:t>
    </w:r>
    <w:r w:rsidRPr="00691D92">
      <w:rPr>
        <w:sz w:val="20"/>
        <w:lang w:val="es-ES"/>
      </w:rPr>
      <w:t xml:space="preserve"> 2016</w:t>
    </w:r>
  </w:p>
  <w:p w:rsidR="00336A9D" w:rsidRPr="0034136C" w:rsidRDefault="00336A9D" w:rsidP="0034136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AEuroSubSection"/>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0000002"/>
    <w:multiLevelType w:val="multilevel"/>
    <w:tmpl w:val="00000002"/>
    <w:name w:val="WW8Num6"/>
    <w:lvl w:ilvl="0">
      <w:start w:val="1"/>
      <w:numFmt w:val="decimal"/>
      <w:pStyle w:val="Reference"/>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E494148"/>
    <w:multiLevelType w:val="hybridMultilevel"/>
    <w:tmpl w:val="76F636FA"/>
    <w:lvl w:ilvl="0" w:tplc="31142C48">
      <w:start w:val="1"/>
      <w:numFmt w:val="decimal"/>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A0A036E"/>
    <w:multiLevelType w:val="singleLevel"/>
    <w:tmpl w:val="9B6CE31C"/>
    <w:lvl w:ilvl="0">
      <w:start w:val="1"/>
      <w:numFmt w:val="decimal"/>
      <w:lvlText w:val="[%1]"/>
      <w:lvlJc w:val="left"/>
      <w:pPr>
        <w:ind w:left="286" w:hanging="144"/>
      </w:pPr>
      <w:rPr>
        <w:rFonts w:hint="default"/>
      </w:rPr>
    </w:lvl>
  </w:abstractNum>
  <w:num w:numId="1">
    <w:abstractNumId w:val="0"/>
  </w:num>
  <w:num w:numId="2">
    <w:abstractNumId w:val="1"/>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B0A"/>
    <w:rsid w:val="000030C5"/>
    <w:rsid w:val="00013B56"/>
    <w:rsid w:val="00036A9E"/>
    <w:rsid w:val="00043C2D"/>
    <w:rsid w:val="00046BEF"/>
    <w:rsid w:val="00065915"/>
    <w:rsid w:val="00067384"/>
    <w:rsid w:val="00067D7A"/>
    <w:rsid w:val="000762B1"/>
    <w:rsid w:val="00080828"/>
    <w:rsid w:val="00083C06"/>
    <w:rsid w:val="00084CC8"/>
    <w:rsid w:val="00090A36"/>
    <w:rsid w:val="000A3654"/>
    <w:rsid w:val="000B3B0A"/>
    <w:rsid w:val="000B6E64"/>
    <w:rsid w:val="000D54F5"/>
    <w:rsid w:val="000D75FD"/>
    <w:rsid w:val="000D7E76"/>
    <w:rsid w:val="000E4A7B"/>
    <w:rsid w:val="000F3CCB"/>
    <w:rsid w:val="00143896"/>
    <w:rsid w:val="0014475F"/>
    <w:rsid w:val="001520CB"/>
    <w:rsid w:val="00157741"/>
    <w:rsid w:val="00164D56"/>
    <w:rsid w:val="00165736"/>
    <w:rsid w:val="00171152"/>
    <w:rsid w:val="00173AA2"/>
    <w:rsid w:val="001807C9"/>
    <w:rsid w:val="00181620"/>
    <w:rsid w:val="001A562C"/>
    <w:rsid w:val="001B13B2"/>
    <w:rsid w:val="001D4B7C"/>
    <w:rsid w:val="001D6EFE"/>
    <w:rsid w:val="001E10AC"/>
    <w:rsid w:val="001E6E70"/>
    <w:rsid w:val="001E7329"/>
    <w:rsid w:val="001F3CB1"/>
    <w:rsid w:val="00207128"/>
    <w:rsid w:val="0021066A"/>
    <w:rsid w:val="00214F91"/>
    <w:rsid w:val="00215457"/>
    <w:rsid w:val="00215587"/>
    <w:rsid w:val="002342DD"/>
    <w:rsid w:val="002345BD"/>
    <w:rsid w:val="00243BE8"/>
    <w:rsid w:val="00246433"/>
    <w:rsid w:val="00250382"/>
    <w:rsid w:val="00253E59"/>
    <w:rsid w:val="00255751"/>
    <w:rsid w:val="00266087"/>
    <w:rsid w:val="00271A38"/>
    <w:rsid w:val="00272A06"/>
    <w:rsid w:val="00274439"/>
    <w:rsid w:val="00277C22"/>
    <w:rsid w:val="00280987"/>
    <w:rsid w:val="00281E47"/>
    <w:rsid w:val="0028544F"/>
    <w:rsid w:val="00292160"/>
    <w:rsid w:val="002A0130"/>
    <w:rsid w:val="002A41F8"/>
    <w:rsid w:val="002B0E79"/>
    <w:rsid w:val="002C186E"/>
    <w:rsid w:val="002D1E77"/>
    <w:rsid w:val="002D33DE"/>
    <w:rsid w:val="002F2ADA"/>
    <w:rsid w:val="002F397D"/>
    <w:rsid w:val="00311A0C"/>
    <w:rsid w:val="003151E3"/>
    <w:rsid w:val="00315DEC"/>
    <w:rsid w:val="003269DE"/>
    <w:rsid w:val="00331CD6"/>
    <w:rsid w:val="00336A9D"/>
    <w:rsid w:val="00336F7A"/>
    <w:rsid w:val="00340D4C"/>
    <w:rsid w:val="0034136C"/>
    <w:rsid w:val="00342528"/>
    <w:rsid w:val="00347DA1"/>
    <w:rsid w:val="00363B40"/>
    <w:rsid w:val="00365841"/>
    <w:rsid w:val="00367481"/>
    <w:rsid w:val="003704D9"/>
    <w:rsid w:val="003762E1"/>
    <w:rsid w:val="00387A19"/>
    <w:rsid w:val="003B2E88"/>
    <w:rsid w:val="003C360D"/>
    <w:rsid w:val="003E0BBD"/>
    <w:rsid w:val="003F0656"/>
    <w:rsid w:val="003F305F"/>
    <w:rsid w:val="003F4030"/>
    <w:rsid w:val="003F41B4"/>
    <w:rsid w:val="00403759"/>
    <w:rsid w:val="00417C6B"/>
    <w:rsid w:val="004326C5"/>
    <w:rsid w:val="004361DF"/>
    <w:rsid w:val="00437A8F"/>
    <w:rsid w:val="004479A2"/>
    <w:rsid w:val="0046424A"/>
    <w:rsid w:val="00464B85"/>
    <w:rsid w:val="00483471"/>
    <w:rsid w:val="00492E4F"/>
    <w:rsid w:val="0049624C"/>
    <w:rsid w:val="004B0FC9"/>
    <w:rsid w:val="004B37D8"/>
    <w:rsid w:val="004B50B4"/>
    <w:rsid w:val="004C72AB"/>
    <w:rsid w:val="004D3365"/>
    <w:rsid w:val="004D3739"/>
    <w:rsid w:val="004E68FA"/>
    <w:rsid w:val="004F16B5"/>
    <w:rsid w:val="00501B12"/>
    <w:rsid w:val="00502F8E"/>
    <w:rsid w:val="00512BED"/>
    <w:rsid w:val="00513A76"/>
    <w:rsid w:val="0051612D"/>
    <w:rsid w:val="00516D33"/>
    <w:rsid w:val="00547532"/>
    <w:rsid w:val="00552FCC"/>
    <w:rsid w:val="00563E24"/>
    <w:rsid w:val="005803FC"/>
    <w:rsid w:val="00594212"/>
    <w:rsid w:val="005945B5"/>
    <w:rsid w:val="005A719D"/>
    <w:rsid w:val="005B5DF8"/>
    <w:rsid w:val="005D1933"/>
    <w:rsid w:val="005E5062"/>
    <w:rsid w:val="005F2B30"/>
    <w:rsid w:val="005F3195"/>
    <w:rsid w:val="00615E8D"/>
    <w:rsid w:val="00620A30"/>
    <w:rsid w:val="00653FA1"/>
    <w:rsid w:val="00657F14"/>
    <w:rsid w:val="00667B22"/>
    <w:rsid w:val="0068081C"/>
    <w:rsid w:val="00681F98"/>
    <w:rsid w:val="00684D4C"/>
    <w:rsid w:val="00691D92"/>
    <w:rsid w:val="00694D0E"/>
    <w:rsid w:val="006A495E"/>
    <w:rsid w:val="006B32B1"/>
    <w:rsid w:val="006C01D7"/>
    <w:rsid w:val="006C2F73"/>
    <w:rsid w:val="006D7A71"/>
    <w:rsid w:val="006E383F"/>
    <w:rsid w:val="00704419"/>
    <w:rsid w:val="00706E9B"/>
    <w:rsid w:val="007317BD"/>
    <w:rsid w:val="007411A9"/>
    <w:rsid w:val="00753ECC"/>
    <w:rsid w:val="00764B80"/>
    <w:rsid w:val="00773523"/>
    <w:rsid w:val="00785D6A"/>
    <w:rsid w:val="007911A2"/>
    <w:rsid w:val="00797BDE"/>
    <w:rsid w:val="00797F3F"/>
    <w:rsid w:val="007A3574"/>
    <w:rsid w:val="007A568E"/>
    <w:rsid w:val="007D48A3"/>
    <w:rsid w:val="007E5670"/>
    <w:rsid w:val="007E5C44"/>
    <w:rsid w:val="007E663F"/>
    <w:rsid w:val="007F4AF8"/>
    <w:rsid w:val="008011AD"/>
    <w:rsid w:val="00801C22"/>
    <w:rsid w:val="008038A2"/>
    <w:rsid w:val="0080582A"/>
    <w:rsid w:val="008107F1"/>
    <w:rsid w:val="008161E9"/>
    <w:rsid w:val="00824A7E"/>
    <w:rsid w:val="008326E0"/>
    <w:rsid w:val="0085334A"/>
    <w:rsid w:val="00863E13"/>
    <w:rsid w:val="008674D6"/>
    <w:rsid w:val="00874789"/>
    <w:rsid w:val="008912F0"/>
    <w:rsid w:val="008C1FCC"/>
    <w:rsid w:val="008C4BAE"/>
    <w:rsid w:val="008C72EE"/>
    <w:rsid w:val="008C74C7"/>
    <w:rsid w:val="008D1BE8"/>
    <w:rsid w:val="008D32DC"/>
    <w:rsid w:val="008D70A6"/>
    <w:rsid w:val="0091411E"/>
    <w:rsid w:val="00917823"/>
    <w:rsid w:val="009214D0"/>
    <w:rsid w:val="00942407"/>
    <w:rsid w:val="00950E42"/>
    <w:rsid w:val="009512B9"/>
    <w:rsid w:val="0095385A"/>
    <w:rsid w:val="00966E66"/>
    <w:rsid w:val="0097281E"/>
    <w:rsid w:val="009818AF"/>
    <w:rsid w:val="00991EA1"/>
    <w:rsid w:val="009A0983"/>
    <w:rsid w:val="009A1C0E"/>
    <w:rsid w:val="009B661A"/>
    <w:rsid w:val="009C1DC9"/>
    <w:rsid w:val="009D4E95"/>
    <w:rsid w:val="009E597A"/>
    <w:rsid w:val="009F730C"/>
    <w:rsid w:val="00A019B1"/>
    <w:rsid w:val="00A21D98"/>
    <w:rsid w:val="00A25D46"/>
    <w:rsid w:val="00A353FA"/>
    <w:rsid w:val="00A421FD"/>
    <w:rsid w:val="00A71779"/>
    <w:rsid w:val="00A75AC2"/>
    <w:rsid w:val="00A80237"/>
    <w:rsid w:val="00A82657"/>
    <w:rsid w:val="00AA0788"/>
    <w:rsid w:val="00AA594E"/>
    <w:rsid w:val="00AB30E9"/>
    <w:rsid w:val="00AC76AB"/>
    <w:rsid w:val="00AD768B"/>
    <w:rsid w:val="00AE2983"/>
    <w:rsid w:val="00AE7F16"/>
    <w:rsid w:val="00B12E4C"/>
    <w:rsid w:val="00B141D9"/>
    <w:rsid w:val="00B240B4"/>
    <w:rsid w:val="00B26DD7"/>
    <w:rsid w:val="00B31155"/>
    <w:rsid w:val="00B31221"/>
    <w:rsid w:val="00B314EA"/>
    <w:rsid w:val="00B36CBB"/>
    <w:rsid w:val="00B3726F"/>
    <w:rsid w:val="00B53D53"/>
    <w:rsid w:val="00B65164"/>
    <w:rsid w:val="00B76A57"/>
    <w:rsid w:val="00B850E6"/>
    <w:rsid w:val="00B863C3"/>
    <w:rsid w:val="00BC49AE"/>
    <w:rsid w:val="00BF3BA7"/>
    <w:rsid w:val="00C06293"/>
    <w:rsid w:val="00C1599B"/>
    <w:rsid w:val="00C17E36"/>
    <w:rsid w:val="00C31ACC"/>
    <w:rsid w:val="00C35AE7"/>
    <w:rsid w:val="00C47606"/>
    <w:rsid w:val="00C47FA2"/>
    <w:rsid w:val="00C51B4A"/>
    <w:rsid w:val="00C541F2"/>
    <w:rsid w:val="00C63A97"/>
    <w:rsid w:val="00C87825"/>
    <w:rsid w:val="00C90590"/>
    <w:rsid w:val="00C92FF7"/>
    <w:rsid w:val="00C933D3"/>
    <w:rsid w:val="00C93667"/>
    <w:rsid w:val="00CA236D"/>
    <w:rsid w:val="00CB0FC8"/>
    <w:rsid w:val="00CB313C"/>
    <w:rsid w:val="00CB3E4D"/>
    <w:rsid w:val="00CB575D"/>
    <w:rsid w:val="00CB5D90"/>
    <w:rsid w:val="00CB7D7A"/>
    <w:rsid w:val="00CD3ACF"/>
    <w:rsid w:val="00CD3E55"/>
    <w:rsid w:val="00CD3FDF"/>
    <w:rsid w:val="00CD74C5"/>
    <w:rsid w:val="00CE1D46"/>
    <w:rsid w:val="00CE52E8"/>
    <w:rsid w:val="00D016AE"/>
    <w:rsid w:val="00D16FF0"/>
    <w:rsid w:val="00D20180"/>
    <w:rsid w:val="00D20747"/>
    <w:rsid w:val="00D312FA"/>
    <w:rsid w:val="00D31EAF"/>
    <w:rsid w:val="00D5091C"/>
    <w:rsid w:val="00D570AF"/>
    <w:rsid w:val="00D6094E"/>
    <w:rsid w:val="00D813AA"/>
    <w:rsid w:val="00D8485B"/>
    <w:rsid w:val="00D904F5"/>
    <w:rsid w:val="00D97B80"/>
    <w:rsid w:val="00DC04C2"/>
    <w:rsid w:val="00DC51D8"/>
    <w:rsid w:val="00DD25A0"/>
    <w:rsid w:val="00DD30A7"/>
    <w:rsid w:val="00DE16E1"/>
    <w:rsid w:val="00DE2D39"/>
    <w:rsid w:val="00DF1EE0"/>
    <w:rsid w:val="00E119DB"/>
    <w:rsid w:val="00E16686"/>
    <w:rsid w:val="00E2089F"/>
    <w:rsid w:val="00E22DE3"/>
    <w:rsid w:val="00E366D7"/>
    <w:rsid w:val="00E51DA9"/>
    <w:rsid w:val="00E53439"/>
    <w:rsid w:val="00E55D38"/>
    <w:rsid w:val="00E60C58"/>
    <w:rsid w:val="00E61D92"/>
    <w:rsid w:val="00E66BB0"/>
    <w:rsid w:val="00E8655A"/>
    <w:rsid w:val="00EB3F05"/>
    <w:rsid w:val="00ED000A"/>
    <w:rsid w:val="00ED63B0"/>
    <w:rsid w:val="00F04F51"/>
    <w:rsid w:val="00F05D37"/>
    <w:rsid w:val="00F1067A"/>
    <w:rsid w:val="00F264DF"/>
    <w:rsid w:val="00F45F5C"/>
    <w:rsid w:val="00F55DBA"/>
    <w:rsid w:val="00F57010"/>
    <w:rsid w:val="00F574B2"/>
    <w:rsid w:val="00F80CD2"/>
    <w:rsid w:val="00F8152F"/>
    <w:rsid w:val="00F90945"/>
    <w:rsid w:val="00F96BD1"/>
    <w:rsid w:val="00FA7509"/>
    <w:rsid w:val="00FB19B5"/>
    <w:rsid w:val="00FB2A84"/>
    <w:rsid w:val="00FD3784"/>
    <w:rsid w:val="00FD53E2"/>
    <w:rsid w:val="00FD59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E2E1368"/>
  <w15:docId w15:val="{5711AD5E-17C4-451C-B464-486F1793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F91"/>
    <w:pPr>
      <w:widowControl w:val="0"/>
      <w:suppressAutoHyphens/>
    </w:pPr>
    <w:rPr>
      <w:sz w:val="24"/>
      <w:lang w:val="en-GB" w:eastAsia="ar-SA"/>
    </w:rPr>
  </w:style>
  <w:style w:type="paragraph" w:styleId="Heading1">
    <w:name w:val="heading 1"/>
    <w:basedOn w:val="Normal"/>
    <w:next w:val="Normal"/>
    <w:qFormat/>
    <w:rsid w:val="00214F91"/>
    <w:pPr>
      <w:keepNext/>
      <w:tabs>
        <w:tab w:val="left" w:pos="567"/>
      </w:tabs>
      <w:spacing w:after="180" w:line="280" w:lineRule="exact"/>
      <w:outlineLvl w:val="0"/>
    </w:pPr>
    <w:rPr>
      <w:b/>
      <w:kern w:val="1"/>
      <w:sz w:val="28"/>
    </w:rPr>
  </w:style>
  <w:style w:type="paragraph" w:styleId="Heading2">
    <w:name w:val="heading 2"/>
    <w:basedOn w:val="Normal"/>
    <w:next w:val="Normal"/>
    <w:qFormat/>
    <w:rsid w:val="00214F91"/>
    <w:pPr>
      <w:keepNext/>
      <w:widowControl/>
      <w:spacing w:after="180" w:line="240" w:lineRule="exact"/>
      <w:outlineLvl w:val="1"/>
    </w:pPr>
    <w:rPr>
      <w:b/>
      <w:kern w:val="1"/>
    </w:rPr>
  </w:style>
  <w:style w:type="paragraph" w:styleId="Heading3">
    <w:name w:val="heading 3"/>
    <w:basedOn w:val="Normal"/>
    <w:next w:val="Normal"/>
    <w:qFormat/>
    <w:rsid w:val="00214F91"/>
    <w:pPr>
      <w:keepNext/>
      <w:spacing w:before="240" w:after="60"/>
      <w:outlineLvl w:val="2"/>
    </w:pPr>
    <w:rPr>
      <w:rFonts w:ascii="Arial" w:hAnsi="Arial"/>
    </w:rPr>
  </w:style>
  <w:style w:type="paragraph" w:styleId="Heading4">
    <w:name w:val="heading 4"/>
    <w:basedOn w:val="Normal"/>
    <w:next w:val="Normal"/>
    <w:qFormat/>
    <w:rsid w:val="00214F91"/>
    <w:pPr>
      <w:keepNext/>
      <w:spacing w:before="240" w:after="60"/>
      <w:outlineLvl w:val="3"/>
    </w:pPr>
    <w:rPr>
      <w:rFonts w:ascii="Arial" w:hAnsi="Arial"/>
      <w:b/>
    </w:rPr>
  </w:style>
  <w:style w:type="paragraph" w:styleId="Heading5">
    <w:name w:val="heading 5"/>
    <w:basedOn w:val="Normal"/>
    <w:next w:val="Normal"/>
    <w:qFormat/>
    <w:rsid w:val="00214F91"/>
    <w:pPr>
      <w:spacing w:before="240" w:after="60"/>
      <w:outlineLvl w:val="4"/>
    </w:pPr>
    <w:rPr>
      <w:sz w:val="22"/>
    </w:rPr>
  </w:style>
  <w:style w:type="paragraph" w:styleId="Heading6">
    <w:name w:val="heading 6"/>
    <w:basedOn w:val="Normal"/>
    <w:next w:val="Normal"/>
    <w:qFormat/>
    <w:rsid w:val="00214F91"/>
    <w:pPr>
      <w:spacing w:before="240" w:after="60"/>
      <w:outlineLvl w:val="5"/>
    </w:pPr>
    <w:rPr>
      <w:i/>
      <w:sz w:val="22"/>
    </w:rPr>
  </w:style>
  <w:style w:type="paragraph" w:styleId="Heading7">
    <w:name w:val="heading 7"/>
    <w:basedOn w:val="Normal"/>
    <w:next w:val="Normal"/>
    <w:qFormat/>
    <w:rsid w:val="00214F91"/>
    <w:pPr>
      <w:spacing w:before="240" w:after="60"/>
      <w:outlineLvl w:val="6"/>
    </w:pPr>
    <w:rPr>
      <w:rFonts w:ascii="Arial" w:hAnsi="Arial"/>
    </w:rPr>
  </w:style>
  <w:style w:type="paragraph" w:styleId="Heading8">
    <w:name w:val="heading 8"/>
    <w:basedOn w:val="Normal"/>
    <w:next w:val="Normal"/>
    <w:qFormat/>
    <w:rsid w:val="00214F91"/>
    <w:pPr>
      <w:spacing w:before="240" w:after="60"/>
      <w:outlineLvl w:val="7"/>
    </w:pPr>
    <w:rPr>
      <w:rFonts w:ascii="Arial" w:hAnsi="Arial"/>
      <w:i/>
    </w:rPr>
  </w:style>
  <w:style w:type="paragraph" w:styleId="Heading9">
    <w:name w:val="heading 9"/>
    <w:basedOn w:val="Normal"/>
    <w:next w:val="Normal"/>
    <w:qFormat/>
    <w:rsid w:val="00214F91"/>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214F91"/>
    <w:rPr>
      <w:rFonts w:ascii="Arial" w:eastAsia="Times New Roman" w:hAnsi="Arial" w:cs="Arial"/>
      <w:sz w:val="24"/>
    </w:rPr>
  </w:style>
  <w:style w:type="character" w:customStyle="1" w:styleId="WW8Num1z1">
    <w:name w:val="WW8Num1z1"/>
    <w:rsid w:val="00214F91"/>
    <w:rPr>
      <w:rFonts w:ascii="Courier New" w:hAnsi="Courier New"/>
    </w:rPr>
  </w:style>
  <w:style w:type="character" w:customStyle="1" w:styleId="WW8Num1z2">
    <w:name w:val="WW8Num1z2"/>
    <w:rsid w:val="00214F91"/>
    <w:rPr>
      <w:rFonts w:ascii="Wingdings" w:hAnsi="Wingdings"/>
    </w:rPr>
  </w:style>
  <w:style w:type="character" w:customStyle="1" w:styleId="WW8Num1z3">
    <w:name w:val="WW8Num1z3"/>
    <w:rsid w:val="00214F91"/>
    <w:rPr>
      <w:rFonts w:ascii="Symbol" w:hAnsi="Symbol"/>
    </w:rPr>
  </w:style>
  <w:style w:type="character" w:customStyle="1" w:styleId="WW8Num2z1">
    <w:name w:val="WW8Num2z1"/>
    <w:rsid w:val="00214F91"/>
    <w:rPr>
      <w:rFonts w:ascii="Arial" w:eastAsia="Times New Roman" w:hAnsi="Arial" w:cs="Arial"/>
      <w:sz w:val="24"/>
    </w:rPr>
  </w:style>
  <w:style w:type="character" w:customStyle="1" w:styleId="WW8Num4z0">
    <w:name w:val="WW8Num4z0"/>
    <w:rsid w:val="00214F91"/>
    <w:rPr>
      <w:rFonts w:ascii="Symbol" w:hAnsi="Symbol"/>
    </w:rPr>
  </w:style>
  <w:style w:type="character" w:customStyle="1" w:styleId="WW8Num5z0">
    <w:name w:val="WW8Num5z0"/>
    <w:rsid w:val="00214F91"/>
    <w:rPr>
      <w:rFonts w:ascii="Arial" w:eastAsia="Times New Roman" w:hAnsi="Arial" w:cs="Arial"/>
      <w:sz w:val="24"/>
    </w:rPr>
  </w:style>
  <w:style w:type="character" w:customStyle="1" w:styleId="WW8Num5z1">
    <w:name w:val="WW8Num5z1"/>
    <w:rsid w:val="00214F91"/>
    <w:rPr>
      <w:rFonts w:ascii="Courier New" w:hAnsi="Courier New"/>
    </w:rPr>
  </w:style>
  <w:style w:type="character" w:customStyle="1" w:styleId="WW8Num5z2">
    <w:name w:val="WW8Num5z2"/>
    <w:rsid w:val="00214F91"/>
    <w:rPr>
      <w:rFonts w:ascii="Wingdings" w:hAnsi="Wingdings"/>
    </w:rPr>
  </w:style>
  <w:style w:type="character" w:customStyle="1" w:styleId="WW8Num5z3">
    <w:name w:val="WW8Num5z3"/>
    <w:rsid w:val="00214F91"/>
    <w:rPr>
      <w:rFonts w:ascii="Symbol" w:hAnsi="Symbol"/>
    </w:rPr>
  </w:style>
  <w:style w:type="character" w:customStyle="1" w:styleId="WW8Num7z0">
    <w:name w:val="WW8Num7z0"/>
    <w:rsid w:val="00214F91"/>
    <w:rPr>
      <w:rFonts w:ascii="Arial" w:eastAsia="Times New Roman" w:hAnsi="Arial" w:cs="Arial"/>
      <w:sz w:val="24"/>
    </w:rPr>
  </w:style>
  <w:style w:type="character" w:customStyle="1" w:styleId="WW8Num7z1">
    <w:name w:val="WW8Num7z1"/>
    <w:rsid w:val="00214F91"/>
    <w:rPr>
      <w:rFonts w:ascii="Courier New" w:hAnsi="Courier New"/>
    </w:rPr>
  </w:style>
  <w:style w:type="character" w:customStyle="1" w:styleId="WW8Num7z2">
    <w:name w:val="WW8Num7z2"/>
    <w:rsid w:val="00214F91"/>
    <w:rPr>
      <w:rFonts w:ascii="Wingdings" w:hAnsi="Wingdings"/>
    </w:rPr>
  </w:style>
  <w:style w:type="character" w:customStyle="1" w:styleId="WW8Num7z3">
    <w:name w:val="WW8Num7z3"/>
    <w:rsid w:val="00214F91"/>
    <w:rPr>
      <w:rFonts w:ascii="Symbol" w:hAnsi="Symbol"/>
    </w:rPr>
  </w:style>
  <w:style w:type="character" w:customStyle="1" w:styleId="WW8Num8z0">
    <w:name w:val="WW8Num8z0"/>
    <w:rsid w:val="00214F91"/>
    <w:rPr>
      <w:rFonts w:ascii="Arial" w:eastAsia="Times New Roman" w:hAnsi="Arial" w:cs="Arial"/>
      <w:sz w:val="24"/>
    </w:rPr>
  </w:style>
  <w:style w:type="character" w:customStyle="1" w:styleId="WW8Num8z1">
    <w:name w:val="WW8Num8z1"/>
    <w:rsid w:val="00214F91"/>
    <w:rPr>
      <w:rFonts w:ascii="Courier New" w:hAnsi="Courier New"/>
    </w:rPr>
  </w:style>
  <w:style w:type="character" w:customStyle="1" w:styleId="WW8Num8z2">
    <w:name w:val="WW8Num8z2"/>
    <w:rsid w:val="00214F91"/>
    <w:rPr>
      <w:rFonts w:ascii="Wingdings" w:hAnsi="Wingdings"/>
    </w:rPr>
  </w:style>
  <w:style w:type="character" w:customStyle="1" w:styleId="WW8Num8z3">
    <w:name w:val="WW8Num8z3"/>
    <w:rsid w:val="00214F91"/>
    <w:rPr>
      <w:rFonts w:ascii="Symbol" w:hAnsi="Symbol"/>
    </w:rPr>
  </w:style>
  <w:style w:type="character" w:customStyle="1" w:styleId="WW8Num9z0">
    <w:name w:val="WW8Num9z0"/>
    <w:rsid w:val="00214F91"/>
    <w:rPr>
      <w:rFonts w:ascii="Symbol" w:hAnsi="Symbol"/>
    </w:rPr>
  </w:style>
  <w:style w:type="character" w:customStyle="1" w:styleId="WW8Num9z1">
    <w:name w:val="WW8Num9z1"/>
    <w:rsid w:val="00214F91"/>
    <w:rPr>
      <w:rFonts w:ascii="Courier New" w:hAnsi="Courier New"/>
    </w:rPr>
  </w:style>
  <w:style w:type="character" w:customStyle="1" w:styleId="WW8Num9z2">
    <w:name w:val="WW8Num9z2"/>
    <w:rsid w:val="00214F91"/>
    <w:rPr>
      <w:rFonts w:ascii="Wingdings" w:hAnsi="Wingdings"/>
    </w:rPr>
  </w:style>
  <w:style w:type="character" w:customStyle="1" w:styleId="WW8Num11z0">
    <w:name w:val="WW8Num11z0"/>
    <w:rsid w:val="00214F91"/>
    <w:rPr>
      <w:rFonts w:ascii="Arial" w:eastAsia="Times New Roman" w:hAnsi="Arial" w:cs="Arial"/>
      <w:sz w:val="24"/>
    </w:rPr>
  </w:style>
  <w:style w:type="character" w:customStyle="1" w:styleId="WW8Num11z1">
    <w:name w:val="WW8Num11z1"/>
    <w:rsid w:val="00214F91"/>
    <w:rPr>
      <w:rFonts w:ascii="Courier New" w:hAnsi="Courier New"/>
    </w:rPr>
  </w:style>
  <w:style w:type="character" w:customStyle="1" w:styleId="WW8Num11z2">
    <w:name w:val="WW8Num11z2"/>
    <w:rsid w:val="00214F91"/>
    <w:rPr>
      <w:rFonts w:ascii="Wingdings" w:hAnsi="Wingdings"/>
    </w:rPr>
  </w:style>
  <w:style w:type="character" w:customStyle="1" w:styleId="WW8Num11z3">
    <w:name w:val="WW8Num11z3"/>
    <w:rsid w:val="00214F91"/>
    <w:rPr>
      <w:rFonts w:ascii="Symbol" w:hAnsi="Symbol"/>
    </w:rPr>
  </w:style>
  <w:style w:type="character" w:styleId="FollowedHyperlink">
    <w:name w:val="FollowedHyperlink"/>
    <w:rsid w:val="00214F91"/>
    <w:rPr>
      <w:rFonts w:ascii="Times New Roman" w:hAnsi="Times New Roman"/>
      <w:color w:val="000000"/>
      <w:sz w:val="24"/>
      <w:u w:val="none"/>
      <w:lang w:val="en-US"/>
    </w:rPr>
  </w:style>
  <w:style w:type="character" w:customStyle="1" w:styleId="FootnoteCharacters">
    <w:name w:val="Footnote Characters"/>
    <w:rsid w:val="00214F91"/>
    <w:rPr>
      <w:vertAlign w:val="superscript"/>
      <w:lang w:val="es-ES_tradnl"/>
    </w:rPr>
  </w:style>
  <w:style w:type="character" w:customStyle="1" w:styleId="EndnoteCharacters">
    <w:name w:val="Endnote Characters"/>
    <w:rsid w:val="00214F91"/>
    <w:rPr>
      <w:vertAlign w:val="superscript"/>
      <w:lang w:val="es-ES_tradnl"/>
    </w:rPr>
  </w:style>
  <w:style w:type="character" w:styleId="Hyperlink">
    <w:name w:val="Hyperlink"/>
    <w:rsid w:val="00214F91"/>
    <w:rPr>
      <w:rFonts w:ascii="Times New Roman" w:hAnsi="Times New Roman"/>
      <w:strike w:val="0"/>
      <w:dstrike w:val="0"/>
      <w:color w:val="000000"/>
      <w:position w:val="0"/>
      <w:sz w:val="24"/>
      <w:u w:val="none"/>
      <w:vertAlign w:val="baseline"/>
      <w:lang w:val="en-US"/>
    </w:rPr>
  </w:style>
  <w:style w:type="character" w:styleId="PageNumber">
    <w:name w:val="page number"/>
    <w:basedOn w:val="DefaultParagraphFont"/>
    <w:rsid w:val="00214F91"/>
  </w:style>
  <w:style w:type="character" w:customStyle="1" w:styleId="FootnoteTextChar">
    <w:name w:val="Footnote Text Char"/>
    <w:rsid w:val="00214F91"/>
    <w:rPr>
      <w:lang w:val="es-ES_tradnl"/>
    </w:rPr>
  </w:style>
  <w:style w:type="character" w:styleId="FootnoteReference">
    <w:name w:val="footnote reference"/>
    <w:rsid w:val="00214F91"/>
    <w:rPr>
      <w:vertAlign w:val="superscript"/>
    </w:rPr>
  </w:style>
  <w:style w:type="character" w:styleId="EndnoteReference">
    <w:name w:val="endnote reference"/>
    <w:rsid w:val="00214F91"/>
    <w:rPr>
      <w:vertAlign w:val="superscript"/>
    </w:rPr>
  </w:style>
  <w:style w:type="character" w:styleId="Strong">
    <w:name w:val="Strong"/>
    <w:qFormat/>
    <w:rsid w:val="00214F91"/>
    <w:rPr>
      <w:b/>
      <w:bCs/>
    </w:rPr>
  </w:style>
  <w:style w:type="paragraph" w:customStyle="1" w:styleId="Heading">
    <w:name w:val="Heading"/>
    <w:basedOn w:val="Normal"/>
    <w:next w:val="BodyText"/>
    <w:rsid w:val="00214F91"/>
    <w:pPr>
      <w:keepNext/>
      <w:spacing w:before="240" w:after="120"/>
    </w:pPr>
    <w:rPr>
      <w:rFonts w:ascii="Arial" w:eastAsia="Lucida Sans Unicode" w:hAnsi="Arial" w:cs="Mangal"/>
      <w:sz w:val="28"/>
      <w:szCs w:val="28"/>
    </w:rPr>
  </w:style>
  <w:style w:type="paragraph" w:styleId="BodyText">
    <w:name w:val="Body Text"/>
    <w:basedOn w:val="Normal"/>
    <w:rsid w:val="00214F91"/>
    <w:pPr>
      <w:spacing w:after="120"/>
    </w:pPr>
  </w:style>
  <w:style w:type="paragraph" w:styleId="List">
    <w:name w:val="List"/>
    <w:basedOn w:val="BodyText"/>
    <w:rsid w:val="00214F91"/>
    <w:rPr>
      <w:rFonts w:cs="Mangal"/>
    </w:rPr>
  </w:style>
  <w:style w:type="paragraph" w:styleId="Caption">
    <w:name w:val="caption"/>
    <w:basedOn w:val="Normal"/>
    <w:next w:val="Normal"/>
    <w:uiPriority w:val="35"/>
    <w:qFormat/>
    <w:rsid w:val="00214F91"/>
    <w:pPr>
      <w:spacing w:before="120" w:after="120"/>
    </w:pPr>
    <w:rPr>
      <w:b/>
      <w:bCs/>
      <w:sz w:val="20"/>
    </w:rPr>
  </w:style>
  <w:style w:type="paragraph" w:customStyle="1" w:styleId="Index">
    <w:name w:val="Index"/>
    <w:basedOn w:val="Normal"/>
    <w:rsid w:val="00214F91"/>
    <w:pPr>
      <w:suppressLineNumbers/>
    </w:pPr>
    <w:rPr>
      <w:rFonts w:cs="Mangal"/>
    </w:rPr>
  </w:style>
  <w:style w:type="paragraph" w:styleId="Footer">
    <w:name w:val="footer"/>
    <w:basedOn w:val="Normal"/>
    <w:rsid w:val="00214F91"/>
    <w:pPr>
      <w:tabs>
        <w:tab w:val="center" w:pos="4419"/>
        <w:tab w:val="right" w:pos="8838"/>
      </w:tabs>
      <w:jc w:val="center"/>
    </w:pPr>
  </w:style>
  <w:style w:type="paragraph" w:customStyle="1" w:styleId="AEuroNormal">
    <w:name w:val="AEuro.Normal"/>
    <w:rsid w:val="00214F91"/>
    <w:pPr>
      <w:suppressAutoHyphens/>
      <w:ind w:firstLine="284"/>
      <w:jc w:val="both"/>
    </w:pPr>
    <w:rPr>
      <w:rFonts w:eastAsia="Arial"/>
      <w:sz w:val="24"/>
      <w:lang w:eastAsia="ar-SA"/>
    </w:rPr>
  </w:style>
  <w:style w:type="paragraph" w:customStyle="1" w:styleId="AEuroSection">
    <w:name w:val="AEuro.Section"/>
    <w:basedOn w:val="AEuroNormal"/>
    <w:rsid w:val="00214F91"/>
    <w:pPr>
      <w:keepNext/>
      <w:keepLines/>
      <w:tabs>
        <w:tab w:val="left" w:pos="-1701"/>
        <w:tab w:val="left" w:pos="360"/>
      </w:tabs>
      <w:spacing w:before="240" w:after="120"/>
      <w:ind w:firstLine="0"/>
      <w:jc w:val="left"/>
    </w:pPr>
    <w:rPr>
      <w:b/>
      <w:caps/>
      <w:spacing w:val="4"/>
    </w:rPr>
  </w:style>
  <w:style w:type="paragraph" w:customStyle="1" w:styleId="AEuroReferenceSectionTitle">
    <w:name w:val="AEuro.ReferenceSectionTitle"/>
    <w:basedOn w:val="AEuroSection"/>
    <w:rsid w:val="00214F91"/>
    <w:pPr>
      <w:tabs>
        <w:tab w:val="clear" w:pos="360"/>
      </w:tabs>
    </w:pPr>
  </w:style>
  <w:style w:type="paragraph" w:styleId="DocumentMap">
    <w:name w:val="Document Map"/>
    <w:basedOn w:val="Normal"/>
    <w:rsid w:val="00214F91"/>
    <w:pPr>
      <w:shd w:val="clear" w:color="auto" w:fill="000080"/>
    </w:pPr>
    <w:rPr>
      <w:rFonts w:ascii="Tahoma" w:hAnsi="Tahoma"/>
    </w:rPr>
  </w:style>
  <w:style w:type="paragraph" w:customStyle="1" w:styleId="AEuroSubSection">
    <w:name w:val="AEuro.SubSection"/>
    <w:basedOn w:val="AEuroNormal"/>
    <w:rsid w:val="00214F91"/>
    <w:pPr>
      <w:keepNext/>
      <w:keepLines/>
      <w:numPr>
        <w:numId w:val="1"/>
      </w:numPr>
      <w:tabs>
        <w:tab w:val="left" w:pos="720"/>
      </w:tabs>
      <w:spacing w:before="240" w:after="120"/>
      <w:jc w:val="left"/>
      <w:outlineLvl w:val="0"/>
    </w:pPr>
    <w:rPr>
      <w:b/>
      <w:spacing w:val="4"/>
    </w:rPr>
  </w:style>
  <w:style w:type="paragraph" w:customStyle="1" w:styleId="AEuroTitle">
    <w:name w:val="AEuro.Title"/>
    <w:basedOn w:val="AEuroNormal"/>
    <w:rsid w:val="00214F91"/>
    <w:pPr>
      <w:spacing w:after="240"/>
      <w:ind w:firstLine="0"/>
      <w:jc w:val="center"/>
    </w:pPr>
    <w:rPr>
      <w:b/>
      <w:caps/>
      <w:sz w:val="28"/>
    </w:rPr>
  </w:style>
  <w:style w:type="paragraph" w:customStyle="1" w:styleId="AEuroAfiliation">
    <w:name w:val="AEuro.Afiliation"/>
    <w:basedOn w:val="AEuroNormal"/>
    <w:rsid w:val="00214F91"/>
    <w:pPr>
      <w:tabs>
        <w:tab w:val="left" w:pos="142"/>
      </w:tabs>
      <w:ind w:firstLine="0"/>
      <w:jc w:val="center"/>
    </w:pPr>
    <w:rPr>
      <w:sz w:val="22"/>
    </w:rPr>
  </w:style>
  <w:style w:type="paragraph" w:customStyle="1" w:styleId="AEuroAbstract">
    <w:name w:val="AEuro.Abstract"/>
    <w:basedOn w:val="AEuroNormal"/>
    <w:rsid w:val="00214F91"/>
    <w:pPr>
      <w:spacing w:before="240"/>
      <w:ind w:firstLine="0"/>
    </w:pPr>
  </w:style>
  <w:style w:type="paragraph" w:customStyle="1" w:styleId="AEuroHeader1">
    <w:name w:val="AEuro.Header 1"/>
    <w:rsid w:val="00214F91"/>
    <w:pPr>
      <w:widowControl w:val="0"/>
      <w:suppressAutoHyphens/>
      <w:jc w:val="right"/>
    </w:pPr>
    <w:rPr>
      <w:rFonts w:eastAsia="Arial"/>
      <w:sz w:val="16"/>
      <w:lang w:eastAsia="ar-SA"/>
    </w:rPr>
  </w:style>
  <w:style w:type="paragraph" w:customStyle="1" w:styleId="AEuroHeader2">
    <w:name w:val="AEuro.Header 2"/>
    <w:basedOn w:val="AEuroHeader1"/>
    <w:rsid w:val="00214F91"/>
    <w:pPr>
      <w:pBdr>
        <w:bottom w:val="single" w:sz="4" w:space="1" w:color="000000"/>
      </w:pBdr>
      <w:ind w:right="-1"/>
      <w:jc w:val="center"/>
    </w:pPr>
    <w:rPr>
      <w:sz w:val="20"/>
    </w:rPr>
  </w:style>
  <w:style w:type="paragraph" w:customStyle="1" w:styleId="AEuroPageNumber">
    <w:name w:val="AEuro.PageNumber"/>
    <w:basedOn w:val="AEuroNormal"/>
    <w:rsid w:val="00214F91"/>
    <w:pPr>
      <w:jc w:val="center"/>
    </w:pPr>
  </w:style>
  <w:style w:type="paragraph" w:customStyle="1" w:styleId="AEuroReference">
    <w:name w:val="AEuro.Reference"/>
    <w:basedOn w:val="AEuroNormal"/>
    <w:rsid w:val="00214F91"/>
    <w:pPr>
      <w:tabs>
        <w:tab w:val="left" w:pos="426"/>
      </w:tabs>
      <w:ind w:left="425" w:hanging="425"/>
    </w:pPr>
  </w:style>
  <w:style w:type="paragraph" w:customStyle="1" w:styleId="AEuroEquation">
    <w:name w:val="AEuro.Equation"/>
    <w:basedOn w:val="AEuroNormal"/>
    <w:rsid w:val="00214F91"/>
    <w:pPr>
      <w:tabs>
        <w:tab w:val="center" w:pos="4536"/>
        <w:tab w:val="right" w:pos="9072"/>
      </w:tabs>
      <w:spacing w:before="120" w:after="120"/>
      <w:ind w:firstLine="0"/>
      <w:jc w:val="left"/>
    </w:pPr>
  </w:style>
  <w:style w:type="paragraph" w:styleId="Header">
    <w:name w:val="header"/>
    <w:basedOn w:val="Normal"/>
    <w:rsid w:val="00214F91"/>
    <w:pPr>
      <w:tabs>
        <w:tab w:val="center" w:pos="4252"/>
        <w:tab w:val="right" w:pos="8504"/>
      </w:tabs>
    </w:pPr>
  </w:style>
  <w:style w:type="paragraph" w:customStyle="1" w:styleId="AEuroAuthors">
    <w:name w:val="AEuro.Authors"/>
    <w:basedOn w:val="AEuroNormal"/>
    <w:rsid w:val="00214F91"/>
    <w:pPr>
      <w:spacing w:after="240"/>
      <w:ind w:firstLine="0"/>
      <w:jc w:val="center"/>
    </w:pPr>
    <w:rPr>
      <w:b/>
    </w:rPr>
  </w:style>
  <w:style w:type="paragraph" w:customStyle="1" w:styleId="PaperTitleWCCM">
    <w:name w:val="Paper Title WCCM"/>
    <w:basedOn w:val="Normal"/>
    <w:rsid w:val="00214F91"/>
    <w:pPr>
      <w:widowControl/>
      <w:spacing w:after="240"/>
      <w:jc w:val="both"/>
    </w:pPr>
    <w:rPr>
      <w:b/>
      <w:caps/>
      <w:sz w:val="28"/>
      <w:lang w:val="en-US"/>
    </w:rPr>
  </w:style>
  <w:style w:type="paragraph" w:customStyle="1" w:styleId="AEuroCaptionTableandFigure">
    <w:name w:val="AEuro.CaptionTable and Figure"/>
    <w:basedOn w:val="AEuroNormal"/>
    <w:rsid w:val="00214F91"/>
    <w:pPr>
      <w:spacing w:before="120" w:after="240"/>
      <w:jc w:val="center"/>
    </w:pPr>
    <w:rPr>
      <w:sz w:val="20"/>
    </w:rPr>
  </w:style>
  <w:style w:type="paragraph" w:styleId="BodyText3">
    <w:name w:val="Body Text 3"/>
    <w:basedOn w:val="Normal"/>
    <w:rsid w:val="00214F91"/>
    <w:pPr>
      <w:widowControl/>
      <w:overflowPunct w:val="0"/>
      <w:autoSpaceDE w:val="0"/>
      <w:jc w:val="center"/>
      <w:textAlignment w:val="baseline"/>
    </w:pPr>
    <w:rPr>
      <w:rFonts w:ascii="Arial" w:hAnsi="Arial"/>
      <w:sz w:val="16"/>
    </w:rPr>
  </w:style>
  <w:style w:type="paragraph" w:styleId="EndnoteText">
    <w:name w:val="endnote text"/>
    <w:basedOn w:val="Normal"/>
    <w:rsid w:val="00214F91"/>
    <w:pPr>
      <w:widowControl/>
    </w:pPr>
    <w:rPr>
      <w:sz w:val="20"/>
      <w:lang w:val="es-ES"/>
    </w:rPr>
  </w:style>
  <w:style w:type="paragraph" w:styleId="BodyText2">
    <w:name w:val="Body Text 2"/>
    <w:basedOn w:val="Normal"/>
    <w:rsid w:val="00214F91"/>
    <w:pPr>
      <w:widowControl/>
    </w:pPr>
    <w:rPr>
      <w:lang w:val="es-ES"/>
    </w:rPr>
  </w:style>
  <w:style w:type="paragraph" w:styleId="BodyTextIndent3">
    <w:name w:val="Body Text Indent 3"/>
    <w:basedOn w:val="Normal"/>
    <w:rsid w:val="00214F91"/>
    <w:pPr>
      <w:widowControl/>
      <w:ind w:firstLine="709"/>
    </w:pPr>
    <w:rPr>
      <w:b/>
      <w:u w:val="single"/>
      <w:lang w:val="es-ES"/>
    </w:rPr>
  </w:style>
  <w:style w:type="paragraph" w:styleId="BodyTextIndent2">
    <w:name w:val="Body Text Indent 2"/>
    <w:basedOn w:val="Normal"/>
    <w:rsid w:val="00214F91"/>
    <w:pPr>
      <w:widowControl/>
      <w:ind w:firstLine="709"/>
    </w:pPr>
    <w:rPr>
      <w:lang w:val="es-ES"/>
    </w:rPr>
  </w:style>
  <w:style w:type="paragraph" w:styleId="FootnoteText">
    <w:name w:val="footnote text"/>
    <w:basedOn w:val="Normal"/>
    <w:rsid w:val="00214F91"/>
    <w:rPr>
      <w:sz w:val="20"/>
    </w:rPr>
  </w:style>
  <w:style w:type="paragraph" w:customStyle="1" w:styleId="Framecontents">
    <w:name w:val="Frame contents"/>
    <w:basedOn w:val="BodyText"/>
    <w:rsid w:val="00214F91"/>
  </w:style>
  <w:style w:type="paragraph" w:customStyle="1" w:styleId="Reference">
    <w:name w:val="Reference"/>
    <w:basedOn w:val="Normal"/>
    <w:rsid w:val="00214F91"/>
    <w:pPr>
      <w:numPr>
        <w:numId w:val="2"/>
      </w:numPr>
      <w:spacing w:after="240"/>
    </w:pPr>
  </w:style>
  <w:style w:type="paragraph" w:customStyle="1" w:styleId="HeaderAbs">
    <w:name w:val="Header (Abs."/>
    <w:basedOn w:val="Heading1"/>
    <w:rsid w:val="00214F91"/>
    <w:rPr>
      <w:lang w:val="en-US"/>
    </w:rPr>
  </w:style>
  <w:style w:type="paragraph" w:customStyle="1" w:styleId="AuthorAffilliation">
    <w:name w:val="Author Affilliation"/>
    <w:rsid w:val="00214F91"/>
    <w:pPr>
      <w:suppressAutoHyphens/>
      <w:jc w:val="center"/>
    </w:pPr>
    <w:rPr>
      <w:rFonts w:eastAsia="Arial"/>
      <w:sz w:val="24"/>
      <w:lang w:eastAsia="ar-SA"/>
    </w:rPr>
  </w:style>
  <w:style w:type="paragraph" w:customStyle="1" w:styleId="Titleofthepaper">
    <w:name w:val="Title of the paper"/>
    <w:rsid w:val="00214F91"/>
    <w:pPr>
      <w:suppressAutoHyphens/>
      <w:jc w:val="center"/>
    </w:pPr>
    <w:rPr>
      <w:rFonts w:ascii="Arial" w:eastAsia="Arial" w:hAnsi="Arial"/>
      <w:b/>
      <w:sz w:val="28"/>
      <w:lang w:eastAsia="ar-SA"/>
    </w:rPr>
  </w:style>
  <w:style w:type="paragraph" w:customStyle="1" w:styleId="Authorname">
    <w:name w:val="Author name"/>
    <w:rsid w:val="00214F91"/>
    <w:pPr>
      <w:suppressAutoHyphens/>
      <w:spacing w:before="240"/>
      <w:jc w:val="center"/>
    </w:pPr>
    <w:rPr>
      <w:rFonts w:eastAsia="Arial"/>
      <w:b/>
      <w:sz w:val="24"/>
      <w:lang w:eastAsia="ar-SA"/>
    </w:rPr>
  </w:style>
  <w:style w:type="table" w:styleId="TableGrid">
    <w:name w:val="Table Grid"/>
    <w:basedOn w:val="TableNormal"/>
    <w:uiPriority w:val="59"/>
    <w:rsid w:val="008D32DC"/>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5D1933"/>
    <w:pPr>
      <w:widowControl/>
      <w:suppressAutoHyphens w:val="0"/>
      <w:overflowPunct w:val="0"/>
      <w:autoSpaceDE w:val="0"/>
      <w:autoSpaceDN w:val="0"/>
      <w:adjustRightInd w:val="0"/>
      <w:spacing w:after="80"/>
      <w:ind w:left="270" w:hanging="270"/>
      <w:jc w:val="both"/>
    </w:pPr>
    <w:rPr>
      <w:sz w:val="20"/>
      <w:lang w:val="en-US" w:eastAsia="en-US"/>
    </w:rPr>
  </w:style>
  <w:style w:type="paragraph" w:styleId="BalloonText">
    <w:name w:val="Balloon Text"/>
    <w:basedOn w:val="Normal"/>
    <w:link w:val="BalloonTextChar"/>
    <w:rsid w:val="00512BED"/>
    <w:rPr>
      <w:rFonts w:ascii="Tahoma" w:hAnsi="Tahoma"/>
      <w:sz w:val="16"/>
      <w:szCs w:val="16"/>
    </w:rPr>
  </w:style>
  <w:style w:type="character" w:customStyle="1" w:styleId="BalloonTextChar">
    <w:name w:val="Balloon Text Char"/>
    <w:link w:val="BalloonText"/>
    <w:rsid w:val="00512BED"/>
    <w:rPr>
      <w:rFonts w:ascii="Tahoma" w:hAnsi="Tahoma" w:cs="Tahoma"/>
      <w:sz w:val="16"/>
      <w:szCs w:val="16"/>
      <w:lang w:val="es-ES_tradnl" w:eastAsia="ar-SA"/>
    </w:rPr>
  </w:style>
  <w:style w:type="paragraph" w:customStyle="1" w:styleId="TTPAbstract">
    <w:name w:val="TTP Abstract"/>
    <w:basedOn w:val="Normal"/>
    <w:next w:val="Normal"/>
    <w:uiPriority w:val="99"/>
    <w:rsid w:val="00080828"/>
    <w:pPr>
      <w:widowControl/>
      <w:suppressAutoHyphens w:val="0"/>
      <w:autoSpaceDE w:val="0"/>
      <w:autoSpaceDN w:val="0"/>
      <w:spacing w:before="360"/>
      <w:jc w:val="both"/>
    </w:pPr>
    <w:rPr>
      <w:szCs w:val="24"/>
      <w:lang w:val="en-US" w:eastAsia="en-US"/>
    </w:rPr>
  </w:style>
  <w:style w:type="paragraph" w:customStyle="1" w:styleId="TTPSectionHeading">
    <w:name w:val="TTP Section Heading"/>
    <w:basedOn w:val="Normal"/>
    <w:next w:val="TTPParagraph1st"/>
    <w:uiPriority w:val="99"/>
    <w:rsid w:val="00FD53E2"/>
    <w:pPr>
      <w:widowControl/>
      <w:suppressAutoHyphens w:val="0"/>
      <w:autoSpaceDE w:val="0"/>
      <w:autoSpaceDN w:val="0"/>
      <w:spacing w:before="360" w:after="120"/>
      <w:jc w:val="both"/>
    </w:pPr>
    <w:rPr>
      <w:b/>
      <w:bCs/>
      <w:szCs w:val="24"/>
      <w:lang w:val="en-US" w:eastAsia="en-US"/>
    </w:rPr>
  </w:style>
  <w:style w:type="paragraph" w:customStyle="1" w:styleId="TTPParagraph1st">
    <w:name w:val="TTP Paragraph (1st)"/>
    <w:basedOn w:val="Normal"/>
    <w:next w:val="Normal"/>
    <w:uiPriority w:val="99"/>
    <w:rsid w:val="00FD53E2"/>
    <w:pPr>
      <w:widowControl/>
      <w:suppressAutoHyphens w:val="0"/>
      <w:autoSpaceDE w:val="0"/>
      <w:autoSpaceDN w:val="0"/>
      <w:jc w:val="both"/>
    </w:pPr>
    <w:rPr>
      <w:szCs w:val="24"/>
      <w:lang w:val="en-US" w:eastAsia="en-US"/>
    </w:rPr>
  </w:style>
  <w:style w:type="paragraph" w:customStyle="1" w:styleId="TTPParagraphothers">
    <w:name w:val="TTP Paragraph (others)"/>
    <w:basedOn w:val="TTPParagraph1st"/>
    <w:uiPriority w:val="99"/>
    <w:rsid w:val="00B31221"/>
    <w:pPr>
      <w:ind w:firstLine="283"/>
    </w:pPr>
  </w:style>
  <w:style w:type="paragraph" w:customStyle="1" w:styleId="TTPEquation">
    <w:name w:val="TTP Equation"/>
    <w:basedOn w:val="Normal"/>
    <w:next w:val="TTPParagraph1st"/>
    <w:uiPriority w:val="99"/>
    <w:rsid w:val="00B31221"/>
    <w:pPr>
      <w:widowControl/>
      <w:tabs>
        <w:tab w:val="right" w:pos="9923"/>
      </w:tabs>
      <w:suppressAutoHyphens w:val="0"/>
      <w:autoSpaceDE w:val="0"/>
      <w:autoSpaceDN w:val="0"/>
      <w:spacing w:before="240" w:after="240"/>
      <w:ind w:left="284" w:right="-11"/>
      <w:jc w:val="both"/>
    </w:pPr>
    <w:rPr>
      <w:szCs w:val="24"/>
      <w:lang w:val="de-DE" w:eastAsia="en-US"/>
    </w:rPr>
  </w:style>
  <w:style w:type="paragraph" w:customStyle="1" w:styleId="figlegend">
    <w:name w:val="figlegend"/>
    <w:basedOn w:val="Normal"/>
    <w:next w:val="Normal"/>
    <w:rsid w:val="00165736"/>
    <w:pPr>
      <w:widowControl/>
      <w:suppressAutoHyphens w:val="0"/>
      <w:overflowPunct w:val="0"/>
      <w:autoSpaceDE w:val="0"/>
      <w:autoSpaceDN w:val="0"/>
      <w:adjustRightInd w:val="0"/>
      <w:spacing w:before="120" w:line="360" w:lineRule="auto"/>
      <w:textAlignment w:val="baseline"/>
    </w:pPr>
    <w:rPr>
      <w:sz w:val="20"/>
      <w:lang w:val="en-US" w:eastAsia="de-DE"/>
    </w:rPr>
  </w:style>
  <w:style w:type="paragraph" w:customStyle="1" w:styleId="reference0">
    <w:name w:val="reference"/>
    <w:basedOn w:val="Normal"/>
    <w:rsid w:val="00143896"/>
    <w:pPr>
      <w:widowControl/>
      <w:suppressAutoHyphens w:val="0"/>
      <w:overflowPunct w:val="0"/>
      <w:autoSpaceDE w:val="0"/>
      <w:autoSpaceDN w:val="0"/>
      <w:adjustRightInd w:val="0"/>
      <w:spacing w:line="360" w:lineRule="auto"/>
      <w:textAlignment w:val="baseline"/>
    </w:pPr>
    <w:rPr>
      <w:sz w:val="20"/>
      <w:lang w:val="en-US" w:eastAsia="de-DE"/>
    </w:rPr>
  </w:style>
  <w:style w:type="paragraph" w:styleId="NoSpacing">
    <w:name w:val="No Spacing"/>
    <w:uiPriority w:val="1"/>
    <w:qFormat/>
    <w:rsid w:val="000B3B0A"/>
    <w:rPr>
      <w:rFonts w:asciiTheme="minorHAnsi" w:eastAsiaTheme="minorHAnsi" w:hAnsiTheme="minorHAnsi" w:cstheme="minorBidi"/>
      <w:sz w:val="22"/>
      <w:szCs w:val="22"/>
      <w:lang w:val="en-MY"/>
    </w:rPr>
  </w:style>
  <w:style w:type="character" w:styleId="CommentReference">
    <w:name w:val="annotation reference"/>
    <w:basedOn w:val="DefaultParagraphFont"/>
    <w:semiHidden/>
    <w:unhideWhenUsed/>
    <w:rsid w:val="00250382"/>
    <w:rPr>
      <w:sz w:val="16"/>
      <w:szCs w:val="16"/>
    </w:rPr>
  </w:style>
  <w:style w:type="paragraph" w:styleId="CommentText">
    <w:name w:val="annotation text"/>
    <w:basedOn w:val="Normal"/>
    <w:link w:val="CommentTextChar"/>
    <w:semiHidden/>
    <w:unhideWhenUsed/>
    <w:rsid w:val="00250382"/>
    <w:rPr>
      <w:sz w:val="20"/>
    </w:rPr>
  </w:style>
  <w:style w:type="character" w:customStyle="1" w:styleId="CommentTextChar">
    <w:name w:val="Comment Text Char"/>
    <w:basedOn w:val="DefaultParagraphFont"/>
    <w:link w:val="CommentText"/>
    <w:semiHidden/>
    <w:rsid w:val="00250382"/>
    <w:rPr>
      <w:lang w:val="es-ES_tradnl" w:eastAsia="ar-SA"/>
    </w:rPr>
  </w:style>
  <w:style w:type="paragraph" w:styleId="CommentSubject">
    <w:name w:val="annotation subject"/>
    <w:basedOn w:val="CommentText"/>
    <w:next w:val="CommentText"/>
    <w:link w:val="CommentSubjectChar"/>
    <w:semiHidden/>
    <w:unhideWhenUsed/>
    <w:rsid w:val="00250382"/>
    <w:rPr>
      <w:b/>
      <w:bCs/>
    </w:rPr>
  </w:style>
  <w:style w:type="character" w:customStyle="1" w:styleId="CommentSubjectChar">
    <w:name w:val="Comment Subject Char"/>
    <w:basedOn w:val="CommentTextChar"/>
    <w:link w:val="CommentSubject"/>
    <w:semiHidden/>
    <w:rsid w:val="00250382"/>
    <w:rPr>
      <w:b/>
      <w:bCs/>
      <w:lang w:val="es-ES_tradnl" w:eastAsia="ar-SA"/>
    </w:rPr>
  </w:style>
  <w:style w:type="paragraph" w:styleId="Revision">
    <w:name w:val="Revision"/>
    <w:hidden/>
    <w:uiPriority w:val="99"/>
    <w:semiHidden/>
    <w:rsid w:val="00250382"/>
    <w:rPr>
      <w:sz w:val="24"/>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539185">
      <w:bodyDiv w:val="1"/>
      <w:marLeft w:val="0"/>
      <w:marRight w:val="0"/>
      <w:marTop w:val="0"/>
      <w:marBottom w:val="0"/>
      <w:divBdr>
        <w:top w:val="none" w:sz="0" w:space="0" w:color="auto"/>
        <w:left w:val="none" w:sz="0" w:space="0" w:color="auto"/>
        <w:bottom w:val="none" w:sz="0" w:space="0" w:color="auto"/>
        <w:right w:val="none" w:sz="0" w:space="0" w:color="auto"/>
      </w:divBdr>
    </w:div>
    <w:div w:id="917246064">
      <w:bodyDiv w:val="1"/>
      <w:marLeft w:val="0"/>
      <w:marRight w:val="0"/>
      <w:marTop w:val="0"/>
      <w:marBottom w:val="0"/>
      <w:divBdr>
        <w:top w:val="none" w:sz="0" w:space="0" w:color="auto"/>
        <w:left w:val="none" w:sz="0" w:space="0" w:color="auto"/>
        <w:bottom w:val="none" w:sz="0" w:space="0" w:color="auto"/>
        <w:right w:val="none" w:sz="0" w:space="0" w:color="auto"/>
      </w:divBdr>
    </w:div>
    <w:div w:id="206170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ulhilmi@uthm.edu.my" TargetMode="Externa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5.jpeg"/><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5.bin"/><Relationship Id="rId28" Type="http://schemas.openxmlformats.org/officeDocument/2006/relationships/footer" Target="footer2.xml"/><Relationship Id="rId10" Type="http://schemas.openxmlformats.org/officeDocument/2006/relationships/hyperlink" Target="mailto:jibrinbida@gmail.com"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fahmir@uthm.edu.my" TargetMode="External"/><Relationship Id="rId14" Type="http://schemas.openxmlformats.org/officeDocument/2006/relationships/oleObject" Target="embeddings/oleObject2.bin"/><Relationship Id="rId22" Type="http://schemas.openxmlformats.org/officeDocument/2006/relationships/image" Target="media/image8.emf"/><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Abstract%20ID%20-%20Full%20Name%20-%20Payment%20Transaction%20Reference%20Number%20(Full%20Papaer)-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5E29D-8B77-4C27-A601-2A8F229AD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Abstract ID - Full Name - Payment Transaction Reference Number (Full Papaer)-1 (1)</Template>
  <TotalTime>1</TotalTime>
  <Pages>8</Pages>
  <Words>8359</Words>
  <Characters>47650</Characters>
  <Application>Microsoft Office Word</Application>
  <DocSecurity>0</DocSecurity>
  <Lines>397</Lines>
  <Paragraphs>111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Extended Abstract Template</vt:lpstr>
      <vt:lpstr>Extended Abstract Template </vt:lpstr>
    </vt:vector>
  </TitlesOfParts>
  <Company>Universiti Teknologi Malaysia</Company>
  <LinksUpToDate>false</LinksUpToDate>
  <CharactersWithSpaces>55898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Abstract Template</dc:title>
  <dc:subject>5th International Graduate Conference on Engineering Science &amp; Humanity 2014 (IGCESH 2014)</dc:subject>
  <dc:creator>User</dc:creator>
  <cp:keywords>UTM; IGCESH 2014</cp:keywords>
  <dc:description>Extended Abstract Template + Author's instructions</dc:description>
  <cp:lastModifiedBy>kimpa8830@hotmail.com</cp:lastModifiedBy>
  <cp:revision>2</cp:revision>
  <cp:lastPrinted>2016-09-20T12:15:00Z</cp:lastPrinted>
  <dcterms:created xsi:type="dcterms:W3CDTF">2021-08-06T00:30:00Z</dcterms:created>
  <dcterms:modified xsi:type="dcterms:W3CDTF">2021-08-06T00:30:00Z</dcterms:modified>
  <cp:category>International Conference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aff595f4-281a-327f-b6fa-c97769eba2ec</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http://www.zotero.org/styles/apa-no-doi-no-issue</vt:lpwstr>
  </property>
  <property fmtid="{D5CDD505-2E9C-101B-9397-08002B2CF9AE}" pid="12" name="Mendeley Recent Style Name 3_1">
    <vt:lpwstr>American Psychological Association 6th edition (no DOIs, no issue numbers)</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